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B09" w:rsidRPr="00931CB7" w:rsidRDefault="00813B09" w:rsidP="00813B09">
      <w:pPr>
        <w:pStyle w:val="Bodytext10"/>
        <w:spacing w:before="180" w:after="180" w:line="240" w:lineRule="auto"/>
        <w:ind w:firstLine="0"/>
        <w:jc w:val="center"/>
        <w:rPr>
          <w:rFonts w:hint="eastAsia"/>
          <w:b/>
          <w:color w:val="FF0000"/>
          <w:lang w:eastAsia="zh-CN"/>
        </w:rPr>
      </w:pPr>
      <w:r w:rsidRPr="00931CB7">
        <w:rPr>
          <w:rFonts w:hint="eastAsia"/>
          <w:b/>
          <w:sz w:val="32"/>
          <w:szCs w:val="32"/>
        </w:rPr>
        <w:t>韦尔股份</w:t>
      </w:r>
      <w:r w:rsidR="00931CB7">
        <w:rPr>
          <w:rFonts w:hint="eastAsia"/>
          <w:b/>
          <w:sz w:val="32"/>
          <w:szCs w:val="32"/>
          <w:lang w:eastAsia="zh-CN"/>
        </w:rPr>
        <w:t>：</w:t>
      </w:r>
      <w:r w:rsidR="002B6D70">
        <w:rPr>
          <w:rFonts w:hint="eastAsia"/>
          <w:b/>
          <w:sz w:val="32"/>
          <w:szCs w:val="32"/>
          <w:lang w:eastAsia="zh-CN"/>
        </w:rPr>
        <w:t>2</w:t>
      </w:r>
      <w:r w:rsidR="002B6D70">
        <w:rPr>
          <w:b/>
          <w:sz w:val="32"/>
          <w:szCs w:val="32"/>
        </w:rPr>
        <w:t>019</w:t>
      </w:r>
      <w:r w:rsidR="002B6D70">
        <w:rPr>
          <w:rFonts w:hint="eastAsia"/>
          <w:b/>
          <w:sz w:val="32"/>
          <w:szCs w:val="32"/>
        </w:rPr>
        <w:t>年</w:t>
      </w:r>
      <w:r w:rsidR="00245CBA">
        <w:rPr>
          <w:rFonts w:hint="eastAsia"/>
          <w:b/>
          <w:sz w:val="32"/>
          <w:szCs w:val="32"/>
        </w:rPr>
        <w:t>市值翻</w:t>
      </w:r>
      <w:r w:rsidR="00245CBA">
        <w:rPr>
          <w:rFonts w:hint="eastAsia"/>
          <w:b/>
          <w:sz w:val="32"/>
          <w:szCs w:val="32"/>
          <w:lang w:eastAsia="zh-CN"/>
        </w:rPr>
        <w:t>5倍</w:t>
      </w:r>
    </w:p>
    <w:p w:rsidR="00B75872" w:rsidRDefault="00962610" w:rsidP="00BF2315">
      <w:pPr>
        <w:pStyle w:val="Bodytext10"/>
        <w:spacing w:before="180" w:after="180" w:line="240" w:lineRule="auto"/>
        <w:ind w:firstLineChars="200" w:firstLine="600"/>
        <w:jc w:val="both"/>
        <w:rPr>
          <w:color w:val="FF0000"/>
          <w:lang w:val="en-US" w:eastAsia="zh-CN"/>
        </w:rPr>
      </w:pPr>
      <w:r>
        <w:rPr>
          <w:rFonts w:hint="eastAsia"/>
          <w:lang w:eastAsia="zh-CN"/>
        </w:rPr>
        <w:t>2</w:t>
      </w:r>
      <w:r>
        <w:t>019</w:t>
      </w:r>
      <w:r>
        <w:rPr>
          <w:rFonts w:hint="eastAsia"/>
        </w:rPr>
        <w:t>年</w:t>
      </w:r>
      <w:r w:rsidR="0015611F" w:rsidRPr="00931CB7">
        <w:rPr>
          <w:rFonts w:hint="eastAsia"/>
          <w:lang w:eastAsia="zh-CN"/>
        </w:rPr>
        <w:t>，</w:t>
      </w:r>
      <w:r w:rsidR="00B75872">
        <w:rPr>
          <w:rFonts w:hint="eastAsia"/>
          <w:lang w:eastAsia="zh-CN"/>
        </w:rPr>
        <w:t>韦尔股份股价涨幅达到4</w:t>
      </w:r>
      <w:r w:rsidR="00B75872">
        <w:t>56%</w:t>
      </w:r>
      <w:r w:rsidR="00B75872">
        <w:rPr>
          <w:rFonts w:hint="eastAsia"/>
          <w:lang w:eastAsia="zh-CN"/>
        </w:rPr>
        <w:t>。截止2</w:t>
      </w:r>
      <w:r w:rsidR="00B75872">
        <w:t>019</w:t>
      </w:r>
      <w:r w:rsidR="00B75872">
        <w:rPr>
          <w:rFonts w:hint="eastAsia"/>
        </w:rPr>
        <w:t>年年底</w:t>
      </w:r>
      <w:r w:rsidR="00B75872">
        <w:rPr>
          <w:rFonts w:hint="eastAsia"/>
          <w:lang w:eastAsia="zh-CN"/>
        </w:rPr>
        <w:t>，</w:t>
      </w:r>
      <w:r w:rsidR="00004438">
        <w:rPr>
          <w:rFonts w:hint="eastAsia"/>
          <w:lang w:eastAsia="zh-CN"/>
        </w:rPr>
        <w:t>韦尔股份</w:t>
      </w:r>
      <w:r>
        <w:rPr>
          <w:rFonts w:hint="eastAsia"/>
          <w:lang w:eastAsia="zh-CN"/>
        </w:rPr>
        <w:t>市值</w:t>
      </w:r>
      <w:r w:rsidR="00B75872">
        <w:rPr>
          <w:rFonts w:hint="eastAsia"/>
          <w:lang w:eastAsia="zh-CN"/>
        </w:rPr>
        <w:t>增至</w:t>
      </w:r>
      <w:r>
        <w:rPr>
          <w:rFonts w:hint="eastAsia"/>
          <w:lang w:eastAsia="zh-CN"/>
        </w:rPr>
        <w:t>1</w:t>
      </w:r>
      <w:r>
        <w:t>408</w:t>
      </w:r>
      <w:r>
        <w:rPr>
          <w:rFonts w:hint="eastAsia"/>
        </w:rPr>
        <w:t>亿元</w:t>
      </w:r>
      <w:r>
        <w:rPr>
          <w:rFonts w:hint="eastAsia"/>
          <w:lang w:eastAsia="zh-CN"/>
        </w:rPr>
        <w:t>，</w:t>
      </w:r>
      <w:r w:rsidR="00004438">
        <w:rPr>
          <w:rFonts w:hint="eastAsia"/>
          <w:lang w:eastAsia="zh-CN"/>
        </w:rPr>
        <w:t>是年初的5倍</w:t>
      </w:r>
      <w:bookmarkStart w:id="0" w:name="_GoBack"/>
      <w:bookmarkEnd w:id="0"/>
      <w:r w:rsidR="00004438">
        <w:rPr>
          <w:rFonts w:hint="eastAsia"/>
          <w:lang w:eastAsia="zh-CN"/>
        </w:rPr>
        <w:t>。</w:t>
      </w:r>
      <w:r w:rsidR="00B75872">
        <w:rPr>
          <w:rFonts w:hint="eastAsia"/>
          <w:lang w:eastAsia="zh-CN"/>
        </w:rPr>
        <w:t>除市场的追捧外，还得益于成功收购美国芯片巨头豪威科技，进一步夯实了公司在芯片领域发展的基础。</w:t>
      </w:r>
    </w:p>
    <w:p w:rsidR="004D0CAB" w:rsidRPr="00B75872" w:rsidRDefault="00B75872" w:rsidP="00BF2315">
      <w:pPr>
        <w:pStyle w:val="Bodytext10"/>
        <w:spacing w:before="180" w:after="180" w:line="240" w:lineRule="auto"/>
        <w:ind w:firstLineChars="200" w:firstLine="600"/>
        <w:jc w:val="both"/>
        <w:rPr>
          <w:color w:val="FF0000"/>
          <w:lang w:val="en-US" w:eastAsia="zh-CN"/>
        </w:rPr>
      </w:pPr>
      <w:r>
        <w:rPr>
          <w:rFonts w:hint="eastAsia"/>
          <w:color w:val="FF0000"/>
          <w:lang w:val="en-US" w:eastAsia="zh-CN"/>
        </w:rPr>
        <w:t>作为国内</w:t>
      </w:r>
      <w:r w:rsidR="004D0CAB" w:rsidRPr="00931CB7">
        <w:t>快速成长</w:t>
      </w:r>
      <w:r w:rsidR="004D0CAB" w:rsidRPr="00931CB7">
        <w:rPr>
          <w:rFonts w:cs="Times New Roman"/>
          <w:lang w:val="en-US" w:eastAsia="zh-CN" w:bidi="en-US"/>
        </w:rPr>
        <w:t>IC</w:t>
      </w:r>
      <w:r w:rsidR="004D0CAB" w:rsidRPr="00931CB7">
        <w:t>设计分销领导</w:t>
      </w:r>
      <w:r w:rsidR="004D0CAB" w:rsidRPr="00931CB7">
        <w:rPr>
          <w:rFonts w:hint="eastAsia"/>
          <w:lang w:eastAsia="zh-CN"/>
        </w:rPr>
        <w:t>者</w:t>
      </w:r>
      <w:r>
        <w:rPr>
          <w:rFonts w:hint="eastAsia"/>
          <w:color w:val="FF0000"/>
          <w:lang w:val="en-US" w:eastAsia="zh-CN"/>
        </w:rPr>
        <w:t>，</w:t>
      </w:r>
      <w:r w:rsidR="004D0CAB" w:rsidRPr="00931CB7">
        <w:t>上海韦尔半导体有限公司(简称“</w:t>
      </w:r>
      <w:r w:rsidR="004D0CAB" w:rsidRPr="00931CB7">
        <w:rPr>
          <w:rFonts w:hint="eastAsia"/>
          <w:lang w:eastAsia="zh-CN"/>
        </w:rPr>
        <w:t>韦尔</w:t>
      </w:r>
      <w:r w:rsidR="004D0CAB" w:rsidRPr="00931CB7">
        <w:t>股份</w:t>
      </w:r>
      <w:r w:rsidR="004D0CAB" w:rsidRPr="00931CB7">
        <w:rPr>
          <w:lang w:val="zh-CN" w:eastAsia="zh-CN" w:bidi="zh-CN"/>
        </w:rPr>
        <w:t>”</w:t>
      </w:r>
      <w:r>
        <w:rPr>
          <w:rFonts w:hint="eastAsia"/>
          <w:lang w:val="zh-CN" w:eastAsia="zh-CN" w:bidi="zh-CN"/>
        </w:rPr>
        <w:t>)</w:t>
      </w:r>
      <w:r w:rsidR="004D0CAB" w:rsidRPr="00931CB7">
        <w:t>是一家以自主研发、销售服务为主</w:t>
      </w:r>
      <w:r w:rsidR="004D0CAB" w:rsidRPr="00931CB7">
        <w:rPr>
          <w:rFonts w:hint="eastAsia"/>
          <w:lang w:eastAsia="zh-CN"/>
        </w:rPr>
        <w:t>体</w:t>
      </w:r>
      <w:r w:rsidR="004D0CAB" w:rsidRPr="00931CB7">
        <w:rPr>
          <w:lang w:eastAsia="zh-CN"/>
        </w:rPr>
        <w:t>的半导体</w:t>
      </w:r>
      <w:r w:rsidR="004D0CAB" w:rsidRPr="00931CB7">
        <w:t>器件设计和销售公司，公司成立于</w:t>
      </w:r>
      <w:r w:rsidR="004D0CAB" w:rsidRPr="00931CB7">
        <w:rPr>
          <w:rFonts w:cs="Times New Roman"/>
        </w:rPr>
        <w:t>2007</w:t>
      </w:r>
      <w:r w:rsidR="004D0CAB" w:rsidRPr="00931CB7">
        <w:t>年</w:t>
      </w:r>
      <w:r w:rsidR="004D0CAB" w:rsidRPr="00931CB7">
        <w:rPr>
          <w:rFonts w:cs="Times New Roman"/>
        </w:rPr>
        <w:t>5</w:t>
      </w:r>
      <w:r w:rsidR="004D0CAB" w:rsidRPr="00931CB7">
        <w:rPr>
          <w:rFonts w:cs="Times New Roman" w:hint="eastAsia"/>
          <w:lang w:eastAsia="zh-CN"/>
        </w:rPr>
        <w:t>月，</w:t>
      </w:r>
      <w:r w:rsidR="004D0CAB" w:rsidRPr="00931CB7">
        <w:rPr>
          <w:rFonts w:cs="Times New Roman"/>
          <w:lang w:eastAsia="zh-CN"/>
        </w:rPr>
        <w:t>总部坐落于</w:t>
      </w:r>
      <w:r w:rsidR="004D0CAB" w:rsidRPr="00931CB7">
        <w:t>上海张江高科技园区</w:t>
      </w:r>
      <w:r>
        <w:rPr>
          <w:rFonts w:hint="eastAsia"/>
          <w:lang w:eastAsia="zh-CN"/>
        </w:rPr>
        <w:t>，</w:t>
      </w:r>
      <w:r w:rsidR="004D0CAB" w:rsidRPr="00931CB7">
        <w:t>在深圳、中国台湾、中</w:t>
      </w:r>
      <w:r w:rsidR="004D0CAB" w:rsidRPr="00931CB7">
        <w:rPr>
          <w:rFonts w:hint="eastAsia"/>
          <w:lang w:eastAsia="zh-CN"/>
        </w:rPr>
        <w:t>国香港</w:t>
      </w:r>
      <w:r w:rsidR="004D0CAB" w:rsidRPr="00931CB7">
        <w:t>等地设立办事</w:t>
      </w:r>
      <w:r>
        <w:rPr>
          <w:rFonts w:hint="eastAsia"/>
          <w:lang w:eastAsia="zh-CN"/>
        </w:rPr>
        <w:t>。</w:t>
      </w:r>
    </w:p>
    <w:p w:rsidR="004D0CAB" w:rsidRDefault="004D0CAB" w:rsidP="00BF2315">
      <w:pPr>
        <w:pStyle w:val="Bodytext10"/>
        <w:spacing w:line="240" w:lineRule="auto"/>
        <w:ind w:firstLineChars="200" w:firstLine="600"/>
      </w:pPr>
      <w:r w:rsidRPr="00931CB7">
        <w:t>公司主营产品在手机、电脑、电视、通讯、安防、车载、穿戴、医疗等领域得到广泛应用</w:t>
      </w:r>
      <w:r w:rsidR="00B75872">
        <w:rPr>
          <w:rFonts w:hint="eastAsia"/>
          <w:lang w:eastAsia="zh-CN"/>
        </w:rPr>
        <w:t>。</w:t>
      </w:r>
      <w:r w:rsidRPr="00931CB7">
        <w:t>目前，公司自行研发设计的半导体产品已进入</w:t>
      </w:r>
      <w:r w:rsidR="00B75872">
        <w:rPr>
          <w:rFonts w:hint="eastAsia"/>
        </w:rPr>
        <w:t>华为</w:t>
      </w:r>
      <w:r w:rsidR="00B75872">
        <w:rPr>
          <w:rFonts w:hint="eastAsia"/>
          <w:lang w:eastAsia="zh-CN"/>
        </w:rPr>
        <w:t>、</w:t>
      </w:r>
      <w:r w:rsidRPr="00931CB7">
        <w:t>小米、</w:t>
      </w:r>
      <w:r w:rsidRPr="00931CB7">
        <w:rPr>
          <w:rFonts w:cs="Times New Roman"/>
          <w:lang w:val="en-US" w:eastAsia="zh-CN" w:bidi="en-US"/>
        </w:rPr>
        <w:t>VIVO</w:t>
      </w:r>
      <w:r w:rsidRPr="00931CB7">
        <w:rPr>
          <w:lang w:val="en-US" w:eastAsia="zh-CN" w:bidi="en-US"/>
        </w:rPr>
        <w:t>、</w:t>
      </w:r>
      <w:r w:rsidRPr="00931CB7">
        <w:t>酷派、魅族、联想、摩托罗拉、三星、海信、中兴、波导等国内知名手机品牌的供应链。同时，公司作为国内主要半导体产品分销商之一，拥有成熟的技术支持团队和完善的供应链管理体系。公司与全球主要半导体供应商紧密合作，为国内</w:t>
      </w:r>
      <w:r w:rsidRPr="00931CB7">
        <w:rPr>
          <w:rFonts w:cs="Times New Roman"/>
          <w:lang w:val="en-US" w:eastAsia="zh-CN" w:bidi="en-US"/>
        </w:rPr>
        <w:t>OEM</w:t>
      </w:r>
      <w:r w:rsidRPr="00931CB7">
        <w:t>厂商、</w:t>
      </w:r>
      <w:r w:rsidRPr="00931CB7">
        <w:rPr>
          <w:rFonts w:cs="Times New Roman"/>
          <w:lang w:val="en-US" w:eastAsia="zh-CN" w:bidi="en-US"/>
        </w:rPr>
        <w:t>ODM</w:t>
      </w:r>
      <w:r w:rsidRPr="00931CB7">
        <w:t>厂商和</w:t>
      </w:r>
      <w:r w:rsidRPr="00931CB7">
        <w:rPr>
          <w:rFonts w:cs="Times New Roman"/>
          <w:lang w:val="en-US" w:eastAsia="zh-CN" w:bidi="en-US"/>
        </w:rPr>
        <w:t>EMS</w:t>
      </w:r>
      <w:r w:rsidRPr="00931CB7">
        <w:t>厂商及终端客户提供针对客户需求的新产品推介、快速样品、应用咨询、方案设计支持、开发环境、售后及物流等方面的半导体产品综合解决方案。</w:t>
      </w:r>
    </w:p>
    <w:p w:rsidR="00C13350" w:rsidRDefault="00C13350" w:rsidP="00C13350">
      <w:pPr>
        <w:pStyle w:val="Bodytext10"/>
        <w:spacing w:line="240" w:lineRule="auto"/>
        <w:ind w:firstLineChars="150" w:firstLine="450"/>
      </w:pPr>
    </w:p>
    <w:p w:rsidR="00C13350" w:rsidRPr="00C13350" w:rsidRDefault="00C13350" w:rsidP="00C13350">
      <w:pPr>
        <w:pStyle w:val="Bodytext10"/>
        <w:spacing w:line="240" w:lineRule="auto"/>
        <w:ind w:firstLineChars="150" w:firstLine="360"/>
        <w:jc w:val="center"/>
        <w:rPr>
          <w:sz w:val="24"/>
          <w:szCs w:val="24"/>
        </w:rPr>
      </w:pPr>
      <w:r w:rsidRPr="00C13350">
        <w:rPr>
          <w:rFonts w:hint="eastAsia"/>
          <w:sz w:val="24"/>
          <w:szCs w:val="24"/>
        </w:rPr>
        <w:lastRenderedPageBreak/>
        <w:t>表</w:t>
      </w:r>
      <w:r w:rsidRPr="00C13350">
        <w:rPr>
          <w:rFonts w:hint="eastAsia"/>
          <w:sz w:val="24"/>
          <w:szCs w:val="24"/>
          <w:lang w:eastAsia="zh-CN"/>
        </w:rPr>
        <w:t>1</w:t>
      </w:r>
      <w:r w:rsidRPr="00C13350">
        <w:rPr>
          <w:sz w:val="24"/>
          <w:szCs w:val="24"/>
        </w:rPr>
        <w:t>:</w:t>
      </w:r>
      <w:r w:rsidRPr="00C13350">
        <w:rPr>
          <w:rFonts w:hint="eastAsia"/>
          <w:sz w:val="24"/>
          <w:szCs w:val="24"/>
        </w:rPr>
        <w:t>韦尔股份分销产品分类</w:t>
      </w:r>
    </w:p>
    <w:tbl>
      <w:tblPr>
        <w:tblOverlap w:val="never"/>
        <w:tblW w:w="9214" w:type="dxa"/>
        <w:jc w:val="center"/>
        <w:tblLayout w:type="fixed"/>
        <w:tblCellMar>
          <w:left w:w="10" w:type="dxa"/>
          <w:right w:w="10" w:type="dxa"/>
        </w:tblCellMar>
        <w:tblLook w:val="04A0" w:firstRow="1" w:lastRow="0" w:firstColumn="1" w:lastColumn="0" w:noHBand="0" w:noVBand="1"/>
      </w:tblPr>
      <w:tblGrid>
        <w:gridCol w:w="988"/>
        <w:gridCol w:w="3685"/>
        <w:gridCol w:w="2835"/>
        <w:gridCol w:w="1706"/>
      </w:tblGrid>
      <w:tr w:rsidR="004D0CAB" w:rsidRPr="00931CB7" w:rsidTr="00C13350">
        <w:trPr>
          <w:trHeight w:hRule="exact" w:val="274"/>
          <w:jc w:val="center"/>
        </w:trPr>
        <w:tc>
          <w:tcPr>
            <w:tcW w:w="988" w:type="dxa"/>
            <w:tcBorders>
              <w:top w:val="single" w:sz="4" w:space="0" w:color="auto"/>
              <w:left w:val="single" w:sz="4" w:space="0" w:color="auto"/>
            </w:tcBorders>
            <w:shd w:val="clear" w:color="auto" w:fill="FFFFFF"/>
            <w:vAlign w:val="center"/>
          </w:tcPr>
          <w:p w:rsidR="004D0CAB" w:rsidRPr="00C13350" w:rsidRDefault="004D0CAB" w:rsidP="00BF2315">
            <w:pPr>
              <w:pStyle w:val="Other10"/>
              <w:rPr>
                <w:sz w:val="18"/>
                <w:szCs w:val="18"/>
              </w:rPr>
            </w:pPr>
            <w:r w:rsidRPr="00C13350">
              <w:rPr>
                <w:sz w:val="18"/>
                <w:szCs w:val="18"/>
                <w:lang w:val="zh-TW" w:eastAsia="zh-TW" w:bidi="zh-TW"/>
              </w:rPr>
              <w:t>产品领域</w:t>
            </w:r>
          </w:p>
        </w:tc>
        <w:tc>
          <w:tcPr>
            <w:tcW w:w="3685" w:type="dxa"/>
            <w:tcBorders>
              <w:top w:val="single" w:sz="4" w:space="0" w:color="auto"/>
              <w:left w:val="single" w:sz="4" w:space="0" w:color="auto"/>
            </w:tcBorders>
            <w:shd w:val="clear" w:color="auto" w:fill="FFFFFF"/>
            <w:vAlign w:val="center"/>
          </w:tcPr>
          <w:p w:rsidR="004D0CAB" w:rsidRPr="00C13350" w:rsidRDefault="004D0CAB" w:rsidP="00BF2315">
            <w:pPr>
              <w:pStyle w:val="Other10"/>
              <w:rPr>
                <w:sz w:val="18"/>
                <w:szCs w:val="18"/>
              </w:rPr>
            </w:pPr>
            <w:r w:rsidRPr="00C13350">
              <w:rPr>
                <w:sz w:val="18"/>
                <w:szCs w:val="18"/>
                <w:lang w:val="zh-TW" w:eastAsia="zh-TW" w:bidi="zh-TW"/>
              </w:rPr>
              <w:t>细分产品</w:t>
            </w:r>
          </w:p>
        </w:tc>
        <w:tc>
          <w:tcPr>
            <w:tcW w:w="2835" w:type="dxa"/>
            <w:tcBorders>
              <w:top w:val="single" w:sz="4" w:space="0" w:color="auto"/>
              <w:left w:val="single" w:sz="4" w:space="0" w:color="auto"/>
            </w:tcBorders>
            <w:shd w:val="clear" w:color="auto" w:fill="FFFFFF"/>
            <w:vAlign w:val="center"/>
          </w:tcPr>
          <w:p w:rsidR="004D0CAB" w:rsidRPr="00C13350" w:rsidRDefault="004D0CAB" w:rsidP="00BF2315">
            <w:pPr>
              <w:pStyle w:val="Other10"/>
              <w:rPr>
                <w:sz w:val="18"/>
                <w:szCs w:val="18"/>
              </w:rPr>
            </w:pPr>
            <w:r w:rsidRPr="00C13350">
              <w:rPr>
                <w:sz w:val="18"/>
                <w:szCs w:val="18"/>
                <w:lang w:val="zh-TW" w:eastAsia="zh-TW" w:bidi="zh-TW"/>
              </w:rPr>
              <w:t>主要代理原厂</w:t>
            </w:r>
          </w:p>
        </w:tc>
        <w:tc>
          <w:tcPr>
            <w:tcW w:w="1706" w:type="dxa"/>
            <w:tcBorders>
              <w:top w:val="single" w:sz="4" w:space="0" w:color="auto"/>
              <w:left w:val="single" w:sz="4" w:space="0" w:color="auto"/>
              <w:right w:val="single" w:sz="4" w:space="0" w:color="auto"/>
            </w:tcBorders>
            <w:shd w:val="clear" w:color="auto" w:fill="FFFFFF"/>
            <w:vAlign w:val="center"/>
          </w:tcPr>
          <w:p w:rsidR="004D0CAB" w:rsidRPr="00C13350" w:rsidRDefault="004D0CAB" w:rsidP="00BF2315">
            <w:pPr>
              <w:pStyle w:val="Other10"/>
              <w:rPr>
                <w:sz w:val="18"/>
                <w:szCs w:val="18"/>
              </w:rPr>
            </w:pPr>
            <w:r w:rsidRPr="00C13350">
              <w:rPr>
                <w:sz w:val="18"/>
                <w:szCs w:val="18"/>
                <w:lang w:val="zh-TW" w:eastAsia="zh-TW" w:bidi="zh-TW"/>
              </w:rPr>
              <w:t>应用领域</w:t>
            </w:r>
          </w:p>
        </w:tc>
      </w:tr>
      <w:tr w:rsidR="004D0CAB" w:rsidRPr="00931CB7" w:rsidTr="00C13350">
        <w:trPr>
          <w:trHeight w:hRule="exact" w:val="723"/>
          <w:jc w:val="center"/>
        </w:trPr>
        <w:tc>
          <w:tcPr>
            <w:tcW w:w="988"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被动件</w:t>
            </w:r>
          </w:p>
        </w:tc>
        <w:tc>
          <w:tcPr>
            <w:tcW w:w="3685"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电阻、电容、电感等</w:t>
            </w:r>
          </w:p>
        </w:tc>
        <w:tc>
          <w:tcPr>
            <w:tcW w:w="2835"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松下、乾坤、国巨、三星、</w:t>
            </w:r>
            <w:r w:rsidRPr="00C13350">
              <w:rPr>
                <w:sz w:val="18"/>
                <w:szCs w:val="18"/>
              </w:rPr>
              <w:t>AVX</w:t>
            </w:r>
            <w:r w:rsidRPr="00C13350">
              <w:rPr>
                <w:sz w:val="18"/>
                <w:szCs w:val="18"/>
                <w:lang w:val="zh-TW" w:eastAsia="zh-TW" w:bidi="zh-TW"/>
              </w:rPr>
              <w:t>、</w:t>
            </w:r>
            <w:r w:rsidRPr="00C13350">
              <w:rPr>
                <w:sz w:val="18"/>
                <w:szCs w:val="18"/>
              </w:rPr>
              <w:t>LIZ、WALSIN</w:t>
            </w:r>
            <w:r w:rsidRPr="00C13350">
              <w:rPr>
                <w:sz w:val="18"/>
                <w:szCs w:val="18"/>
                <w:lang w:val="zh-TW" w:eastAsia="zh-TW" w:bidi="zh-TW"/>
              </w:rPr>
              <w:t>、</w:t>
            </w:r>
            <w:r w:rsidRPr="00C13350">
              <w:rPr>
                <w:sz w:val="18"/>
                <w:szCs w:val="18"/>
              </w:rPr>
              <w:t xml:space="preserve">HEC </w:t>
            </w:r>
            <w:r w:rsidRPr="00C13350">
              <w:rPr>
                <w:sz w:val="18"/>
                <w:szCs w:val="18"/>
                <w:lang w:val="zh-TW" w:eastAsia="zh-TW" w:bidi="zh-TW"/>
              </w:rPr>
              <w:t>等</w:t>
            </w:r>
          </w:p>
        </w:tc>
        <w:tc>
          <w:tcPr>
            <w:tcW w:w="1706" w:type="dxa"/>
            <w:vMerge w:val="restart"/>
            <w:tcBorders>
              <w:top w:val="single" w:sz="4" w:space="0" w:color="auto"/>
              <w:left w:val="single" w:sz="4" w:space="0" w:color="auto"/>
              <w:right w:val="single" w:sz="4" w:space="0" w:color="auto"/>
            </w:tcBorders>
            <w:shd w:val="clear" w:color="auto" w:fill="FFFFFF"/>
            <w:vAlign w:val="center"/>
          </w:tcPr>
          <w:p w:rsidR="004D0CAB" w:rsidRPr="00C13350" w:rsidRDefault="004D0CAB" w:rsidP="00C13350">
            <w:pPr>
              <w:pStyle w:val="Other10"/>
              <w:spacing w:line="265" w:lineRule="exact"/>
              <w:rPr>
                <w:sz w:val="18"/>
                <w:szCs w:val="18"/>
              </w:rPr>
            </w:pPr>
            <w:r w:rsidRPr="00C13350">
              <w:rPr>
                <w:sz w:val="18"/>
                <w:szCs w:val="18"/>
                <w:lang w:val="zh-TW" w:eastAsia="zh-TW" w:bidi="zh-TW"/>
              </w:rPr>
              <w:t>移动通信、家用电 器、安防电子、数 码产品、智能穿戴、 金融支付、工业设 备、电力设备、电 机控制、电源、仪 器仪表、汽车及部 件、消防、照明、 轨道交通等</w:t>
            </w:r>
          </w:p>
        </w:tc>
      </w:tr>
      <w:tr w:rsidR="004D0CAB" w:rsidRPr="00931CB7" w:rsidTr="00C13350">
        <w:trPr>
          <w:trHeight w:hRule="exact" w:val="542"/>
          <w:jc w:val="center"/>
        </w:trPr>
        <w:tc>
          <w:tcPr>
            <w:tcW w:w="988"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结构器件</w:t>
            </w:r>
          </w:p>
        </w:tc>
        <w:tc>
          <w:tcPr>
            <w:tcW w:w="3685" w:type="dxa"/>
            <w:tcBorders>
              <w:top w:val="single" w:sz="4" w:space="0" w:color="auto"/>
              <w:left w:val="single" w:sz="4" w:space="0" w:color="auto"/>
            </w:tcBorders>
            <w:shd w:val="clear" w:color="auto" w:fill="FFFFFF"/>
            <w:vAlign w:val="center"/>
          </w:tcPr>
          <w:p w:rsidR="004D0CAB" w:rsidRPr="00C13350" w:rsidRDefault="004D0CAB" w:rsidP="00C13350">
            <w:pPr>
              <w:pStyle w:val="Other10"/>
              <w:spacing w:line="307" w:lineRule="exact"/>
              <w:rPr>
                <w:sz w:val="18"/>
                <w:szCs w:val="18"/>
              </w:rPr>
            </w:pPr>
            <w:r w:rsidRPr="00C13350">
              <w:rPr>
                <w:sz w:val="18"/>
                <w:szCs w:val="18"/>
                <w:lang w:val="zh-TW" w:eastAsia="zh-TW" w:bidi="zh-TW"/>
              </w:rPr>
              <w:t>连接器、卡座、卡托、</w:t>
            </w:r>
            <w:r w:rsidRPr="00C13350">
              <w:rPr>
                <w:sz w:val="18"/>
                <w:szCs w:val="18"/>
              </w:rPr>
              <w:t xml:space="preserve">PCB </w:t>
            </w:r>
            <w:r w:rsidRPr="00C13350">
              <w:rPr>
                <w:sz w:val="18"/>
                <w:szCs w:val="18"/>
                <w:lang w:val="zh-TW" w:eastAsia="zh-TW" w:bidi="zh-TW"/>
              </w:rPr>
              <w:t>等</w:t>
            </w:r>
          </w:p>
        </w:tc>
        <w:tc>
          <w:tcPr>
            <w:tcW w:w="2835"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rPr>
              <w:t>Molex</w:t>
            </w:r>
            <w:r w:rsidRPr="00C13350">
              <w:rPr>
                <w:sz w:val="18"/>
                <w:szCs w:val="18"/>
                <w:lang w:val="zh-TW" w:eastAsia="zh-TW" w:bidi="zh-TW"/>
              </w:rPr>
              <w:t>、松下、南亚等</w:t>
            </w:r>
          </w:p>
        </w:tc>
        <w:tc>
          <w:tcPr>
            <w:tcW w:w="1706" w:type="dxa"/>
            <w:vMerge/>
            <w:tcBorders>
              <w:left w:val="single" w:sz="4" w:space="0" w:color="auto"/>
              <w:right w:val="single" w:sz="4" w:space="0" w:color="auto"/>
            </w:tcBorders>
            <w:shd w:val="clear" w:color="auto" w:fill="FFFFFF"/>
            <w:vAlign w:val="center"/>
          </w:tcPr>
          <w:p w:rsidR="004D0CAB" w:rsidRPr="00C13350" w:rsidRDefault="004D0CAB" w:rsidP="00C13350">
            <w:pPr>
              <w:jc w:val="center"/>
              <w:rPr>
                <w:rFonts w:ascii="宋体" w:eastAsia="宋体" w:hAnsi="宋体"/>
                <w:sz w:val="18"/>
                <w:szCs w:val="18"/>
              </w:rPr>
            </w:pPr>
          </w:p>
        </w:tc>
      </w:tr>
      <w:tr w:rsidR="004D0CAB" w:rsidRPr="00931CB7" w:rsidTr="00C13350">
        <w:trPr>
          <w:trHeight w:hRule="exact" w:val="538"/>
          <w:jc w:val="center"/>
        </w:trPr>
        <w:tc>
          <w:tcPr>
            <w:tcW w:w="988"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分立器件</w:t>
            </w:r>
          </w:p>
        </w:tc>
        <w:tc>
          <w:tcPr>
            <w:tcW w:w="3685" w:type="dxa"/>
            <w:tcBorders>
              <w:top w:val="single" w:sz="4" w:space="0" w:color="auto"/>
              <w:left w:val="single" w:sz="4" w:space="0" w:color="auto"/>
            </w:tcBorders>
            <w:shd w:val="clear" w:color="auto" w:fill="FFFFFF"/>
            <w:vAlign w:val="center"/>
          </w:tcPr>
          <w:p w:rsidR="004D0CAB" w:rsidRPr="00C13350" w:rsidRDefault="004D0CAB" w:rsidP="00C13350">
            <w:pPr>
              <w:pStyle w:val="Other10"/>
              <w:spacing w:line="269" w:lineRule="exact"/>
              <w:rPr>
                <w:sz w:val="18"/>
                <w:szCs w:val="18"/>
              </w:rPr>
            </w:pPr>
            <w:r w:rsidRPr="00C13350">
              <w:rPr>
                <w:sz w:val="18"/>
                <w:szCs w:val="18"/>
                <w:lang w:val="zh-TW" w:eastAsia="zh-TW" w:bidi="zh-TW"/>
              </w:rPr>
              <w:t>光电半导体器件、晶振、半 导体等</w:t>
            </w:r>
          </w:p>
        </w:tc>
        <w:tc>
          <w:tcPr>
            <w:tcW w:w="2835"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光宝、</w:t>
            </w:r>
            <w:r w:rsidRPr="00C13350">
              <w:rPr>
                <w:sz w:val="18"/>
                <w:szCs w:val="18"/>
              </w:rPr>
              <w:t xml:space="preserve">TXC、VISHAY、WILL </w:t>
            </w:r>
            <w:r w:rsidRPr="00C13350">
              <w:rPr>
                <w:sz w:val="18"/>
                <w:szCs w:val="18"/>
                <w:lang w:val="zh-TW" w:eastAsia="zh-TW" w:bidi="zh-TW"/>
              </w:rPr>
              <w:t>等</w:t>
            </w:r>
          </w:p>
        </w:tc>
        <w:tc>
          <w:tcPr>
            <w:tcW w:w="1706" w:type="dxa"/>
            <w:vMerge/>
            <w:tcBorders>
              <w:left w:val="single" w:sz="4" w:space="0" w:color="auto"/>
              <w:right w:val="single" w:sz="4" w:space="0" w:color="auto"/>
            </w:tcBorders>
            <w:shd w:val="clear" w:color="auto" w:fill="FFFFFF"/>
            <w:vAlign w:val="center"/>
          </w:tcPr>
          <w:p w:rsidR="004D0CAB" w:rsidRPr="00C13350" w:rsidRDefault="004D0CAB" w:rsidP="00C13350">
            <w:pPr>
              <w:jc w:val="center"/>
              <w:rPr>
                <w:rFonts w:ascii="宋体" w:eastAsia="宋体" w:hAnsi="宋体"/>
                <w:sz w:val="18"/>
                <w:szCs w:val="18"/>
              </w:rPr>
            </w:pPr>
          </w:p>
        </w:tc>
      </w:tr>
      <w:tr w:rsidR="004D0CAB" w:rsidRPr="00931CB7" w:rsidTr="00C13350">
        <w:trPr>
          <w:trHeight w:hRule="exact" w:val="621"/>
          <w:jc w:val="center"/>
        </w:trPr>
        <w:tc>
          <w:tcPr>
            <w:tcW w:w="988"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集成电路</w:t>
            </w:r>
          </w:p>
        </w:tc>
        <w:tc>
          <w:tcPr>
            <w:tcW w:w="3685" w:type="dxa"/>
            <w:tcBorders>
              <w:top w:val="single" w:sz="4" w:space="0" w:color="auto"/>
              <w:left w:val="single" w:sz="4" w:space="0" w:color="auto"/>
            </w:tcBorders>
            <w:shd w:val="clear" w:color="auto" w:fill="FFFFFF"/>
            <w:vAlign w:val="center"/>
          </w:tcPr>
          <w:p w:rsidR="004D0CAB" w:rsidRPr="00C13350" w:rsidRDefault="004D0CAB" w:rsidP="00C13350">
            <w:pPr>
              <w:pStyle w:val="Other10"/>
              <w:ind w:firstLine="180"/>
              <w:rPr>
                <w:sz w:val="18"/>
                <w:szCs w:val="18"/>
              </w:rPr>
            </w:pPr>
            <w:r w:rsidRPr="00C13350">
              <w:rPr>
                <w:sz w:val="18"/>
                <w:szCs w:val="18"/>
                <w:lang w:val="zh-TW" w:eastAsia="zh-TW" w:bidi="zh-TW"/>
              </w:rPr>
              <w:t>芯片、</w:t>
            </w:r>
            <w:r w:rsidRPr="00C13350">
              <w:rPr>
                <w:sz w:val="18"/>
                <w:szCs w:val="18"/>
              </w:rPr>
              <w:t xml:space="preserve">Sensor、Memory、Flash </w:t>
            </w:r>
            <w:r w:rsidRPr="00C13350">
              <w:rPr>
                <w:sz w:val="18"/>
                <w:szCs w:val="18"/>
                <w:lang w:val="zh-TW" w:eastAsia="zh-TW" w:bidi="zh-TW"/>
              </w:rPr>
              <w:t>等</w:t>
            </w:r>
          </w:p>
        </w:tc>
        <w:tc>
          <w:tcPr>
            <w:tcW w:w="2835" w:type="dxa"/>
            <w:tcBorders>
              <w:top w:val="single" w:sz="4" w:space="0" w:color="auto"/>
              <w:left w:val="single" w:sz="4" w:space="0" w:color="auto"/>
            </w:tcBorders>
            <w:shd w:val="clear" w:color="auto" w:fill="FFFFFF"/>
            <w:vAlign w:val="center"/>
          </w:tcPr>
          <w:p w:rsidR="004D0CAB" w:rsidRPr="00C13350" w:rsidRDefault="004D0CAB" w:rsidP="00C13350">
            <w:pPr>
              <w:pStyle w:val="Other10"/>
              <w:spacing w:line="259" w:lineRule="exact"/>
              <w:rPr>
                <w:sz w:val="18"/>
                <w:szCs w:val="18"/>
              </w:rPr>
            </w:pPr>
            <w:r w:rsidRPr="00C13350">
              <w:rPr>
                <w:sz w:val="18"/>
                <w:szCs w:val="18"/>
              </w:rPr>
              <w:t>WILL、</w:t>
            </w:r>
            <w:r w:rsidRPr="00C13350">
              <w:rPr>
                <w:sz w:val="18"/>
                <w:szCs w:val="18"/>
                <w:lang w:val="zh-TW" w:eastAsia="zh-TW" w:bidi="zh-TW"/>
              </w:rPr>
              <w:t>光宝、江波龙、</w:t>
            </w:r>
            <w:r w:rsidRPr="00C13350">
              <w:rPr>
                <w:sz w:val="18"/>
                <w:szCs w:val="18"/>
              </w:rPr>
              <w:t>XMC</w:t>
            </w:r>
            <w:r w:rsidRPr="00C13350">
              <w:rPr>
                <w:sz w:val="18"/>
                <w:szCs w:val="18"/>
                <w:lang w:val="zh-TW" w:eastAsia="zh-TW" w:bidi="zh-TW"/>
              </w:rPr>
              <w:t>、</w:t>
            </w:r>
            <w:r w:rsidRPr="00C13350">
              <w:rPr>
                <w:sz w:val="18"/>
                <w:szCs w:val="18"/>
              </w:rPr>
              <w:t>Zetta、 ISSI、OV、</w:t>
            </w:r>
            <w:proofErr w:type="spellStart"/>
            <w:r w:rsidRPr="00C13350">
              <w:rPr>
                <w:sz w:val="18"/>
                <w:szCs w:val="18"/>
              </w:rPr>
              <w:t>Superpix</w:t>
            </w:r>
            <w:proofErr w:type="spellEnd"/>
            <w:r w:rsidRPr="00C13350">
              <w:rPr>
                <w:sz w:val="18"/>
                <w:szCs w:val="18"/>
              </w:rPr>
              <w:t xml:space="preserve"> </w:t>
            </w:r>
            <w:r w:rsidRPr="00C13350">
              <w:rPr>
                <w:sz w:val="18"/>
                <w:szCs w:val="18"/>
                <w:lang w:val="zh-TW" w:eastAsia="zh-TW" w:bidi="zh-TW"/>
              </w:rPr>
              <w:t>等</w:t>
            </w:r>
          </w:p>
        </w:tc>
        <w:tc>
          <w:tcPr>
            <w:tcW w:w="1706" w:type="dxa"/>
            <w:vMerge/>
            <w:tcBorders>
              <w:left w:val="single" w:sz="4" w:space="0" w:color="auto"/>
              <w:right w:val="single" w:sz="4" w:space="0" w:color="auto"/>
            </w:tcBorders>
            <w:shd w:val="clear" w:color="auto" w:fill="FFFFFF"/>
            <w:vAlign w:val="center"/>
          </w:tcPr>
          <w:p w:rsidR="004D0CAB" w:rsidRPr="00C13350" w:rsidRDefault="004D0CAB" w:rsidP="00C13350">
            <w:pPr>
              <w:jc w:val="center"/>
              <w:rPr>
                <w:rFonts w:ascii="宋体" w:eastAsia="宋体" w:hAnsi="宋体"/>
                <w:sz w:val="18"/>
                <w:szCs w:val="18"/>
              </w:rPr>
            </w:pPr>
          </w:p>
        </w:tc>
      </w:tr>
      <w:tr w:rsidR="004D0CAB" w:rsidRPr="00931CB7" w:rsidTr="00C13350">
        <w:trPr>
          <w:trHeight w:hRule="exact" w:val="274"/>
          <w:jc w:val="center"/>
        </w:trPr>
        <w:tc>
          <w:tcPr>
            <w:tcW w:w="988"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射频器件</w:t>
            </w:r>
          </w:p>
        </w:tc>
        <w:tc>
          <w:tcPr>
            <w:tcW w:w="3685"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滤波器等</w:t>
            </w:r>
          </w:p>
        </w:tc>
        <w:tc>
          <w:tcPr>
            <w:tcW w:w="2835" w:type="dxa"/>
            <w:tcBorders>
              <w:top w:val="single" w:sz="4" w:space="0" w:color="auto"/>
              <w:lef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松下、</w:t>
            </w:r>
            <w:r w:rsidRPr="00C13350">
              <w:rPr>
                <w:sz w:val="18"/>
                <w:szCs w:val="18"/>
              </w:rPr>
              <w:t>ACX</w:t>
            </w:r>
            <w:r w:rsidRPr="00C13350">
              <w:rPr>
                <w:sz w:val="18"/>
                <w:szCs w:val="18"/>
                <w:lang w:val="zh-TW" w:eastAsia="zh-TW" w:bidi="zh-TW"/>
              </w:rPr>
              <w:t>等</w:t>
            </w:r>
          </w:p>
        </w:tc>
        <w:tc>
          <w:tcPr>
            <w:tcW w:w="1706" w:type="dxa"/>
            <w:vMerge/>
            <w:tcBorders>
              <w:left w:val="single" w:sz="4" w:space="0" w:color="auto"/>
              <w:right w:val="single" w:sz="4" w:space="0" w:color="auto"/>
            </w:tcBorders>
            <w:shd w:val="clear" w:color="auto" w:fill="FFFFFF"/>
            <w:vAlign w:val="center"/>
          </w:tcPr>
          <w:p w:rsidR="004D0CAB" w:rsidRPr="00C13350" w:rsidRDefault="004D0CAB" w:rsidP="00C13350">
            <w:pPr>
              <w:jc w:val="center"/>
              <w:rPr>
                <w:rFonts w:ascii="宋体" w:eastAsia="宋体" w:hAnsi="宋体"/>
                <w:sz w:val="18"/>
                <w:szCs w:val="18"/>
              </w:rPr>
            </w:pPr>
          </w:p>
        </w:tc>
      </w:tr>
      <w:tr w:rsidR="004D0CAB" w:rsidRPr="00931CB7" w:rsidTr="00C13350">
        <w:trPr>
          <w:trHeight w:hRule="exact" w:val="283"/>
          <w:jc w:val="center"/>
        </w:trPr>
        <w:tc>
          <w:tcPr>
            <w:tcW w:w="988" w:type="dxa"/>
            <w:tcBorders>
              <w:top w:val="single" w:sz="4" w:space="0" w:color="auto"/>
              <w:left w:val="single" w:sz="4" w:space="0" w:color="auto"/>
              <w:bottom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显示屏模组</w:t>
            </w:r>
          </w:p>
        </w:tc>
        <w:tc>
          <w:tcPr>
            <w:tcW w:w="3685" w:type="dxa"/>
            <w:tcBorders>
              <w:top w:val="single" w:sz="4" w:space="0" w:color="auto"/>
              <w:left w:val="single" w:sz="4" w:space="0" w:color="auto"/>
              <w:bottom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rPr>
              <w:t xml:space="preserve">PMOLED、LCM、AIT </w:t>
            </w:r>
            <w:r w:rsidRPr="00C13350">
              <w:rPr>
                <w:sz w:val="18"/>
                <w:szCs w:val="18"/>
                <w:lang w:val="zh-TW" w:eastAsia="zh-TW" w:bidi="zh-TW"/>
              </w:rPr>
              <w:t>等</w:t>
            </w:r>
          </w:p>
        </w:tc>
        <w:tc>
          <w:tcPr>
            <w:tcW w:w="2835" w:type="dxa"/>
            <w:tcBorders>
              <w:top w:val="single" w:sz="4" w:space="0" w:color="auto"/>
              <w:left w:val="single" w:sz="4" w:space="0" w:color="auto"/>
              <w:bottom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智晶、</w:t>
            </w:r>
            <w:r w:rsidRPr="00C13350">
              <w:rPr>
                <w:sz w:val="18"/>
                <w:szCs w:val="18"/>
              </w:rPr>
              <w:t>LGD</w:t>
            </w:r>
            <w:r w:rsidRPr="00C13350">
              <w:rPr>
                <w:sz w:val="18"/>
                <w:szCs w:val="18"/>
                <w:lang w:val="zh-TW" w:eastAsia="zh-TW" w:bidi="zh-TW"/>
              </w:rPr>
              <w:t>等</w:t>
            </w:r>
          </w:p>
        </w:tc>
        <w:tc>
          <w:tcPr>
            <w:tcW w:w="1706" w:type="dxa"/>
            <w:tcBorders>
              <w:top w:val="single" w:sz="4" w:space="0" w:color="auto"/>
              <w:left w:val="single" w:sz="4" w:space="0" w:color="auto"/>
              <w:bottom w:val="single" w:sz="4" w:space="0" w:color="auto"/>
              <w:right w:val="single" w:sz="4" w:space="0" w:color="auto"/>
            </w:tcBorders>
            <w:shd w:val="clear" w:color="auto" w:fill="FFFFFF"/>
            <w:vAlign w:val="center"/>
          </w:tcPr>
          <w:p w:rsidR="004D0CAB" w:rsidRPr="00C13350" w:rsidRDefault="004D0CAB" w:rsidP="00C13350">
            <w:pPr>
              <w:pStyle w:val="Other10"/>
              <w:rPr>
                <w:sz w:val="18"/>
                <w:szCs w:val="18"/>
              </w:rPr>
            </w:pPr>
            <w:r w:rsidRPr="00C13350">
              <w:rPr>
                <w:sz w:val="18"/>
                <w:szCs w:val="18"/>
                <w:lang w:val="zh-TW" w:eastAsia="zh-TW" w:bidi="zh-TW"/>
              </w:rPr>
              <w:t>车载市场</w:t>
            </w:r>
          </w:p>
        </w:tc>
      </w:tr>
    </w:tbl>
    <w:p w:rsidR="00C13350" w:rsidRDefault="00C13350" w:rsidP="00C13350">
      <w:pPr>
        <w:pStyle w:val="Tablecaption10"/>
        <w:ind w:firstLine="0"/>
        <w:jc w:val="right"/>
      </w:pPr>
    </w:p>
    <w:p w:rsidR="004D0CAB" w:rsidRPr="00931CB7" w:rsidRDefault="004D0CAB" w:rsidP="00C13350">
      <w:pPr>
        <w:pStyle w:val="Tablecaption10"/>
        <w:ind w:firstLine="0"/>
        <w:jc w:val="right"/>
      </w:pPr>
      <w:r w:rsidRPr="00931CB7">
        <w:t>数据来源：公司</w:t>
      </w:r>
      <w:r w:rsidRPr="00931CB7">
        <w:rPr>
          <w:rFonts w:cs="Times New Roman"/>
        </w:rPr>
        <w:t>2019</w:t>
      </w:r>
      <w:r w:rsidRPr="00931CB7">
        <w:t>年半年报</w:t>
      </w:r>
    </w:p>
    <w:p w:rsidR="004D0CAB" w:rsidRPr="00931CB7" w:rsidRDefault="00BF2315" w:rsidP="00BF2315">
      <w:pPr>
        <w:pStyle w:val="Bodytext10"/>
        <w:spacing w:after="60" w:line="582" w:lineRule="exact"/>
        <w:ind w:firstLine="0"/>
        <w:jc w:val="both"/>
        <w:rPr>
          <w:b/>
          <w:lang w:eastAsia="zh-CN"/>
        </w:rPr>
      </w:pPr>
      <w:r>
        <w:rPr>
          <w:rFonts w:hint="eastAsia"/>
          <w:b/>
        </w:rPr>
        <w:t>加大研发投入</w:t>
      </w:r>
      <w:r>
        <w:rPr>
          <w:rFonts w:hint="eastAsia"/>
          <w:b/>
          <w:lang w:eastAsia="zh-CN"/>
        </w:rPr>
        <w:t>，深耕半导体领域</w:t>
      </w:r>
    </w:p>
    <w:p w:rsidR="00004438" w:rsidRPr="00876797" w:rsidRDefault="004D0CAB" w:rsidP="00876797">
      <w:pPr>
        <w:pStyle w:val="Bodytext10"/>
        <w:tabs>
          <w:tab w:val="left" w:pos="6005"/>
        </w:tabs>
        <w:spacing w:line="581" w:lineRule="exact"/>
        <w:ind w:firstLine="640"/>
        <w:jc w:val="both"/>
      </w:pPr>
      <w:r w:rsidRPr="00931CB7">
        <w:t>韦尔股份一直非常重视技术研发工作</w:t>
      </w:r>
      <w:r w:rsidR="00BF2315">
        <w:rPr>
          <w:rFonts w:hint="eastAsia"/>
          <w:lang w:eastAsia="zh-CN"/>
        </w:rPr>
        <w:t>，</w:t>
      </w:r>
      <w:r w:rsidR="00004438">
        <w:rPr>
          <w:rFonts w:hint="eastAsia"/>
        </w:rPr>
        <w:t>本部业务也</w:t>
      </w:r>
      <w:r w:rsidRPr="00931CB7">
        <w:t>不断加大研发投入，</w:t>
      </w:r>
      <w:r w:rsidR="00004438" w:rsidRPr="00B75872">
        <w:rPr>
          <w:rFonts w:hint="eastAsia"/>
          <w:color w:val="FF0000"/>
          <w:lang w:eastAsia="zh-CN"/>
        </w:rPr>
        <w:t>从射频</w:t>
      </w:r>
      <w:r w:rsidR="00004438" w:rsidRPr="00B75872">
        <w:rPr>
          <w:color w:val="FF0000"/>
          <w:lang w:val="en-US" w:eastAsia="zh-CN"/>
        </w:rPr>
        <w:t>IC</w:t>
      </w:r>
      <w:r w:rsidR="00004438" w:rsidRPr="00B75872">
        <w:rPr>
          <w:rFonts w:hint="eastAsia"/>
          <w:color w:val="FF0000"/>
          <w:lang w:val="en-US" w:eastAsia="zh-CN"/>
        </w:rPr>
        <w:t>到模拟</w:t>
      </w:r>
      <w:r w:rsidR="00004438" w:rsidRPr="00B75872">
        <w:rPr>
          <w:color w:val="FF0000"/>
          <w:lang w:val="en-US" w:eastAsia="zh-CN"/>
        </w:rPr>
        <w:t>IC</w:t>
      </w:r>
      <w:r w:rsidR="00004438" w:rsidRPr="00B75872">
        <w:rPr>
          <w:rFonts w:hint="eastAsia"/>
          <w:color w:val="FF0000"/>
          <w:lang w:val="en-US" w:eastAsia="zh-CN"/>
        </w:rPr>
        <w:t>再到功率</w:t>
      </w:r>
      <w:r w:rsidR="00004438" w:rsidRPr="00B75872">
        <w:rPr>
          <w:color w:val="FF0000"/>
          <w:lang w:val="en-US" w:eastAsia="zh-CN"/>
        </w:rPr>
        <w:t>IC</w:t>
      </w:r>
      <w:r w:rsidR="00004438" w:rsidRPr="00B75872">
        <w:rPr>
          <w:rFonts w:hint="eastAsia"/>
          <w:color w:val="FF0000"/>
          <w:lang w:val="en-US" w:eastAsia="zh-CN"/>
        </w:rPr>
        <w:t>，</w:t>
      </w:r>
      <w:r w:rsidRPr="00931CB7">
        <w:rPr>
          <w:rFonts w:cs="Times New Roman"/>
        </w:rPr>
        <w:t>2019</w:t>
      </w:r>
      <w:r w:rsidRPr="00931CB7">
        <w:t>年上半年，公司研发投入</w:t>
      </w:r>
      <w:r w:rsidRPr="00931CB7">
        <w:rPr>
          <w:rFonts w:cs="Times New Roman"/>
          <w:lang w:val="en-US" w:eastAsia="zh-CN" w:bidi="en-US"/>
        </w:rPr>
        <w:t>0.91</w:t>
      </w:r>
      <w:r w:rsidRPr="00931CB7">
        <w:t>亿元，比上年同期增长</w:t>
      </w:r>
      <w:r w:rsidRPr="00931CB7">
        <w:rPr>
          <w:rFonts w:cs="Times New Roman"/>
        </w:rPr>
        <w:t>38.45%,</w:t>
      </w:r>
      <w:r w:rsidRPr="00931CB7">
        <w:t>半导体设计业务研发投入占半导体设计业务销售收入比例为</w:t>
      </w:r>
      <w:r w:rsidRPr="00931CB7">
        <w:rPr>
          <w:rFonts w:cs="Times New Roman"/>
        </w:rPr>
        <w:t>15.89%</w:t>
      </w:r>
      <w:r w:rsidR="00131138">
        <w:rPr>
          <w:rFonts w:hint="eastAsia"/>
          <w:lang w:eastAsia="zh-CN"/>
        </w:rPr>
        <w:t>，</w:t>
      </w:r>
      <w:r w:rsidRPr="00931CB7">
        <w:t>拥有专利</w:t>
      </w:r>
      <w:r w:rsidRPr="00931CB7">
        <w:rPr>
          <w:rFonts w:cs="Times New Roman"/>
        </w:rPr>
        <w:t>67</w:t>
      </w:r>
      <w:r w:rsidRPr="00931CB7">
        <w:t>项</w:t>
      </w:r>
      <w:r w:rsidR="00131138">
        <w:rPr>
          <w:rFonts w:hint="eastAsia"/>
          <w:lang w:eastAsia="zh-CN"/>
        </w:rPr>
        <w:t>，</w:t>
      </w:r>
      <w:r w:rsidRPr="00931CB7">
        <w:t>集成电路布图设计权</w:t>
      </w:r>
      <w:r w:rsidRPr="00931CB7">
        <w:rPr>
          <w:rFonts w:cs="Times New Roman"/>
        </w:rPr>
        <w:t>75</w:t>
      </w:r>
      <w:r w:rsidRPr="00931CB7">
        <w:t>项</w:t>
      </w:r>
      <w:r w:rsidR="00131138">
        <w:rPr>
          <w:rFonts w:hint="eastAsia"/>
          <w:lang w:eastAsia="zh-CN"/>
        </w:rPr>
        <w:t>，</w:t>
      </w:r>
      <w:r w:rsidRPr="00931CB7">
        <w:t>软件著作权</w:t>
      </w:r>
      <w:r w:rsidRPr="00931CB7">
        <w:rPr>
          <w:rFonts w:cs="Times New Roman"/>
        </w:rPr>
        <w:t>84</w:t>
      </w:r>
      <w:r w:rsidRPr="00931CB7">
        <w:t>项。</w:t>
      </w:r>
    </w:p>
    <w:p w:rsidR="004D0CAB" w:rsidRPr="00931CB7" w:rsidRDefault="00C13350" w:rsidP="004D0CAB">
      <w:pPr>
        <w:pStyle w:val="Bodytext10"/>
        <w:spacing w:line="584" w:lineRule="exact"/>
        <w:ind w:firstLine="640"/>
        <w:jc w:val="both"/>
      </w:pPr>
      <w:r>
        <w:rPr>
          <w:rFonts w:hint="eastAsia"/>
        </w:rPr>
        <w:t>同时</w:t>
      </w:r>
      <w:r w:rsidR="004D0CAB" w:rsidRPr="00931CB7">
        <w:t>韦尔股份</w:t>
      </w:r>
      <w:r>
        <w:rPr>
          <w:rFonts w:hint="eastAsia"/>
        </w:rPr>
        <w:t>也非常</w:t>
      </w:r>
      <w:r w:rsidR="004D0CAB" w:rsidRPr="00931CB7">
        <w:t>重视研发团队的建设，招纳了一批具有海外背景的科研人员，同时也吸引了全国各地优秀高校学子的加盟。公司核心研发团队均有着国内外重点院校相关专业硕士及以上学历，曾在上海先进半导体、上海贝岭、美国高通、美国</w:t>
      </w:r>
      <w:r w:rsidR="004D0CAB" w:rsidRPr="00931CB7">
        <w:rPr>
          <w:rFonts w:cs="Times New Roman"/>
          <w:lang w:val="en-US" w:eastAsia="zh-CN" w:bidi="en-US"/>
        </w:rPr>
        <w:t>TI</w:t>
      </w:r>
      <w:r w:rsidR="004D0CAB" w:rsidRPr="00931CB7">
        <w:rPr>
          <w:lang w:val="en-US" w:eastAsia="zh-CN" w:bidi="en-US"/>
        </w:rPr>
        <w:t>、</w:t>
      </w:r>
      <w:r w:rsidR="004D0CAB" w:rsidRPr="00931CB7">
        <w:t>美国</w:t>
      </w:r>
      <w:r w:rsidR="004D0CAB" w:rsidRPr="00931CB7">
        <w:rPr>
          <w:rFonts w:cs="Times New Roman"/>
          <w:lang w:val="en-US" w:eastAsia="zh-CN" w:bidi="en-US"/>
        </w:rPr>
        <w:t>INTERSIL</w:t>
      </w:r>
      <w:r w:rsidR="004D0CAB" w:rsidRPr="00931CB7">
        <w:t>等知名半导体设计公司担任重要职位。</w:t>
      </w:r>
    </w:p>
    <w:p w:rsidR="004D0CAB" w:rsidRPr="00931CB7" w:rsidRDefault="004D0CAB" w:rsidP="00BF2315">
      <w:pPr>
        <w:pStyle w:val="Bodytext10"/>
        <w:spacing w:line="581" w:lineRule="exact"/>
        <w:ind w:firstLine="0"/>
        <w:jc w:val="both"/>
        <w:rPr>
          <w:b/>
        </w:rPr>
      </w:pPr>
      <w:r w:rsidRPr="00931CB7">
        <w:rPr>
          <w:b/>
        </w:rPr>
        <w:t>多个细分产品确立技术优势</w:t>
      </w:r>
    </w:p>
    <w:p w:rsidR="004D0CAB" w:rsidRDefault="004D0CAB" w:rsidP="00C13350">
      <w:pPr>
        <w:pStyle w:val="Bodytext10"/>
        <w:spacing w:after="200" w:line="581" w:lineRule="exact"/>
        <w:ind w:firstLine="620"/>
        <w:jc w:val="both"/>
      </w:pPr>
      <w:r w:rsidRPr="00931CB7">
        <w:t>韦尔股份在分立器件行业的核心技术能力主要体现在对器件结构和工艺流程的技术储备。公司储备多项分立器件的工艺平台，并通过长期技术积累，掌握多模多频功率放大器技术、</w:t>
      </w:r>
      <w:r w:rsidRPr="00931CB7">
        <w:rPr>
          <w:rFonts w:cs="Times New Roman"/>
          <w:lang w:val="en-US" w:eastAsia="zh-CN" w:bidi="en-US"/>
        </w:rPr>
        <w:t>SOI</w:t>
      </w:r>
      <w:r w:rsidRPr="00931CB7">
        <w:t>开关技术、</w:t>
      </w:r>
      <w:r w:rsidRPr="00931CB7">
        <w:rPr>
          <w:rFonts w:cs="Times New Roman"/>
          <w:lang w:val="en-US" w:eastAsia="zh-CN" w:bidi="en-US"/>
        </w:rPr>
        <w:t xml:space="preserve">Trench </w:t>
      </w:r>
      <w:r w:rsidRPr="00931CB7">
        <w:rPr>
          <w:rFonts w:hint="eastAsia"/>
        </w:rPr>
        <w:t>（</w:t>
      </w:r>
      <w:r w:rsidRPr="00931CB7">
        <w:t>深槽）技术、多层外延技术、</w:t>
      </w:r>
      <w:r w:rsidRPr="00931CB7">
        <w:rPr>
          <w:rFonts w:hint="eastAsia"/>
          <w:lang w:eastAsia="zh-CN"/>
        </w:rPr>
        <w:t>背面</w:t>
      </w:r>
      <w:r w:rsidRPr="00931CB7">
        <w:t>减薄技</w:t>
      </w:r>
      <w:r w:rsidRPr="00931CB7">
        <w:lastRenderedPageBreak/>
        <w:t>术和芯片倒装技术等多项核心专利技术，基于核心</w:t>
      </w:r>
      <w:r w:rsidRPr="00931CB7">
        <w:rPr>
          <w:rFonts w:hint="eastAsia"/>
          <w:lang w:eastAsia="zh-CN"/>
        </w:rPr>
        <w:t>技术开发</w:t>
      </w:r>
      <w:r w:rsidRPr="00931CB7">
        <w:t>的多款产品可有效解决高集成度、低功耗等消费</w:t>
      </w:r>
      <w:r w:rsidRPr="00931CB7">
        <w:rPr>
          <w:rFonts w:hint="eastAsia"/>
          <w:lang w:eastAsia="zh-CN"/>
        </w:rPr>
        <w:t>电子领域</w:t>
      </w:r>
      <w:r w:rsidRPr="00931CB7">
        <w:rPr>
          <w:lang w:eastAsia="zh-CN"/>
        </w:rPr>
        <w:t>面临</w:t>
      </w:r>
      <w:r w:rsidRPr="00931CB7">
        <w:t>的主要课题，在业内处于领先水平。</w:t>
      </w:r>
    </w:p>
    <w:p w:rsidR="00304DB8" w:rsidRPr="00304DB8" w:rsidRDefault="00304DB8" w:rsidP="00304DB8">
      <w:pPr>
        <w:pStyle w:val="Bodytext10"/>
        <w:spacing w:after="200" w:line="581" w:lineRule="exact"/>
        <w:ind w:firstLine="0"/>
        <w:jc w:val="both"/>
        <w:rPr>
          <w:b/>
          <w:bCs/>
        </w:rPr>
      </w:pPr>
      <w:r w:rsidRPr="00304DB8">
        <w:rPr>
          <w:rFonts w:hint="eastAsia"/>
          <w:b/>
          <w:bCs/>
        </w:rPr>
        <w:t>加快产业优质资源有效整合</w:t>
      </w:r>
    </w:p>
    <w:p w:rsidR="00131FC9" w:rsidRPr="00931CB7" w:rsidRDefault="00BF2315" w:rsidP="00AF29B9">
      <w:pPr>
        <w:pStyle w:val="Bodytext10"/>
        <w:spacing w:after="200" w:line="581" w:lineRule="exact"/>
        <w:ind w:firstLine="640"/>
        <w:jc w:val="both"/>
      </w:pPr>
      <w:r>
        <w:rPr>
          <w:rFonts w:hint="eastAsia"/>
          <w:color w:val="FF0000"/>
          <w:lang w:val="en-US" w:eastAsia="zh-CN"/>
        </w:rPr>
        <w:t>公司于</w:t>
      </w:r>
      <w:r w:rsidRPr="00B75872">
        <w:rPr>
          <w:rFonts w:hint="eastAsia"/>
          <w:color w:val="FF0000"/>
          <w:lang w:val="en-US" w:eastAsia="zh-CN"/>
        </w:rPr>
        <w:t>2</w:t>
      </w:r>
      <w:r w:rsidRPr="00B75872">
        <w:rPr>
          <w:color w:val="FF0000"/>
          <w:lang w:val="en-US" w:eastAsia="zh-CN"/>
        </w:rPr>
        <w:t>019</w:t>
      </w:r>
      <w:r w:rsidRPr="00B75872">
        <w:rPr>
          <w:rFonts w:hint="eastAsia"/>
          <w:color w:val="FF0000"/>
          <w:lang w:val="en-US" w:eastAsia="zh-CN"/>
        </w:rPr>
        <w:t>年1</w:t>
      </w:r>
      <w:r w:rsidRPr="00B75872">
        <w:rPr>
          <w:color w:val="FF0000"/>
          <w:lang w:val="en-US" w:eastAsia="zh-CN"/>
        </w:rPr>
        <w:t>2</w:t>
      </w:r>
      <w:r w:rsidRPr="00B75872">
        <w:rPr>
          <w:rFonts w:hint="eastAsia"/>
          <w:color w:val="FF0000"/>
          <w:lang w:val="en-US" w:eastAsia="zh-CN"/>
        </w:rPr>
        <w:t>月1</w:t>
      </w:r>
      <w:r w:rsidRPr="00B75872">
        <w:rPr>
          <w:color w:val="FF0000"/>
          <w:lang w:val="en-US" w:eastAsia="zh-CN"/>
        </w:rPr>
        <w:t>7</w:t>
      </w:r>
      <w:r w:rsidRPr="00B75872">
        <w:rPr>
          <w:rFonts w:hint="eastAsia"/>
          <w:color w:val="FF0000"/>
          <w:lang w:val="en-US" w:eastAsia="zh-CN"/>
        </w:rPr>
        <w:t>日</w:t>
      </w:r>
      <w:r>
        <w:rPr>
          <w:rFonts w:hint="eastAsia"/>
          <w:color w:val="FF0000"/>
          <w:lang w:val="en-US" w:eastAsia="zh-CN"/>
        </w:rPr>
        <w:t>发布</w:t>
      </w:r>
      <w:r w:rsidRPr="00B75872">
        <w:rPr>
          <w:rFonts w:hint="eastAsia"/>
          <w:color w:val="FF0000"/>
          <w:lang w:val="en-US" w:eastAsia="zh-CN"/>
        </w:rPr>
        <w:t>公告，拟通过境外全资子公司使用自有资金共计5</w:t>
      </w:r>
      <w:r w:rsidRPr="00B75872">
        <w:rPr>
          <w:color w:val="FF0000"/>
          <w:lang w:val="en-US" w:eastAsia="zh-CN"/>
        </w:rPr>
        <w:t>000</w:t>
      </w:r>
      <w:r w:rsidRPr="00B75872">
        <w:rPr>
          <w:rFonts w:hint="eastAsia"/>
          <w:color w:val="FF0000"/>
          <w:lang w:val="en-US" w:eastAsia="zh-CN"/>
        </w:rPr>
        <w:t>万美元，参与投资由璞华资本管理的境外半导体基金，该基金总认缴规模为2亿美元，将重点参与境内外集成电路领域的并购整合，对有核心竞争力的公司进行投资。公司拟通过参与该基金，加强公司在国内外集成电路产业的布局，加快产业优质资源的有效整合，进一步提升公司的综合实力。</w:t>
      </w:r>
    </w:p>
    <w:sectPr w:rsidR="00131FC9" w:rsidRPr="00931CB7" w:rsidSect="00C26E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AB"/>
    <w:rsid w:val="00004438"/>
    <w:rsid w:val="00131138"/>
    <w:rsid w:val="0015611F"/>
    <w:rsid w:val="00245CBA"/>
    <w:rsid w:val="00266612"/>
    <w:rsid w:val="002B6D70"/>
    <w:rsid w:val="002C71D3"/>
    <w:rsid w:val="00304DB8"/>
    <w:rsid w:val="003F42D7"/>
    <w:rsid w:val="004D0CAB"/>
    <w:rsid w:val="006441F3"/>
    <w:rsid w:val="007B3F6F"/>
    <w:rsid w:val="00813B09"/>
    <w:rsid w:val="00876797"/>
    <w:rsid w:val="00931CB7"/>
    <w:rsid w:val="00962610"/>
    <w:rsid w:val="009C75A9"/>
    <w:rsid w:val="00AF29B9"/>
    <w:rsid w:val="00B75872"/>
    <w:rsid w:val="00BF2315"/>
    <w:rsid w:val="00C13350"/>
    <w:rsid w:val="00C2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AC5D9"/>
  <w15:chartTrackingRefBased/>
  <w15:docId w15:val="{93B53386-5923-AB4E-9932-345CC18C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D0CAB"/>
    <w:pPr>
      <w:widowControl w:val="0"/>
    </w:pPr>
    <w:rPr>
      <w:rFonts w:ascii="Times New Roman" w:eastAsia="Times New Roman" w:hAnsi="Times New Roman" w:cs="Times New Roman"/>
      <w:color w:val="000000"/>
      <w:kern w:val="0"/>
      <w:sz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1">
    <w:name w:val="Body text|1_"/>
    <w:basedOn w:val="a0"/>
    <w:link w:val="Bodytext10"/>
    <w:rsid w:val="004D0CAB"/>
    <w:rPr>
      <w:rFonts w:ascii="宋体" w:eastAsia="宋体" w:hAnsi="宋体" w:cs="宋体"/>
      <w:color w:val="231F20"/>
      <w:sz w:val="30"/>
      <w:szCs w:val="30"/>
      <w:lang w:val="zh-TW" w:eastAsia="zh-TW" w:bidi="zh-TW"/>
    </w:rPr>
  </w:style>
  <w:style w:type="character" w:customStyle="1" w:styleId="Bodytext2">
    <w:name w:val="Body text|2_"/>
    <w:basedOn w:val="a0"/>
    <w:link w:val="Bodytext20"/>
    <w:rsid w:val="004D0CAB"/>
    <w:rPr>
      <w:color w:val="231F20"/>
      <w:sz w:val="30"/>
      <w:szCs w:val="30"/>
    </w:rPr>
  </w:style>
  <w:style w:type="character" w:customStyle="1" w:styleId="Picturecaption1">
    <w:name w:val="Picture caption|1_"/>
    <w:basedOn w:val="a0"/>
    <w:link w:val="Picturecaption10"/>
    <w:rsid w:val="004D0CAB"/>
    <w:rPr>
      <w:rFonts w:ascii="宋体" w:eastAsia="宋体" w:hAnsi="宋体" w:cs="宋体"/>
      <w:color w:val="231F20"/>
      <w:sz w:val="30"/>
      <w:szCs w:val="30"/>
      <w:lang w:val="zh-TW" w:eastAsia="zh-TW" w:bidi="zh-TW"/>
    </w:rPr>
  </w:style>
  <w:style w:type="character" w:customStyle="1" w:styleId="Heading21">
    <w:name w:val="Heading #2|1_"/>
    <w:basedOn w:val="a0"/>
    <w:link w:val="Heading210"/>
    <w:rsid w:val="004D0CAB"/>
    <w:rPr>
      <w:rFonts w:ascii="宋体" w:eastAsia="宋体" w:hAnsi="宋体" w:cs="宋体"/>
      <w:color w:val="231F20"/>
      <w:sz w:val="42"/>
      <w:szCs w:val="42"/>
      <w:lang w:val="zh-TW" w:eastAsia="zh-TW" w:bidi="zh-TW"/>
    </w:rPr>
  </w:style>
  <w:style w:type="character" w:customStyle="1" w:styleId="Other1">
    <w:name w:val="Other|1_"/>
    <w:basedOn w:val="a0"/>
    <w:link w:val="Other10"/>
    <w:rsid w:val="004D0CAB"/>
    <w:rPr>
      <w:rFonts w:ascii="宋体" w:eastAsia="宋体" w:hAnsi="宋体" w:cs="宋体"/>
      <w:color w:val="231F20"/>
      <w:sz w:val="20"/>
      <w:szCs w:val="20"/>
    </w:rPr>
  </w:style>
  <w:style w:type="character" w:customStyle="1" w:styleId="Tablecaption1">
    <w:name w:val="Table caption|1_"/>
    <w:basedOn w:val="a0"/>
    <w:link w:val="Tablecaption10"/>
    <w:rsid w:val="004D0CAB"/>
    <w:rPr>
      <w:rFonts w:ascii="宋体" w:eastAsia="宋体" w:hAnsi="宋体" w:cs="宋体"/>
      <w:color w:val="231F20"/>
      <w:sz w:val="19"/>
      <w:szCs w:val="19"/>
      <w:lang w:val="zh-TW" w:eastAsia="zh-TW" w:bidi="zh-TW"/>
    </w:rPr>
  </w:style>
  <w:style w:type="paragraph" w:customStyle="1" w:styleId="Bodytext10">
    <w:name w:val="Body text|1"/>
    <w:basedOn w:val="a"/>
    <w:link w:val="Bodytext1"/>
    <w:rsid w:val="004D0CAB"/>
    <w:pPr>
      <w:spacing w:line="408" w:lineRule="auto"/>
      <w:ind w:firstLine="400"/>
    </w:pPr>
    <w:rPr>
      <w:rFonts w:ascii="宋体" w:eastAsia="宋体" w:hAnsi="宋体" w:cs="宋体"/>
      <w:color w:val="231F20"/>
      <w:kern w:val="2"/>
      <w:sz w:val="30"/>
      <w:szCs w:val="30"/>
      <w:lang w:val="zh-TW" w:eastAsia="zh-TW" w:bidi="zh-TW"/>
    </w:rPr>
  </w:style>
  <w:style w:type="paragraph" w:customStyle="1" w:styleId="Bodytext20">
    <w:name w:val="Body text|2"/>
    <w:basedOn w:val="a"/>
    <w:link w:val="Bodytext2"/>
    <w:rsid w:val="004D0CAB"/>
    <w:rPr>
      <w:rFonts w:asciiTheme="minorHAnsi" w:eastAsiaTheme="minorEastAsia" w:hAnsiTheme="minorHAnsi" w:cstheme="minorBidi"/>
      <w:color w:val="231F20"/>
      <w:kern w:val="2"/>
      <w:sz w:val="30"/>
      <w:szCs w:val="30"/>
      <w:lang w:eastAsia="zh-CN" w:bidi="ar-SA"/>
    </w:rPr>
  </w:style>
  <w:style w:type="paragraph" w:customStyle="1" w:styleId="Picturecaption10">
    <w:name w:val="Picture caption|1"/>
    <w:basedOn w:val="a"/>
    <w:link w:val="Picturecaption1"/>
    <w:rsid w:val="004D0CAB"/>
    <w:rPr>
      <w:rFonts w:ascii="宋体" w:eastAsia="宋体" w:hAnsi="宋体" w:cs="宋体"/>
      <w:color w:val="231F20"/>
      <w:kern w:val="2"/>
      <w:sz w:val="30"/>
      <w:szCs w:val="30"/>
      <w:lang w:val="zh-TW" w:eastAsia="zh-TW" w:bidi="zh-TW"/>
    </w:rPr>
  </w:style>
  <w:style w:type="paragraph" w:customStyle="1" w:styleId="Heading210">
    <w:name w:val="Heading #2|1"/>
    <w:basedOn w:val="a"/>
    <w:link w:val="Heading21"/>
    <w:rsid w:val="004D0CAB"/>
    <w:pPr>
      <w:spacing w:before="590" w:after="870"/>
      <w:outlineLvl w:val="1"/>
    </w:pPr>
    <w:rPr>
      <w:rFonts w:ascii="宋体" w:eastAsia="宋体" w:hAnsi="宋体" w:cs="宋体"/>
      <w:color w:val="231F20"/>
      <w:kern w:val="2"/>
      <w:sz w:val="42"/>
      <w:szCs w:val="42"/>
      <w:lang w:val="zh-TW" w:eastAsia="zh-TW" w:bidi="zh-TW"/>
    </w:rPr>
  </w:style>
  <w:style w:type="paragraph" w:customStyle="1" w:styleId="Other10">
    <w:name w:val="Other|1"/>
    <w:basedOn w:val="a"/>
    <w:link w:val="Other1"/>
    <w:rsid w:val="004D0CAB"/>
    <w:pPr>
      <w:jc w:val="center"/>
    </w:pPr>
    <w:rPr>
      <w:rFonts w:ascii="宋体" w:eastAsia="宋体" w:hAnsi="宋体" w:cs="宋体"/>
      <w:color w:val="231F20"/>
      <w:kern w:val="2"/>
      <w:sz w:val="20"/>
      <w:szCs w:val="20"/>
      <w:lang w:eastAsia="zh-CN" w:bidi="ar-SA"/>
    </w:rPr>
  </w:style>
  <w:style w:type="paragraph" w:customStyle="1" w:styleId="Tablecaption10">
    <w:name w:val="Table caption|1"/>
    <w:basedOn w:val="a"/>
    <w:link w:val="Tablecaption1"/>
    <w:rsid w:val="004D0CAB"/>
    <w:pPr>
      <w:ind w:firstLine="190"/>
    </w:pPr>
    <w:rPr>
      <w:rFonts w:ascii="宋体" w:eastAsia="宋体" w:hAnsi="宋体" w:cs="宋体"/>
      <w:color w:val="231F20"/>
      <w:kern w:val="2"/>
      <w:sz w:val="19"/>
      <w:szCs w:val="19"/>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claire0810@sina.com</dc:creator>
  <cp:keywords/>
  <dc:description/>
  <cp:lastModifiedBy>claire0810@sina.com</cp:lastModifiedBy>
  <cp:revision>15</cp:revision>
  <dcterms:created xsi:type="dcterms:W3CDTF">2020-02-09T12:30:00Z</dcterms:created>
  <dcterms:modified xsi:type="dcterms:W3CDTF">2020-02-10T06:25:00Z</dcterms:modified>
</cp:coreProperties>
</file>