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8"/>
          <w:szCs w:val="28"/>
        </w:rPr>
        <w:t xml:space="preserve">TYISHEA T. HARRINGTON</w:t>
      </w:r>
    </w:p>
    <w:p>
      <w:r>
        <w:rPr>
          <w:rFonts w:ascii="Arial" w:cs="Arial" w:eastAsia="Arial" w:hAnsi="Arial"/>
          <w:sz w:val="24"/>
          <w:szCs w:val="24"/>
        </w:rPr>
        <w:t xml:space="preserve">Address on File with Experian: 1919 Charcoal Ives Rd, Lawrenceville, GA 30045</w:t>
      </w:r>
    </w:p>
    <w:p>
      <w:r>
        <w:rPr>
          <w:rFonts w:ascii="Arial" w:cs="Arial" w:eastAsia="Arial" w:hAnsi="Arial"/>
          <w:sz w:val="24"/>
          <w:szCs w:val="24"/>
        </w:rPr>
        <w:t xml:space="preserve">Date of Birth: February 15, 1987   |   SSN Last 4: 0147</w:t>
      </w:r>
    </w:p>
    <w:p>
      <w:r>
        <w:rPr>
          <w:rFonts w:ascii="Arial" w:cs="Arial" w:eastAsia="Arial" w:hAnsi="Arial"/>
          <w:sz w:val="24"/>
          <w:szCs w:val="24"/>
        </w:rPr>
        <w:t xml:space="preserve">Phone: (510) 250-3242   |   Email: harringtonatl@gmail.com</w:t>
      </w:r>
    </w:p>
    <w:p>
      <w:r>
        <w:rPr>
          <w:rFonts w:ascii="Arial" w:cs="Arial" w:eastAsia="Arial" w:hAnsi="Arial"/>
          <w:sz w:val="24"/>
          <w:szCs w:val="24"/>
        </w:rPr>
        <w:t xml:space="preserve"/>
      </w:r>
    </w:p>
    <w:p>
      <w:r>
        <w:rPr>
          <w:rFonts w:ascii="Arial" w:cs="Arial" w:eastAsia="Arial" w:hAnsi="Arial"/>
          <w:sz w:val="24"/>
          <w:szCs w:val="24"/>
        </w:rPr>
        <w:t xml:space="preserve">March 28, 2026</w:t>
      </w:r>
    </w:p>
    <w:p>
      <w:r>
        <w:rPr>
          <w:rFonts w:ascii="Arial" w:cs="Arial" w:eastAsia="Arial" w:hAnsi="Arial"/>
          <w:sz w:val="24"/>
          <w:szCs w:val="24"/>
        </w:rPr>
        <w:t xml:space="preserve"/>
      </w:r>
    </w:p>
    <w:p>
      <w:r>
        <w:rPr>
          <w:rFonts w:ascii="Arial" w:cs="Arial" w:eastAsia="Arial" w:hAnsi="Arial"/>
          <w:b/>
          <w:bCs/>
          <w:color w:val="C00000"/>
          <w:sz w:val="24"/>
          <w:szCs w:val="24"/>
        </w:rPr>
        <w:t xml:space="preserve">Sent Via Certified Mail — Return Receipt Requested</w:t>
      </w:r>
    </w:p>
    <w:p>
      <w:r>
        <w:rPr>
          <w:rFonts w:ascii="Arial" w:cs="Arial" w:eastAsia="Arial" w:hAnsi="Arial"/>
          <w:sz w:val="24"/>
          <w:szCs w:val="24"/>
        </w:rPr>
        <w:t xml:space="preserve"/>
      </w:r>
    </w:p>
    <w:p>
      <w:r>
        <w:rPr>
          <w:rFonts w:ascii="Arial" w:cs="Arial" w:eastAsia="Arial" w:hAnsi="Arial"/>
          <w:b/>
          <w:bCs/>
          <w:sz w:val="24"/>
          <w:szCs w:val="24"/>
        </w:rPr>
        <w:t xml:space="preserve">Experian Information Services, LLC</w:t>
      </w:r>
    </w:p>
    <w:p>
      <w:r>
        <w:rPr>
          <w:rFonts w:ascii="Arial" w:cs="Arial" w:eastAsia="Arial" w:hAnsi="Arial"/>
          <w:sz w:val="24"/>
          <w:szCs w:val="24"/>
        </w:rPr>
        <w:t xml:space="preserve">P.O. Box 4500</w:t>
      </w:r>
    </w:p>
    <w:p>
      <w:r>
        <w:rPr>
          <w:rFonts w:ascii="Arial" w:cs="Arial" w:eastAsia="Arial" w:hAnsi="Arial"/>
          <w:sz w:val="24"/>
          <w:szCs w:val="24"/>
        </w:rPr>
        <w:t xml:space="preserve">Allen, TX 75013</w:t>
      </w:r>
    </w:p>
    <w:p>
      <w:r>
        <w:rPr>
          <w:rFonts w:ascii="Arial" w:cs="Arial" w:eastAsia="Arial" w:hAnsi="Arial"/>
          <w:sz w:val="24"/>
          <w:szCs w:val="24"/>
        </w:rPr>
        <w:t xml:space="preserve"/>
      </w:r>
    </w:p>
    <w:p>
      <w:r>
        <w:rPr>
          <w:rFonts w:ascii="Arial" w:cs="Arial" w:eastAsia="Arial" w:hAnsi="Arial"/>
          <w:b/>
          <w:bCs/>
          <w:sz w:val="26"/>
          <w:szCs w:val="26"/>
        </w:rPr>
        <w:t xml:space="preserve">RE: FORMAL DISPUTE — CLOSED SCHOOL DISCHARGE / INACCURATE STUDENT LOAN REPORTING</w:t>
      </w:r>
    </w:p>
    <w:p>
      <w:r>
        <w:rPr>
          <w:rFonts w:ascii="Arial" w:cs="Arial" w:eastAsia="Arial" w:hAnsi="Arial"/>
          <w:sz w:val="24"/>
          <w:szCs w:val="24"/>
        </w:rPr>
        <w:t xml:space="preserve">Furnisher: DEPT OF EDUCATION / NELNET   |   Servicer Phone: (888) 486-4722</w:t>
      </w:r>
    </w:p>
    <w:p>
      <w:r>
        <w:rPr>
          <w:rFonts w:ascii="Arial" w:cs="Arial" w:eastAsia="Arial" w:hAnsi="Arial"/>
          <w:sz w:val="24"/>
          <w:szCs w:val="24"/>
        </w:rPr>
        <w:t xml:space="preserve">6 Student Loan Accounts — All Originated at Bauder College, Atlanta, GA (CLOSED)</w:t>
      </w:r>
    </w:p>
    <w:p>
      <w:r>
        <w:rPr>
          <w:rFonts w:ascii="Arial" w:cs="Arial" w:eastAsia="Arial" w:hAnsi="Arial"/>
          <w:sz w:val="24"/>
          <w:szCs w:val="24"/>
        </w:rPr>
        <w:t xml:space="preserve"/>
      </w:r>
    </w:p>
    <w:p>
      <w:r>
        <w:rPr>
          <w:rFonts w:ascii="Arial" w:cs="Arial" w:eastAsia="Arial" w:hAnsi="Arial"/>
          <w:sz w:val="24"/>
          <w:szCs w:val="24"/>
        </w:rPr>
        <w:t xml:space="preserve">To Whom It May Concern:</w:t>
      </w:r>
    </w:p>
    <w:p>
      <w:r>
        <w:rPr>
          <w:rFonts w:ascii="Arial" w:cs="Arial" w:eastAsia="Arial" w:hAnsi="Arial"/>
          <w:sz w:val="24"/>
          <w:szCs w:val="24"/>
        </w:rPr>
        <w:t xml:space="preserve"/>
      </w:r>
    </w:p>
    <w:p>
      <w:r>
        <w:rPr>
          <w:rFonts w:ascii="Arial" w:cs="Arial" w:eastAsia="Arial" w:hAnsi="Arial"/>
          <w:sz w:val="24"/>
          <w:szCs w:val="24"/>
        </w:rPr>
        <w:t xml:space="preserve">I, Tyishea T. Harrington, am writing to formally dispute the accuracy of six (6) student loan accounts currently appearing on my Experian consumer credit report. All six loans were originated in connection with my enrollment at Bauder College, located in Atlanta, Georgia — a for-profit institution that has been permanently closed. These accounts are being reported inaccurately and in violation of federal law, and I am requesting their immediate investigation, correction, and/or deletion. This dispute is submitted under the Fair Credit Reporting Act ("FCRA"), 15 U.S.C. §1681 et seq.</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I.  BAUDER COLLEGE — CONFIRMED SCHOOL CLOSURE</w:t>
      </w:r>
    </w:p>
    <w:p>
      <w:r>
        <w:rPr>
          <w:rFonts w:ascii="Arial" w:cs="Arial" w:eastAsia="Arial" w:hAnsi="Arial"/>
          <w:sz w:val="24"/>
          <w:szCs w:val="24"/>
        </w:rPr>
        <w:t xml:space="preserve"/>
      </w:r>
    </w:p>
    <w:p>
      <w:r>
        <w:rPr>
          <w:rFonts w:ascii="Arial" w:cs="Arial" w:eastAsia="Arial" w:hAnsi="Arial"/>
          <w:sz w:val="24"/>
          <w:szCs w:val="24"/>
        </w:rPr>
        <w:t xml:space="preserve">The school associated with all six of the disputed loans — Bauder College, 384 Northyards Blvd., Suite 190, Atlanta, Georgia 30313 — permanently closed on or around February 23, 2016. This closure is officially documented in the United States Department of Education’s Closed School Search database (OPEID: 01157400). Bauder College was a for-profit institution owned and operated by Kaplan Higher Education Corporation. The school’s closure was publicly announced in July 2014 and was finalized by early 2016.</w:t>
      </w:r>
    </w:p>
    <w:p>
      <w:r>
        <w:rPr>
          <w:rFonts w:ascii="Arial" w:cs="Arial" w:eastAsia="Arial" w:hAnsi="Arial"/>
          <w:sz w:val="24"/>
          <w:szCs w:val="24"/>
        </w:rPr>
        <w:t xml:space="preserve"/>
      </w:r>
    </w:p>
    <w:p>
      <w:r>
        <w:rPr>
          <w:rFonts w:ascii="Arial" w:cs="Arial" w:eastAsia="Arial" w:hAnsi="Arial"/>
          <w:sz w:val="24"/>
          <w:szCs w:val="24"/>
        </w:rPr>
        <w:t xml:space="preserve">All six student loan accounts being disputed were opened between 2009 and 2011 — years during which I was enrolled at Bauder College prior to its closure. Under federal regulations, I am legally entitled to a Closed School Discharge of all associated federal student loans.</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II.  THE SIX DISPUTED ACCOUNTS</w:t>
      </w:r>
    </w:p>
    <w:p>
      <w:r>
        <w:rPr>
          <w:rFonts w:ascii="Arial" w:cs="Arial" w:eastAsia="Arial" w:hAnsi="Arial"/>
          <w:sz w:val="24"/>
          <w:szCs w:val="24"/>
        </w:rPr>
        <w:t xml:space="preserve"/>
      </w:r>
    </w:p>
    <w:p>
      <w:r>
        <w:rPr>
          <w:rFonts w:ascii="Arial" w:cs="Arial" w:eastAsia="Arial" w:hAnsi="Arial"/>
          <w:sz w:val="24"/>
          <w:szCs w:val="24"/>
        </w:rPr>
        <w:t xml:space="preserve">The following six accounts, all reported by DEPT OF EDUCATION/NELNET (121 S 13th St, Lincoln, NE 68508), appear on my Experian credit report and are the subject of this dispute: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60"/>
        <w:gridCol w:w="3000"/>
      </w:tblGrid>
      <w:tr>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4"/>
                <w:szCs w:val="24"/>
              </w:rPr>
              <w:t xml:space="preserve">Loan</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4"/>
                <w:szCs w:val="24"/>
              </w:rPr>
              <w:t xml:space="preserve">Date Opened</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4"/>
                <w:szCs w:val="24"/>
              </w:rPr>
              <w:t xml:space="preserve">Orig Balance</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4"/>
                <w:szCs w:val="24"/>
              </w:rPr>
              <w:t xml:space="preserve">Cur Balance</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4"/>
                <w:szCs w:val="24"/>
              </w:rPr>
              <w:t xml:space="preserve">Reported Status</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Loan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February 1, 2010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$2,404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Open/Deferred — Payments begin Nov 2028</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Loan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April 12, 2011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$4,000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$6,730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Open/Deferred — Payments begin Nov 2028</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Loan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April 12, 2011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$2,334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$2,970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Open/Deferred — Payments begin Nov 2028</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Loan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February 1, 2010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$3,000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$5,445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Open/Deferred — Payments begin Nov 2028</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Loan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March 27, 2009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$3,500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$0 (Paid/Closed)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Paid, Closed — Still showing 2 late payments</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Loan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March 27, 2009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$2,154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$0 (Paid/Closed)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Paid, Closed — Still showing 2 late payments</w:t>
            </w:r>
          </w:p>
        </w:tc>
      </w:tr>
    </w:tbl>
    <w:p>
      <w:r>
        <w:rPr>
          <w:rFonts w:ascii="Arial" w:cs="Arial" w:eastAsia="Arial" w:hAnsi="Arial"/>
          <w:sz w:val="24"/>
          <w:szCs w:val="24"/>
        </w:rPr>
        <w:t xml:space="preserve"/>
      </w:r>
    </w:p>
    <w:p>
      <w:r>
        <w:rPr>
          <w:rFonts w:ascii="Arial" w:cs="Arial" w:eastAsia="Arial" w:hAnsi="Arial"/>
          <w:sz w:val="24"/>
          <w:szCs w:val="24"/>
        </w:rPr>
        <w:t xml:space="preserve">TOTAL REPORTED LOAN BALANCE (OPEN ACCOUNTS): $17,549</w:t>
      </w:r>
      <w:r>
        <w:rPr>
          <w:rFonts w:ascii="Arial" w:cs="Arial" w:eastAsia="Arial" w:hAnsi="Arial"/>
          <w:b/>
          <w:bCs/>
          <w:color w:val="C00000"/>
          <w:sz w:val="24"/>
          <w:szCs w:val="24"/>
        </w:rPr>
        <w:t xml:space="preserve"> — All balances should be $0.00 upon Closed School Discharge.</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III.  SPECIFIC INACCURACIES BEING DISPUTED</w:t>
      </w:r>
    </w:p>
    <w:p>
      <w:r>
        <w:rPr>
          <w:rFonts w:ascii="Arial" w:cs="Arial" w:eastAsia="Arial" w:hAnsi="Arial"/>
          <w:sz w:val="24"/>
          <w:szCs w:val="24"/>
        </w:rPr>
        <w:t xml:space="preserve"/>
      </w:r>
    </w:p>
    <w:p>
      <w:r>
        <w:rPr>
          <w:rFonts w:ascii="Arial" w:cs="Arial" w:eastAsia="Arial" w:hAnsi="Arial"/>
          <w:b/>
          <w:bCs/>
          <w:sz w:val="24"/>
          <w:szCs w:val="24"/>
        </w:rPr>
        <w:t xml:space="preserve">A.  Loans Should Be Discharged — $0 Balance</w:t>
      </w:r>
    </w:p>
    <w:p>
      <w:r>
        <w:rPr>
          <w:rFonts w:ascii="Arial" w:cs="Arial" w:eastAsia="Arial" w:hAnsi="Arial"/>
          <w:sz w:val="24"/>
          <w:szCs w:val="24"/>
        </w:rPr>
        <w:t xml:space="preserve">All six loans are associated with Bauder College, a closed school. Under 34 CFR § 685.214, these loans qualify for a full Closed School Discharge. Reporting them as active obligations with balances totaling $17,549 is factually inaccurate and legally impermissible.</w:t>
      </w:r>
    </w:p>
    <w:p>
      <w:r>
        <w:rPr>
          <w:rFonts w:ascii="Arial" w:cs="Arial" w:eastAsia="Arial" w:hAnsi="Arial"/>
          <w:sz w:val="24"/>
          <w:szCs w:val="24"/>
        </w:rPr>
        <w:t xml:space="preserve"/>
      </w:r>
    </w:p>
    <w:p>
      <w:r>
        <w:rPr>
          <w:rFonts w:ascii="Arial" w:cs="Arial" w:eastAsia="Arial" w:hAnsi="Arial"/>
          <w:b/>
          <w:bCs/>
          <w:sz w:val="24"/>
          <w:szCs w:val="24"/>
        </w:rPr>
        <w:t xml:space="preserve">B.  Late Payment Notations Must Be Removed</w:t>
      </w:r>
    </w:p>
    <w:p>
      <w:r>
        <w:rPr>
          <w:rFonts w:ascii="Arial" w:cs="Arial" w:eastAsia="Arial" w:hAnsi="Arial"/>
          <w:sz w:val="24"/>
          <w:szCs w:val="24"/>
        </w:rPr>
        <w:t xml:space="preserve">Four open accounts are being reported with 90-day and 120-day late payments in July–August 2019. These derogatory marks are linked to loans that should never have been in repayment following the school’s 2016 closure. The continued reporting of these late payments is inaccurate and highly damaging to my credit profile.</w:t>
      </w:r>
    </w:p>
    <w:p>
      <w:r>
        <w:rPr>
          <w:rFonts w:ascii="Arial" w:cs="Arial" w:eastAsia="Arial" w:hAnsi="Arial"/>
          <w:sz w:val="24"/>
          <w:szCs w:val="24"/>
        </w:rPr>
        <w:t xml:space="preserve"/>
      </w:r>
    </w:p>
    <w:p>
      <w:r>
        <w:rPr>
          <w:rFonts w:ascii="Arial" w:cs="Arial" w:eastAsia="Arial" w:hAnsi="Arial"/>
          <w:b/>
          <w:bCs/>
          <w:sz w:val="24"/>
          <w:szCs w:val="24"/>
        </w:rPr>
        <w:t xml:space="preserve">C.  Two Closed Accounts Still Show Derogatory History</w:t>
      </w:r>
    </w:p>
    <w:p>
      <w:r>
        <w:rPr>
          <w:rFonts w:ascii="Arial" w:cs="Arial" w:eastAsia="Arial" w:hAnsi="Arial"/>
          <w:sz w:val="24"/>
          <w:szCs w:val="24"/>
        </w:rPr>
        <w:t xml:space="preserve">Two accounts marked "Paid, Closed" (opened March 27, 2009) still reflect late payment indicators despite being satisfied. These derogatory notations must be removed along with the tradelines, as they stem from the same closed school loan situation.</w:t>
      </w:r>
    </w:p>
    <w:p>
      <w:r>
        <w:rPr>
          <w:rFonts w:ascii="Arial" w:cs="Arial" w:eastAsia="Arial" w:hAnsi="Arial"/>
          <w:sz w:val="24"/>
          <w:szCs w:val="24"/>
        </w:rPr>
        <w:t xml:space="preserve"/>
      </w:r>
    </w:p>
    <w:p>
      <w:r>
        <w:rPr>
          <w:rFonts w:ascii="Arial" w:cs="Arial" w:eastAsia="Arial" w:hAnsi="Arial"/>
          <w:b/>
          <w:bCs/>
          <w:sz w:val="24"/>
          <w:szCs w:val="24"/>
        </w:rPr>
        <w:t xml:space="preserve">D.  Deferred Repayment Dates Are Incorrect</w:t>
      </w:r>
    </w:p>
    <w:p>
      <w:r>
        <w:rPr>
          <w:rFonts w:ascii="Arial" w:cs="Arial" w:eastAsia="Arial" w:hAnsi="Arial"/>
          <w:sz w:val="24"/>
          <w:szCs w:val="24"/>
        </w:rPr>
        <w:t xml:space="preserve">Four open accounts list payment begin dates of November 2028. This is inaccurate — these loans are subject to discharge, not deferment. The deferred status falsely implies the loans are legitimate active obligations.</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IV.  LEGAL BASIS FOR THIS DISPUTE</w:t>
      </w:r>
    </w:p>
    <w:p>
      <w:r>
        <w:rPr>
          <w:rFonts w:ascii="Arial" w:cs="Arial" w:eastAsia="Arial" w:hAnsi="Arial"/>
          <w:sz w:val="24"/>
          <w:szCs w:val="24"/>
        </w:rPr>
        <w:t xml:space="preserve"/>
      </w:r>
    </w:p>
    <w:p>
      <w:r>
        <w:rPr>
          <w:rFonts w:ascii="Arial" w:cs="Arial" w:eastAsia="Arial" w:hAnsi="Arial"/>
          <w:b/>
          <w:bCs/>
          <w:sz w:val="24"/>
          <w:szCs w:val="24"/>
        </w:rPr>
        <w:t xml:space="preserve">A.  34 CFR § 685.214 — Closed School Discharge (Higher Education Act)</w:t>
      </w:r>
    </w:p>
    <w:p>
      <w:r>
        <w:rPr>
          <w:rFonts w:ascii="Arial" w:cs="Arial" w:eastAsia="Arial" w:hAnsi="Arial"/>
          <w:sz w:val="24"/>
          <w:szCs w:val="24"/>
        </w:rPr>
        <w:t xml:space="preserve">A borrower is entitled to a full discharge of Direct Loans, FFEL Loans, or Perkins Loans if the school closed while the borrower was enrolled, within 120 days of withdrawal, or while the borrower was on an approved leave of absence. All loans tied to Bauder College qualify under this regulation.</w:t>
      </w:r>
    </w:p>
    <w:p>
      <w:r>
        <w:rPr>
          <w:rFonts w:ascii="Arial" w:cs="Arial" w:eastAsia="Arial" w:hAnsi="Arial"/>
          <w:sz w:val="24"/>
          <w:szCs w:val="24"/>
        </w:rPr>
        <w:t xml:space="preserve"/>
      </w:r>
    </w:p>
    <w:p>
      <w:r>
        <w:rPr>
          <w:rFonts w:ascii="Arial" w:cs="Arial" w:eastAsia="Arial" w:hAnsi="Arial"/>
          <w:b/>
          <w:bCs/>
          <w:sz w:val="24"/>
          <w:szCs w:val="24"/>
        </w:rPr>
        <w:t xml:space="preserve">B.  15 U.S.C. § 1681e(b) — Maximum Possible Accuracy</w:t>
      </w:r>
    </w:p>
    <w:p>
      <w:r>
        <w:rPr>
          <w:rFonts w:ascii="Arial" w:cs="Arial" w:eastAsia="Arial" w:hAnsi="Arial"/>
          <w:sz w:val="24"/>
          <w:szCs w:val="24"/>
        </w:rPr>
        <w:t xml:space="preserve">Consumer reporting agencies must follow reasonable procedures to ensure maximum accuracy of reported information. Reporting dischargeable student loans as active, delinquent obligations with growing balances is a direct violation of this standard.</w:t>
      </w:r>
    </w:p>
    <w:p>
      <w:r>
        <w:rPr>
          <w:rFonts w:ascii="Arial" w:cs="Arial" w:eastAsia="Arial" w:hAnsi="Arial"/>
          <w:sz w:val="24"/>
          <w:szCs w:val="24"/>
        </w:rPr>
        <w:t xml:space="preserve"/>
      </w:r>
    </w:p>
    <w:p>
      <w:r>
        <w:rPr>
          <w:rFonts w:ascii="Arial" w:cs="Arial" w:eastAsia="Arial" w:hAnsi="Arial"/>
          <w:b/>
          <w:bCs/>
          <w:sz w:val="24"/>
          <w:szCs w:val="24"/>
        </w:rPr>
        <w:t xml:space="preserve">C.  15 U.S.C. § 1681i(a) — Reinvestigation of Disputed Information</w:t>
      </w:r>
    </w:p>
    <w:p>
      <w:r>
        <w:rPr>
          <w:rFonts w:ascii="Arial" w:cs="Arial" w:eastAsia="Arial" w:hAnsi="Arial"/>
          <w:sz w:val="24"/>
          <w:szCs w:val="24"/>
        </w:rPr>
        <w:t xml:space="preserve">Upon receiving this dispute, Experian is required to conduct a reasonable reinvestigation within 30 days and contact the furnisher (Nelnet / U.S. Department of Education) to verify the accuracy of every element of these six accounts.</w:t>
      </w:r>
    </w:p>
    <w:p>
      <w:r>
        <w:rPr>
          <w:rFonts w:ascii="Arial" w:cs="Arial" w:eastAsia="Arial" w:hAnsi="Arial"/>
          <w:sz w:val="24"/>
          <w:szCs w:val="24"/>
        </w:rPr>
        <w:t xml:space="preserve"/>
      </w:r>
    </w:p>
    <w:p>
      <w:r>
        <w:rPr>
          <w:rFonts w:ascii="Arial" w:cs="Arial" w:eastAsia="Arial" w:hAnsi="Arial"/>
          <w:b/>
          <w:bCs/>
          <w:sz w:val="24"/>
          <w:szCs w:val="24"/>
        </w:rPr>
        <w:t xml:space="preserve">D.  15 U.S.C. § 1681i(a)(5)(A) — Deletion of Unverifiable Information</w:t>
      </w:r>
    </w:p>
    <w:p>
      <w:r>
        <w:rPr>
          <w:rFonts w:ascii="Arial" w:cs="Arial" w:eastAsia="Arial" w:hAnsi="Arial"/>
          <w:sz w:val="24"/>
          <w:szCs w:val="24"/>
        </w:rPr>
        <w:t xml:space="preserve">If any disputed information cannot be verified through competent and reliable documentation, it must be promptly deleted from my consumer credit file.</w:t>
      </w:r>
    </w:p>
    <w:p>
      <w:r>
        <w:rPr>
          <w:rFonts w:ascii="Arial" w:cs="Arial" w:eastAsia="Arial" w:hAnsi="Arial"/>
          <w:sz w:val="24"/>
          <w:szCs w:val="24"/>
        </w:rPr>
        <w:t xml:space="preserve"/>
      </w:r>
    </w:p>
    <w:p>
      <w:r>
        <w:rPr>
          <w:rFonts w:ascii="Arial" w:cs="Arial" w:eastAsia="Arial" w:hAnsi="Arial"/>
          <w:b/>
          <w:bCs/>
          <w:sz w:val="24"/>
          <w:szCs w:val="24"/>
        </w:rPr>
        <w:t xml:space="preserve">E.  15 U.S.C. § 1681s-2 — Duty of Furnishers</w:t>
      </w:r>
    </w:p>
    <w:p>
      <w:r>
        <w:rPr>
          <w:rFonts w:ascii="Arial" w:cs="Arial" w:eastAsia="Arial" w:hAnsi="Arial"/>
          <w:sz w:val="24"/>
          <w:szCs w:val="24"/>
        </w:rPr>
        <w:t xml:space="preserve">Nelnet, as the furnisher, has an affirmative duty to report accurate information. Reporting dischargeable Bauder College loans as active, growing debts with late payment history violates this statute.</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V.  DEMANDS</w:t>
      </w:r>
    </w:p>
    <w:p>
      <w:r>
        <w:rPr>
          <w:rFonts w:ascii="Arial" w:cs="Arial" w:eastAsia="Arial" w:hAnsi="Arial"/>
          <w:sz w:val="24"/>
          <w:szCs w:val="24"/>
        </w:rPr>
        <w:t xml:space="preserve"/>
      </w:r>
    </w:p>
    <w:p>
      <w:r>
        <w:rPr>
          <w:rFonts w:ascii="Arial" w:cs="Arial" w:eastAsia="Arial" w:hAnsi="Arial"/>
          <w:sz w:val="24"/>
          <w:szCs w:val="24"/>
        </w:rPr>
        <w:t xml:space="preserve">Pursuant to the FCRA, I formally demand the following: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CONDUCT A FULL REINVESTIGATION</w:t>
      </w:r>
      <w:r>
        <w:rPr>
          <w:rFonts w:ascii="Arial" w:cs="Arial" w:eastAsia="Arial" w:hAnsi="Arial"/>
          <w:sz w:val="24"/>
          <w:szCs w:val="24"/>
        </w:rPr>
        <w:t xml:space="preserve"> of all six accounts within the 30-day statutory window.</w:t>
      </w:r>
    </w:p>
    <w:p>
      <w:pPr>
        <w:pStyle w:val="ListParagraph"/>
        <w:numPr>
          <w:ilvl w:val="0"/>
          <w:numId w:val="2"/>
        </w:numPr>
      </w:pPr>
      <w:r>
        <w:rPr>
          <w:rFonts w:ascii="Arial" w:cs="Arial" w:eastAsia="Arial" w:hAnsi="Arial"/>
          <w:b/>
          <w:bCs/>
          <w:sz w:val="24"/>
          <w:szCs w:val="24"/>
        </w:rPr>
        <w:t xml:space="preserve">CONTACT NELNET AND THE U.S. DEPARTMENT OF EDUCATION</w:t>
      </w:r>
      <w:r>
        <w:rPr>
          <w:rFonts w:ascii="Arial" w:cs="Arial" w:eastAsia="Arial" w:hAnsi="Arial"/>
          <w:sz w:val="24"/>
          <w:szCs w:val="24"/>
        </w:rPr>
        <w:t xml:space="preserve"> to verify the discharge eligibility and current legal status of each loan.</w:t>
      </w:r>
    </w:p>
    <w:p>
      <w:pPr>
        <w:pStyle w:val="ListParagraph"/>
        <w:numPr>
          <w:ilvl w:val="0"/>
          <w:numId w:val="2"/>
        </w:numPr>
      </w:pPr>
      <w:r>
        <w:rPr>
          <w:rFonts w:ascii="Arial" w:cs="Arial" w:eastAsia="Arial" w:hAnsi="Arial"/>
          <w:b/>
          <w:bCs/>
          <w:sz w:val="24"/>
          <w:szCs w:val="24"/>
        </w:rPr>
        <w:t xml:space="preserve">DELETE OR UPDATE ALL SIX TRADELINES</w:t>
      </w:r>
      <w:r>
        <w:rPr>
          <w:rFonts w:ascii="Arial" w:cs="Arial" w:eastAsia="Arial" w:hAnsi="Arial"/>
          <w:sz w:val="24"/>
          <w:szCs w:val="24"/>
        </w:rPr>
        <w:t xml:space="preserve"> to reflect $0 balance and discharged status, with all late payment notations removed.</w:t>
      </w:r>
    </w:p>
    <w:p>
      <w:pPr>
        <w:pStyle w:val="ListParagraph"/>
        <w:numPr>
          <w:ilvl w:val="0"/>
          <w:numId w:val="2"/>
        </w:numPr>
      </w:pPr>
      <w:r>
        <w:rPr>
          <w:rFonts w:ascii="Arial" w:cs="Arial" w:eastAsia="Arial" w:hAnsi="Arial"/>
          <w:b/>
          <w:bCs/>
          <w:sz w:val="24"/>
          <w:szCs w:val="24"/>
        </w:rPr>
        <w:t xml:space="preserve">REMOVE ALL DEROGATORY PAYMENT HISTORY</w:t>
      </w:r>
      <w:r>
        <w:rPr>
          <w:rFonts w:ascii="Arial" w:cs="Arial" w:eastAsia="Arial" w:hAnsi="Arial"/>
          <w:sz w:val="24"/>
          <w:szCs w:val="24"/>
        </w:rPr>
        <w:t xml:space="preserve"> (90-day and 120-day late marks) associated with these accounts.</w:t>
      </w:r>
    </w:p>
    <w:p>
      <w:pPr>
        <w:pStyle w:val="ListParagraph"/>
        <w:numPr>
          <w:ilvl w:val="0"/>
          <w:numId w:val="2"/>
        </w:numPr>
      </w:pPr>
      <w:r>
        <w:rPr>
          <w:rFonts w:ascii="Arial" w:cs="Arial" w:eastAsia="Arial" w:hAnsi="Arial"/>
          <w:b/>
          <w:bCs/>
          <w:sz w:val="24"/>
          <w:szCs w:val="24"/>
        </w:rPr>
        <w:t xml:space="preserve">PROVIDE WRITTEN NOTICE</w:t>
      </w:r>
      <w:r>
        <w:rPr>
          <w:rFonts w:ascii="Arial" w:cs="Arial" w:eastAsia="Arial" w:hAnsi="Arial"/>
          <w:sz w:val="24"/>
          <w:szCs w:val="24"/>
        </w:rPr>
        <w:t xml:space="preserve"> of the reinvestigation results, including the name and contact information of the furnisher.</w:t>
      </w:r>
    </w:p>
    <w:p>
      <w:pPr>
        <w:pStyle w:val="ListParagraph"/>
        <w:numPr>
          <w:ilvl w:val="0"/>
          <w:numId w:val="2"/>
        </w:numPr>
      </w:pPr>
      <w:r>
        <w:rPr>
          <w:rFonts w:ascii="Arial" w:cs="Arial" w:eastAsia="Arial" w:hAnsi="Arial"/>
          <w:b/>
          <w:bCs/>
          <w:sz w:val="24"/>
          <w:szCs w:val="24"/>
        </w:rPr>
        <w:t xml:space="preserve">SEND CORRECTED REPORTS</w:t>
      </w:r>
      <w:r>
        <w:rPr>
          <w:rFonts w:ascii="Arial" w:cs="Arial" w:eastAsia="Arial" w:hAnsi="Arial"/>
          <w:sz w:val="24"/>
          <w:szCs w:val="24"/>
        </w:rPr>
        <w:t xml:space="preserve"> to all parties who accessed my credit report in the last 6 months, per 15 U.S.C. § 1681i(d).</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VI.  NOTICE OF LEGAL CONSEQUENCES</w:t>
      </w:r>
    </w:p>
    <w:p>
      <w:r>
        <w:rPr>
          <w:rFonts w:ascii="Arial" w:cs="Arial" w:eastAsia="Arial" w:hAnsi="Arial"/>
          <w:sz w:val="24"/>
          <w:szCs w:val="24"/>
        </w:rPr>
        <w:t xml:space="preserve"/>
      </w:r>
    </w:p>
    <w:p>
      <w:r>
        <w:rPr>
          <w:rFonts w:ascii="Arial" w:cs="Arial" w:eastAsia="Arial" w:hAnsi="Arial"/>
          <w:sz w:val="24"/>
          <w:szCs w:val="24"/>
        </w:rPr>
        <w:t xml:space="preserve">Please be advised that failure to comply with FCRA requirements may entitle me to pursue legal remedies including actual damages, statutory damages of up to $1,000 per violation (15 U.S.C. § 1681n), punitive damages, and attorney’s fees. I am prepared to escalate this matter to the Consumer Financial Protection Bureau (CFPB), the Georgia Attorney General, and through private legal action if necessary. I also note that my credit file already contains an active Identity Fraud Victim Alert (placed October 14, 2024), and inaccurate reporting in this context heightens the urgency of compliance.</w:t>
      </w:r>
    </w:p>
    <w:p>
      <w:r>
        <w:rPr>
          <w:rFonts w:ascii="Arial" w:cs="Arial" w:eastAsia="Arial" w:hAnsi="Arial"/>
          <w:sz w:val="24"/>
          <w:szCs w:val="24"/>
        </w:rPr>
        <w:t xml:space="preserve"/>
      </w:r>
    </w:p>
    <w:p>
      <w:pPr>
        <w:pBdr>
          <w:bottom w:val="single" w:color="2E74B5" w:sz="4"/>
        </w:pBdr>
      </w:pPr>
      <w:r>
        <w:rPr>
          <w:rFonts w:ascii="Arial" w:cs="Arial" w:eastAsia="Arial" w:hAnsi="Arial"/>
          <w:b/>
          <w:bCs/>
          <w:sz w:val="26"/>
          <w:szCs w:val="26"/>
        </w:rPr>
        <w:t xml:space="preserve">VII.  ENCLOSURES</w:t>
      </w:r>
    </w:p>
    <w:p>
      <w:r>
        <w:rPr>
          <w:rFonts w:ascii="Arial" w:cs="Arial" w:eastAsia="Arial" w:hAnsi="Arial"/>
          <w:sz w:val="24"/>
          <w:szCs w:val="24"/>
        </w:rPr>
        <w:t xml:space="preserve"/>
      </w:r>
    </w:p>
    <w:p>
      <w:pPr>
        <w:pStyle w:val="ListParagraph"/>
        <w:numPr>
          <w:ilvl w:val="0"/>
          <w:numId w:val="3"/>
        </w:numPr>
      </w:pPr>
      <w:r>
        <w:rPr>
          <w:rFonts w:ascii="Arial" w:cs="Arial" w:eastAsia="Arial" w:hAnsi="Arial"/>
          <w:sz w:val="24"/>
          <w:szCs w:val="24"/>
        </w:rPr>
        <w:t xml:space="preserve">Copy of Experian credit report (dated March 20, 2026) showing all six disputed tradelines</w:t>
      </w:r>
    </w:p>
    <w:p>
      <w:pPr>
        <w:pStyle w:val="ListParagraph"/>
        <w:numPr>
          <w:ilvl w:val="0"/>
          <w:numId w:val="3"/>
        </w:numPr>
      </w:pPr>
      <w:r>
        <w:rPr>
          <w:rFonts w:ascii="Arial" w:cs="Arial" w:eastAsia="Arial" w:hAnsi="Arial"/>
          <w:sz w:val="24"/>
          <w:szCs w:val="24"/>
        </w:rPr>
        <w:t xml:space="preserve">Department of Education Closed School record for Bauder College (OPEID: 01157400, Closure Date: 02/23/2016)</w:t>
      </w:r>
    </w:p>
    <w:p>
      <w:pPr>
        <w:pStyle w:val="ListParagraph"/>
        <w:numPr>
          <w:ilvl w:val="0"/>
          <w:numId w:val="3"/>
        </w:numPr>
      </w:pPr>
      <w:r>
        <w:rPr>
          <w:rFonts w:ascii="Arial" w:cs="Arial" w:eastAsia="Arial" w:hAnsi="Arial"/>
          <w:sz w:val="24"/>
          <w:szCs w:val="24"/>
        </w:rPr>
        <w:t xml:space="preserve">Proof of enrollment at Bauder College (transcripts, enrollment letter, financial aid award letters — if available)</w:t>
      </w:r>
    </w:p>
    <w:p>
      <w:pPr>
        <w:pStyle w:val="ListParagraph"/>
        <w:numPr>
          <w:ilvl w:val="0"/>
          <w:numId w:val="3"/>
        </w:numPr>
      </w:pPr>
      <w:r>
        <w:rPr>
          <w:rFonts w:ascii="Arial" w:cs="Arial" w:eastAsia="Arial" w:hAnsi="Arial"/>
          <w:sz w:val="24"/>
          <w:szCs w:val="24"/>
        </w:rPr>
        <w:t xml:space="preserve">Closed School Discharge Application (if already submitted to Nelnet/U.S. Dept. of Education)</w:t>
      </w:r>
    </w:p>
    <w:p>
      <w:pPr>
        <w:pStyle w:val="ListParagraph"/>
        <w:numPr>
          <w:ilvl w:val="0"/>
          <w:numId w:val="3"/>
        </w:numPr>
      </w:pPr>
      <w:r>
        <w:rPr>
          <w:rFonts w:ascii="Arial" w:cs="Arial" w:eastAsia="Arial" w:hAnsi="Arial"/>
          <w:sz w:val="24"/>
          <w:szCs w:val="24"/>
        </w:rPr>
        <w:t xml:space="preserve">Copy of government-issued photo ID (Driver’s License)</w:t>
      </w:r>
    </w:p>
    <w:p>
      <w:pPr>
        <w:pStyle w:val="ListParagraph"/>
        <w:numPr>
          <w:ilvl w:val="0"/>
          <w:numId w:val="3"/>
        </w:numPr>
      </w:pPr>
      <w:r>
        <w:rPr>
          <w:rFonts w:ascii="Arial" w:cs="Arial" w:eastAsia="Arial" w:hAnsi="Arial"/>
          <w:sz w:val="24"/>
          <w:szCs w:val="24"/>
        </w:rPr>
        <w:t xml:space="preserve">Proof of address (utility bill or bank statement)</w:t>
      </w:r>
    </w:p>
    <w:p>
      <w:r>
        <w:rPr>
          <w:rFonts w:ascii="Arial" w:cs="Arial" w:eastAsia="Arial" w:hAnsi="Arial"/>
          <w:sz w:val="24"/>
          <w:szCs w:val="24"/>
        </w:rPr>
        <w:t xml:space="preserve"/>
      </w:r>
    </w:p>
    <w:p>
      <w:r>
        <w:rPr>
          <w:rFonts w:ascii="Arial" w:cs="Arial" w:eastAsia="Arial" w:hAnsi="Arial"/>
          <w:sz w:val="24"/>
          <w:szCs w:val="24"/>
        </w:rPr>
        <w:t xml:space="preserve">I expect this matter to be fully resolved within the 30-day period mandated by federal law. Please direct all written correspondence regarding this dispute to the address listed at the top of this letter. Do not contact me by telephone.</w:t>
      </w:r>
    </w:p>
    <w:p>
      <w:r>
        <w:rPr>
          <w:rFonts w:ascii="Arial" w:cs="Arial" w:eastAsia="Arial" w:hAnsi="Arial"/>
          <w:sz w:val="24"/>
          <w:szCs w:val="24"/>
        </w:rPr>
        <w:t xml:space="preserve"/>
      </w:r>
    </w:p>
    <w:p>
      <w:r>
        <w:rPr>
          <w:rFonts w:ascii="Arial" w:cs="Arial" w:eastAsia="Arial" w:hAnsi="Arial"/>
          <w:sz w:val="24"/>
          <w:szCs w:val="24"/>
        </w:rPr>
        <w:t xml:space="preserve">Respectfully submitted,</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_________________________________________</w:t>
      </w:r>
    </w:p>
    <w:p>
      <w:r>
        <w:rPr>
          <w:rFonts w:ascii="Arial" w:cs="Arial" w:eastAsia="Arial" w:hAnsi="Arial"/>
          <w:b/>
          <w:bCs/>
          <w:sz w:val="24"/>
          <w:szCs w:val="24"/>
        </w:rPr>
        <w:t xml:space="preserve">Tyishea T. Harrington</w:t>
      </w:r>
    </w:p>
    <w:p>
      <w:r>
        <w:rPr>
          <w:rFonts w:ascii="Arial" w:cs="Arial" w:eastAsia="Arial" w:hAnsi="Arial"/>
          <w:sz w:val="24"/>
          <w:szCs w:val="24"/>
        </w:rPr>
        <w:t xml:space="preserve">Date: ___________________________</w:t>
      </w:r>
    </w:p>
    <w:p>
      <w:r>
        <w:rPr>
          <w:rFonts w:ascii="Arial" w:cs="Arial" w:eastAsia="Arial" w:hAnsi="Arial"/>
          <w:sz w:val="24"/>
          <w:szCs w:val="24"/>
        </w:rPr>
        <w:t xml:space="preserve"/>
      </w:r>
    </w:p>
    <w:p>
      <w:r>
        <w:rPr>
          <w:rFonts w:ascii="Arial" w:cs="Arial" w:eastAsia="Arial" w:hAnsi="Arial"/>
          <w:b/>
          <w:bCs/>
          <w:color w:val="C00000"/>
          <w:sz w:val="24"/>
          <w:szCs w:val="24"/>
        </w:rPr>
        <w:t xml:space="preserve">NOTE: Send identical letters to all three bureaus:</w:t>
      </w:r>
    </w:p>
    <w:p>
      <w:pPr>
        <w:pStyle w:val="ListParagraph"/>
        <w:numPr>
          <w:ilvl w:val="0"/>
          <w:numId w:val="3"/>
        </w:numPr>
      </w:pPr>
      <w:r>
        <w:rPr>
          <w:rFonts w:ascii="Arial" w:cs="Arial" w:eastAsia="Arial" w:hAnsi="Arial"/>
          <w:b/>
          <w:bCs/>
          <w:sz w:val="24"/>
          <w:szCs w:val="24"/>
        </w:rPr>
        <w:t xml:space="preserve">Equifax: </w:t>
      </w:r>
      <w:r>
        <w:rPr>
          <w:rFonts w:ascii="Arial" w:cs="Arial" w:eastAsia="Arial" w:hAnsi="Arial"/>
          <w:sz w:val="24"/>
          <w:szCs w:val="24"/>
        </w:rPr>
        <w:t xml:space="preserve">P.O. Box 740256, Atlanta, GA 30374</w:t>
      </w:r>
    </w:p>
    <w:p>
      <w:pPr>
        <w:pStyle w:val="ListParagraph"/>
        <w:numPr>
          <w:ilvl w:val="0"/>
          <w:numId w:val="3"/>
        </w:numPr>
      </w:pPr>
      <w:r>
        <w:rPr>
          <w:rFonts w:ascii="Arial" w:cs="Arial" w:eastAsia="Arial" w:hAnsi="Arial"/>
          <w:b/>
          <w:bCs/>
          <w:sz w:val="24"/>
          <w:szCs w:val="24"/>
        </w:rPr>
        <w:t xml:space="preserve">Experian: </w:t>
      </w:r>
      <w:r>
        <w:rPr>
          <w:rFonts w:ascii="Arial" w:cs="Arial" w:eastAsia="Arial" w:hAnsi="Arial"/>
          <w:sz w:val="24"/>
          <w:szCs w:val="24"/>
        </w:rPr>
        <w:t xml:space="preserve">P.O. Box 4500, Allen, TX 75013</w:t>
      </w:r>
    </w:p>
    <w:p>
      <w:pPr>
        <w:pStyle w:val="ListParagraph"/>
        <w:numPr>
          <w:ilvl w:val="0"/>
          <w:numId w:val="3"/>
        </w:numPr>
      </w:pPr>
      <w:r>
        <w:rPr>
          <w:rFonts w:ascii="Arial" w:cs="Arial" w:eastAsia="Arial" w:hAnsi="Arial"/>
          <w:b/>
          <w:bCs/>
          <w:sz w:val="24"/>
          <w:szCs w:val="24"/>
        </w:rPr>
        <w:t xml:space="preserve">TransUnion: </w:t>
      </w:r>
      <w:r>
        <w:rPr>
          <w:rFonts w:ascii="Arial" w:cs="Arial" w:eastAsia="Arial" w:hAnsi="Arial"/>
          <w:sz w:val="24"/>
          <w:szCs w:val="24"/>
        </w:rPr>
        <w:t xml:space="preserve">P.O. Box 2000, Chester, PA 19016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2026-03-28T21:30:32.940Z</dcterms:created>
  <dcterms:modified xsi:type="dcterms:W3CDTF">2026-03-28T21:30:32.941Z</dcterms:modified>
</cp:coreProperties>
</file>

<file path=docProps/custom.xml><?xml version="1.0" encoding="utf-8"?>
<Properties xmlns="http://schemas.openxmlformats.org/officeDocument/2006/custom-properties" xmlns:vt="http://schemas.openxmlformats.org/officeDocument/2006/docPropsVTypes"/>
</file>