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8"/>
          <w:szCs w:val="28"/>
        </w:rPr>
        <w:t xml:space="preserve">TYISHEA T. HARRINGTON</w:t>
      </w:r>
    </w:p>
    <w:p>
      <w:r>
        <w:rPr>
          <w:rFonts w:ascii="Arial" w:cs="Arial" w:eastAsia="Arial" w:hAnsi="Arial"/>
          <w:sz w:val="22"/>
          <w:szCs w:val="22"/>
        </w:rPr>
        <w:t xml:space="preserve">1919 Charcoal Ives Rd, Lawrenceville, GA 30045</w:t>
      </w:r>
    </w:p>
    <w:p>
      <w:r>
        <w:rPr>
          <w:rFonts w:ascii="Arial" w:cs="Arial" w:eastAsia="Arial" w:hAnsi="Arial"/>
          <w:sz w:val="22"/>
          <w:szCs w:val="22"/>
        </w:rPr>
        <w:t xml:space="preserve">DOB: February 15, 1987   |   SSN Last 4: 0147</w:t>
      </w:r>
    </w:p>
    <w:p>
      <w:r>
        <w:rPr>
          <w:rFonts w:ascii="Arial" w:cs="Arial" w:eastAsia="Arial" w:hAnsi="Arial"/>
          <w:sz w:val="22"/>
          <w:szCs w:val="22"/>
        </w:rPr>
        <w:t xml:space="preserve">Phone: (510) 250-3242   |   Email: harringtonatl@gmail.com</w:t>
      </w:r>
    </w:p>
    <w:p>
      <w:r>
        <w:rPr>
          <w:rFonts w:ascii="Arial" w:cs="Arial" w:eastAsia="Arial" w:hAnsi="Arial"/>
          <w:sz w:val="22"/>
          <w:szCs w:val="22"/>
        </w:rPr>
        <w:t xml:space="preserve"/>
      </w:r>
    </w:p>
    <w:p>
      <w:r>
        <w:rPr>
          <w:rFonts w:ascii="Arial" w:cs="Arial" w:eastAsia="Arial" w:hAnsi="Arial"/>
          <w:sz w:val="22"/>
          <w:szCs w:val="22"/>
        </w:rPr>
        <w:t xml:space="preserve">March 28, 2026</w:t>
      </w:r>
    </w:p>
    <w:p>
      <w:r>
        <w:rPr>
          <w:rFonts w:ascii="Arial" w:cs="Arial" w:eastAsia="Arial" w:hAnsi="Arial"/>
          <w:sz w:val="22"/>
          <w:szCs w:val="22"/>
        </w:rPr>
        <w:t xml:space="preserve"/>
      </w:r>
    </w:p>
    <w:p>
      <w:r>
        <w:rPr>
          <w:rFonts w:ascii="Arial" w:cs="Arial" w:eastAsia="Arial" w:hAnsi="Arial"/>
          <w:b/>
          <w:bCs/>
          <w:color w:val="C00000"/>
          <w:sz w:val="22"/>
          <w:szCs w:val="22"/>
        </w:rPr>
        <w:t xml:space="preserve">VIA CERTIFIED MAIL — RETURN RECEIPT REQUESTED</w:t>
      </w:r>
    </w:p>
    <w:p>
      <w:r>
        <w:rPr>
          <w:rFonts w:ascii="Arial" w:cs="Arial" w:eastAsia="Arial" w:hAnsi="Arial"/>
          <w:sz w:val="22"/>
          <w:szCs w:val="22"/>
        </w:rPr>
        <w:t xml:space="preserve"/>
      </w:r>
    </w:p>
    <w:p>
      <w:r>
        <w:rPr>
          <w:rFonts w:ascii="Arial" w:cs="Arial" w:eastAsia="Arial" w:hAnsi="Arial"/>
          <w:b/>
          <w:bCs/>
          <w:sz w:val="22"/>
          <w:szCs w:val="22"/>
        </w:rPr>
        <w:t xml:space="preserve">Experian Information Services, LLC</w:t>
      </w:r>
    </w:p>
    <w:p>
      <w:r>
        <w:rPr>
          <w:rFonts w:ascii="Arial" w:cs="Arial" w:eastAsia="Arial" w:hAnsi="Arial"/>
          <w:sz w:val="22"/>
          <w:szCs w:val="22"/>
        </w:rPr>
        <w:t xml:space="preserve">P.O. Box 4500, Allen, TX 75013</w:t>
      </w:r>
    </w:p>
    <w:p>
      <w:r>
        <w:rPr>
          <w:rFonts w:ascii="Arial" w:cs="Arial" w:eastAsia="Arial" w:hAnsi="Arial"/>
          <w:sz w:val="22"/>
          <w:szCs w:val="22"/>
        </w:rPr>
        <w:t xml:space="preserve"/>
      </w:r>
    </w:p>
    <w:p>
      <w:r>
        <w:rPr>
          <w:rFonts w:ascii="Arial" w:cs="Arial" w:eastAsia="Arial" w:hAnsi="Arial"/>
          <w:i/>
          <w:iCs/>
          <w:color w:val="555555"/>
          <w:sz w:val="20"/>
          <w:szCs w:val="20"/>
        </w:rPr>
        <w:t xml:space="preserve">(Send identical letters to: Equifax — P.O. Box 740256, Atlanta, GA 30374  |  TransUnion — P.O. Box 2000, Chester, PA 19016)</w:t>
      </w:r>
    </w:p>
    <w:p>
      <w:r>
        <w:rPr>
          <w:rFonts w:ascii="Arial" w:cs="Arial" w:eastAsia="Arial" w:hAnsi="Arial"/>
          <w:sz w:val="22"/>
          <w:szCs w:val="22"/>
        </w:rPr>
        <w:t xml:space="preserve"/>
      </w:r>
    </w:p>
    <w:p>
      <w:r>
        <w:rPr>
          <w:rFonts w:ascii="Arial" w:cs="Arial" w:eastAsia="Arial" w:hAnsi="Arial"/>
          <w:b/>
          <w:bCs/>
          <w:sz w:val="24"/>
          <w:szCs w:val="24"/>
        </w:rPr>
        <w:t xml:space="preserve">RE: (1) FCRA § 611 / Metro 2 Late Payment Dispute — Multiple Accounts</w:t>
      </w:r>
    </w:p>
    <w:p>
      <w:r>
        <w:rPr>
          <w:rFonts w:ascii="Arial" w:cs="Arial" w:eastAsia="Arial" w:hAnsi="Arial"/>
          <w:b/>
          <w:bCs/>
          <w:sz w:val="24"/>
          <w:szCs w:val="24"/>
        </w:rPr>
        <w:t xml:space="preserve">    (2) FCRA § 605B Identity Theft Block Demand — LVNV Funding / Total Card Bank of Missouri</w:t>
      </w:r>
    </w:p>
    <w:p>
      <w:r>
        <w:rPr>
          <w:rFonts w:ascii="Arial" w:cs="Arial" w:eastAsia="Arial" w:hAnsi="Arial"/>
          <w:sz w:val="22"/>
          <w:szCs w:val="22"/>
        </w:rPr>
        <w:t xml:space="preserve"/>
      </w:r>
    </w:p>
    <w:p>
      <w:r>
        <w:rPr>
          <w:rFonts w:ascii="Arial" w:cs="Arial" w:eastAsia="Arial" w:hAnsi="Arial"/>
          <w:sz w:val="22"/>
          <w:szCs w:val="22"/>
        </w:rPr>
        <w:t xml:space="preserve">To Whom It May Concern:</w:t>
      </w:r>
    </w:p>
    <w:p>
      <w:r>
        <w:rPr>
          <w:rFonts w:ascii="Arial" w:cs="Arial" w:eastAsia="Arial" w:hAnsi="Arial"/>
          <w:sz w:val="22"/>
          <w:szCs w:val="22"/>
        </w:rPr>
        <w:t xml:space="preserve"/>
      </w:r>
    </w:p>
    <w:p>
      <w:r>
        <w:rPr>
          <w:rFonts w:ascii="Arial" w:cs="Arial" w:eastAsia="Arial" w:hAnsi="Arial"/>
          <w:sz w:val="22"/>
          <w:szCs w:val="22"/>
        </w:rPr>
        <w:t xml:space="preserve">I, Tyishea T. Harrington, hereby submit this formal two-part dispute letter pursuant to the Fair Credit Reporting Act ("FCRA"), 15 U.S.C. § 1681 et seq., Metro 2® Credit Reporting Resource Guide (CRRG) standards established by the Consumer Data Industry Association (CDIA), and the Fair Debt Collection Practices Act ("FDCPA"), 15 U.S.C. § 1692 et seq. My Experian report, dated March 20, 2026, contains multiple inaccurate, unverifiable, and non-Metro 2-compliant entries that are severely damaging my credit profile. I demand immediate investigation, correction, and/or deletion as set forth below.</w:t>
      </w:r>
    </w:p>
    <w:p>
      <w:r>
        <w:rPr>
          <w:rFonts w:ascii="Arial" w:cs="Arial" w:eastAsia="Arial" w:hAnsi="Arial"/>
          <w:sz w:val="22"/>
          <w:szCs w:val="22"/>
        </w:rPr>
        <w:t xml:space="preserve"/>
      </w:r>
    </w:p>
    <w:p>
      <w:r>
        <w:rPr>
          <w:rFonts w:ascii="Arial" w:cs="Arial" w:eastAsia="Arial" w:hAnsi="Arial"/>
          <w:sz w:val="22"/>
          <w:szCs w:val="22"/>
        </w:rPr>
        <w:t xml:space="preserve"/>
      </w:r>
    </w:p>
    <w:p>
      <w:pPr>
        <w:shd w:fill="1F4E79" w:val="clear"/>
        <w:spacing w:after="160" w:before="160"/>
        <w:ind w:left="0"/>
      </w:pPr>
      <w:r>
        <w:rPr>
          <w:rFonts w:ascii="Arial" w:cs="Arial" w:eastAsia="Arial" w:hAnsi="Arial"/>
          <w:b/>
          <w:bCs/>
          <w:color w:val="FFFFFF"/>
          <w:sz w:val="26"/>
          <w:szCs w:val="26"/>
        </w:rPr>
        <w:t xml:space="preserve">━━━━  PART ONE: LATE PAYMENT DISPUTES — FCRA &amp; METRO 2 VIOLATIONS  ━━━━</w:t>
      </w:r>
    </w:p>
    <w:p>
      <w:r>
        <w:rPr>
          <w:rFonts w:ascii="Arial" w:cs="Arial" w:eastAsia="Arial" w:hAnsi="Arial"/>
          <w:sz w:val="22"/>
          <w:szCs w:val="22"/>
        </w:rPr>
        <w:t xml:space="preserve"/>
      </w:r>
    </w:p>
    <w:p>
      <w:pPr>
        <w:pBdr>
          <w:bottom w:val="single" w:color="C00000" w:sz="6"/>
        </w:pBdr>
        <w:spacing w:after="120" w:before="240"/>
      </w:pPr>
      <w:r>
        <w:rPr>
          <w:rFonts w:ascii="Arial" w:cs="Arial" w:eastAsia="Arial" w:hAnsi="Arial"/>
          <w:b/>
          <w:bCs/>
          <w:sz w:val="26"/>
          <w:szCs w:val="26"/>
        </w:rPr>
        <w:t xml:space="preserve">I.  GOVERNING LAWS AND LEGAL STANDARD</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A.  FCRA — Maximum Possible Accuracy [15 U.S.C. § 1681e(b)]</w:t>
      </w:r>
    </w:p>
    <w:p>
      <w:r>
        <w:rPr>
          <w:rFonts w:ascii="Arial" w:cs="Arial" w:eastAsia="Arial" w:hAnsi="Arial"/>
          <w:sz w:val="22"/>
          <w:szCs w:val="22"/>
        </w:rPr>
        <w:t xml:space="preserve">Consumer reporting agencies are required to follow reasonable procedures to assure the maximum possible accuracy of all information contained in consumer files. Any account entry that cannot be verified as fully accurate must be corrected or deleted.</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B.  FCRA — Reinvestigation of Disputed Information [15 U.S.C. § 1681i(a)(1)]</w:t>
      </w:r>
    </w:p>
    <w:p>
      <w:r>
        <w:rPr>
          <w:rFonts w:ascii="Arial" w:cs="Arial" w:eastAsia="Arial" w:hAnsi="Arial"/>
          <w:sz w:val="22"/>
          <w:szCs w:val="22"/>
        </w:rPr>
        <w:t xml:space="preserve">Upon receipt of a consumer dispute, a consumer reporting agency shall conduct a reasonable reinvestigation to determine whether the disputed information is inaccurate and record the current status of the disputed information. This reinvestigation must be completed within 30 days of receipt of the dispute (extendable to 45 days only if the consumer provides additional information).</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C.  FCRA — Deletion of Unverifiable Information [15 U.S.C. § 1681i(a)(5)(A)]</w:t>
      </w:r>
    </w:p>
    <w:p>
      <w:r>
        <w:rPr>
          <w:rFonts w:ascii="Arial" w:cs="Arial" w:eastAsia="Arial" w:hAnsi="Arial"/>
          <w:sz w:val="22"/>
          <w:szCs w:val="22"/>
        </w:rPr>
        <w:t xml:space="preserve">If the reinvestigation does not resolve the dispute, or if the completeness or accuracy of an item of information disputed by a consumer cannot be verified, the consumer reporting agency shall promptly delete that item of information from the file of the consumer or modify that item of information, as appropriate.</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D.  FCRA — Furnisher Duty to Report Accurate Information [15 U.S.C. § 1681s-2(a)]</w:t>
      </w:r>
    </w:p>
    <w:p>
      <w:r>
        <w:rPr>
          <w:rFonts w:ascii="Arial" w:cs="Arial" w:eastAsia="Arial" w:hAnsi="Arial"/>
          <w:sz w:val="22"/>
          <w:szCs w:val="22"/>
        </w:rPr>
        <w:t xml:space="preserve">A person shall not furnish any information relating to a consumer to any consumer reporting agency if the person knows or has reasonable cause to believe that the information is inaccurate. This imposes a pre-dispute affirmative duty of accuracy on all data furnishers.</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E.  FCRA — Furnisher Duty After Dispute Notification [15 U.S.C. § 1681s-2(b)]</w:t>
      </w:r>
    </w:p>
    <w:p>
      <w:r>
        <w:rPr>
          <w:rFonts w:ascii="Arial" w:cs="Arial" w:eastAsia="Arial" w:hAnsi="Arial"/>
          <w:sz w:val="22"/>
          <w:szCs w:val="22"/>
        </w:rPr>
        <w:t xml:space="preserve">After receiving notice of a dispute from a consumer reporting agency, a furnisher must: (1) conduct a reasonable investigation; (2) review all relevant information provided; (3) report the results to the CRA; and (4) correct or delete inaccurate, incomplete, or unverifiable information.</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F.  FCRA — Civil Liability for Willful Noncompliance [15 U.S.C. § 1681n]</w:t>
      </w:r>
    </w:p>
    <w:p>
      <w:r>
        <w:rPr>
          <w:rFonts w:ascii="Arial" w:cs="Arial" w:eastAsia="Arial" w:hAnsi="Arial"/>
          <w:sz w:val="22"/>
          <w:szCs w:val="22"/>
        </w:rPr>
        <w:t xml:space="preserve">Any person who willfully fails to comply with any requirement of the FCRA is liable for: (1) actual damages or statutory damages of not less than $100 and not more than $1,000 per violation; (2) punitive damages; and (3) costs of the action and reasonable attorney's fees.</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G.  FCRA — Civil Liability for Negligent Noncompliance [15 U.S.C. § 1681o]</w:t>
      </w:r>
    </w:p>
    <w:p>
      <w:r>
        <w:rPr>
          <w:rFonts w:ascii="Arial" w:cs="Arial" w:eastAsia="Arial" w:hAnsi="Arial"/>
          <w:sz w:val="22"/>
          <w:szCs w:val="22"/>
        </w:rPr>
        <w:t xml:space="preserve">Any person who negligently fails to comply with any requirement of the FCRA is liable for actual damages sustained by the consumer as a result of the failure, plus costs and reasonable attorney's fees.</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H.  Metro 2® / CRRG — Payment Rating &amp; Account Status Code Requirements</w:t>
      </w:r>
    </w:p>
    <w:p>
      <w:r>
        <w:rPr>
          <w:rFonts w:ascii="Arial" w:cs="Arial" w:eastAsia="Arial" w:hAnsi="Arial"/>
          <w:sz w:val="22"/>
          <w:szCs w:val="22"/>
        </w:rPr>
        <w:t xml:space="preserve">The Metro 2® Credit Reporting Resource Guide (CRRG), published by the Consumer Data Industry Association (CDIA), is the industry standard for furnishing consumer credit data to all major credit reporting agencies. Key compliance requirements relevant to this dispute include:</w:t>
      </w:r>
    </w:p>
    <w:p>
      <w:r>
        <w:rPr>
          <w:rFonts w:ascii="Arial" w:cs="Arial" w:eastAsia="Arial" w:hAnsi="Arial"/>
          <w:sz w:val="22"/>
          <w:szCs w:val="22"/>
        </w:rPr>
        <w:t xml:space="preserve"/>
      </w:r>
    </w:p>
    <w:p>
      <w:pPr>
        <w:pStyle w:val="ListParagraph"/>
        <w:numPr>
          <w:ilvl w:val="0"/>
          <w:numId w:val="2"/>
        </w:numPr>
      </w:pPr>
      <w:r>
        <w:rPr>
          <w:rFonts w:ascii="Arial" w:cs="Arial" w:eastAsia="Arial" w:hAnsi="Arial"/>
          <w:b/>
          <w:bCs/>
          <w:sz w:val="22"/>
          <w:szCs w:val="22"/>
        </w:rPr>
        <w:t xml:space="preserve">Payment Rating Field: </w:t>
      </w:r>
      <w:r>
        <w:rPr>
          <w:rFonts w:ascii="Arial" w:cs="Arial" w:eastAsia="Arial" w:hAnsi="Arial"/>
          <w:sz w:val="22"/>
          <w:szCs w:val="22"/>
        </w:rPr>
        <w:t xml:space="preserve">Must accurately reflect account payment status using codes 0 (current) through 9 (charge-off). The rating must correspond to the actual account status as of the Date of Account Information. Incorrect coding is a reportable Metro 2 violation.</w:t>
      </w:r>
    </w:p>
    <w:p>
      <w:pPr>
        <w:pStyle w:val="ListParagraph"/>
        <w:numPr>
          <w:ilvl w:val="0"/>
          <w:numId w:val="2"/>
        </w:numPr>
      </w:pPr>
      <w:r>
        <w:rPr>
          <w:rFonts w:ascii="Arial" w:cs="Arial" w:eastAsia="Arial" w:hAnsi="Arial"/>
          <w:b/>
          <w:bCs/>
          <w:sz w:val="22"/>
          <w:szCs w:val="22"/>
        </w:rPr>
        <w:t xml:space="preserve">Account Status Code: </w:t>
      </w:r>
      <w:r>
        <w:rPr>
          <w:rFonts w:ascii="Arial" w:cs="Arial" w:eastAsia="Arial" w:hAnsi="Arial"/>
          <w:sz w:val="22"/>
          <w:szCs w:val="22"/>
        </w:rPr>
        <w:t xml:space="preserve">Must precisely match the account condition: Code 11 (current), 13 (paid/closed), 61-64 (deferred), 78-84 (derogatory), 97 (charge-off). A mismatch between Account Status Code and Payment Rating creates a misleading tradeline.</w:t>
      </w:r>
    </w:p>
    <w:p>
      <w:pPr>
        <w:pStyle w:val="ListParagraph"/>
        <w:numPr>
          <w:ilvl w:val="0"/>
          <w:numId w:val="2"/>
        </w:numPr>
      </w:pPr>
      <w:r>
        <w:rPr>
          <w:rFonts w:ascii="Arial" w:cs="Arial" w:eastAsia="Arial" w:hAnsi="Arial"/>
          <w:b/>
          <w:bCs/>
          <w:sz w:val="22"/>
          <w:szCs w:val="22"/>
        </w:rPr>
        <w:t xml:space="preserve">Date of First Delinquency (DOFD): </w:t>
      </w:r>
      <w:r>
        <w:rPr>
          <w:rFonts w:ascii="Arial" w:cs="Arial" w:eastAsia="Arial" w:hAnsi="Arial"/>
          <w:sz w:val="22"/>
          <w:szCs w:val="22"/>
        </w:rPr>
        <w:t xml:space="preserve">Must be reported as the exact date of the first missed payment in a series of delinquencies that led to the derogatory status. This date triggers the FCRA § 1681c(a)(4) 7-year removal clock. Inaccurate or missing DOFD is a critical Metro 2 violation.</w:t>
      </w:r>
    </w:p>
    <w:p>
      <w:pPr>
        <w:pStyle w:val="ListParagraph"/>
        <w:numPr>
          <w:ilvl w:val="0"/>
          <w:numId w:val="2"/>
        </w:numPr>
      </w:pPr>
      <w:r>
        <w:rPr>
          <w:rFonts w:ascii="Arial" w:cs="Arial" w:eastAsia="Arial" w:hAnsi="Arial"/>
          <w:b/>
          <w:bCs/>
          <w:sz w:val="22"/>
          <w:szCs w:val="22"/>
        </w:rPr>
        <w:t xml:space="preserve">Payment History Profile (PHF): </w:t>
      </w:r>
      <w:r>
        <w:rPr>
          <w:rFonts w:ascii="Arial" w:cs="Arial" w:eastAsia="Arial" w:hAnsi="Arial"/>
          <w:sz w:val="22"/>
          <w:szCs w:val="22"/>
        </w:rPr>
        <w:t xml:space="preserve">A 24-month month-by-month history must accurately reflect payment status for each period. Any month coded as delinquent when the account was actually current is a Metro 2 violation.</w:t>
      </w:r>
    </w:p>
    <w:p>
      <w:pPr>
        <w:pStyle w:val="ListParagraph"/>
        <w:numPr>
          <w:ilvl w:val="0"/>
          <w:numId w:val="2"/>
        </w:numPr>
      </w:pPr>
      <w:r>
        <w:rPr>
          <w:rFonts w:ascii="Arial" w:cs="Arial" w:eastAsia="Arial" w:hAnsi="Arial"/>
          <w:b/>
          <w:bCs/>
          <w:sz w:val="22"/>
          <w:szCs w:val="22"/>
        </w:rPr>
        <w:t xml:space="preserve">Compliance Condition Code (CCC): </w:t>
      </w:r>
      <w:r>
        <w:rPr>
          <w:rFonts w:ascii="Arial" w:cs="Arial" w:eastAsia="Arial" w:hAnsi="Arial"/>
          <w:sz w:val="22"/>
          <w:szCs w:val="22"/>
        </w:rPr>
        <w:t xml:space="preserve">Code XB ('Account information disputed by consumer under FCRA') must be applied whenever a consumer dispute is on record. Failure to apply XB during an active dispute is a Metro 2 CRRG violation.</w:t>
      </w:r>
    </w:p>
    <w:p>
      <w:pPr>
        <w:pStyle w:val="ListParagraph"/>
        <w:numPr>
          <w:ilvl w:val="0"/>
          <w:numId w:val="2"/>
        </w:numPr>
      </w:pPr>
      <w:r>
        <w:rPr>
          <w:rFonts w:ascii="Arial" w:cs="Arial" w:eastAsia="Arial" w:hAnsi="Arial"/>
          <w:b/>
          <w:bCs/>
          <w:sz w:val="22"/>
          <w:szCs w:val="22"/>
        </w:rPr>
        <w:t xml:space="preserve">Charge-Off Reporting (Account Status 97): </w:t>
      </w:r>
      <w:r>
        <w:rPr>
          <w:rFonts w:ascii="Arial" w:cs="Arial" w:eastAsia="Arial" w:hAnsi="Arial"/>
          <w:sz w:val="22"/>
          <w:szCs w:val="22"/>
        </w:rPr>
        <w:t xml:space="preserve">Original Charge-Off Amount must be populated. Dual charge-off entries for the same event are prohibited. Post-settlement balance must be reported as $0.</w:t>
      </w:r>
    </w:p>
    <w:p>
      <w:pPr>
        <w:pStyle w:val="ListParagraph"/>
        <w:numPr>
          <w:ilvl w:val="0"/>
          <w:numId w:val="2"/>
        </w:numPr>
      </w:pPr>
      <w:r>
        <w:rPr>
          <w:rFonts w:ascii="Arial" w:cs="Arial" w:eastAsia="Arial" w:hAnsi="Arial"/>
          <w:b/>
          <w:bCs/>
          <w:sz w:val="22"/>
          <w:szCs w:val="22"/>
        </w:rPr>
        <w:t xml:space="preserve">Balance Accuracy Post-Settlement: </w:t>
      </w:r>
      <w:r>
        <w:rPr>
          <w:rFonts w:ascii="Arial" w:cs="Arial" w:eastAsia="Arial" w:hAnsi="Arial"/>
          <w:sz w:val="22"/>
          <w:szCs w:val="22"/>
        </w:rPr>
        <w:t xml:space="preserve">After an account is paid in settlement, the current balance must be updated to $0. Continued reporting of a non-zero balance on a settled closed account is a Metro 2 CRRG violation.</w:t>
      </w:r>
    </w:p>
    <w:p>
      <w:r>
        <w:rPr>
          <w:rFonts w:ascii="Arial" w:cs="Arial" w:eastAsia="Arial" w:hAnsi="Arial"/>
          <w:sz w:val="22"/>
          <w:szCs w:val="22"/>
        </w:rPr>
        <w:t xml:space="preserve"/>
      </w:r>
    </w:p>
    <w:p>
      <w:r>
        <w:rPr>
          <w:rFonts w:ascii="Arial" w:cs="Arial" w:eastAsia="Arial" w:hAnsi="Arial"/>
          <w:sz w:val="22"/>
          <w:szCs w:val="22"/>
        </w:rPr>
        <w:t xml:space="preserve"/>
      </w:r>
    </w:p>
    <w:p>
      <w:pPr>
        <w:pBdr>
          <w:bottom w:val="single" w:color="C00000" w:sz="6"/>
        </w:pBdr>
        <w:spacing w:after="120" w:before="240"/>
      </w:pPr>
      <w:r>
        <w:rPr>
          <w:rFonts w:ascii="Arial" w:cs="Arial" w:eastAsia="Arial" w:hAnsi="Arial"/>
          <w:b/>
          <w:bCs/>
          <w:sz w:val="26"/>
          <w:szCs w:val="26"/>
        </w:rPr>
        <w:t xml:space="preserve">II.  DISPUTED ACCOUNTS — SPECIFIC VIOLATIONS</w:t>
      </w:r>
    </w:p>
    <w:p>
      <w:r>
        <w:rPr>
          <w:rFonts w:ascii="Arial" w:cs="Arial" w:eastAsia="Arial" w:hAnsi="Arial"/>
          <w:sz w:val="22"/>
          <w:szCs w:val="22"/>
        </w:rPr>
        <w:t xml:space="preserve"/>
      </w:r>
    </w:p>
    <w:p>
      <w:r>
        <w:rPr>
          <w:rFonts w:ascii="Arial" w:cs="Arial" w:eastAsia="Arial" w:hAnsi="Arial"/>
          <w:sz w:val="22"/>
          <w:szCs w:val="22"/>
        </w:rPr>
        <w:t xml:space="preserve">The following accounts on my Experian credit report contain late payment notations that are inaccurate, unverifiable, and/or in direct violation of FCRA and Metro 2 CRRG standards:</w:t>
      </w:r>
    </w:p>
    <w:p>
      <w:r>
        <w:rPr>
          <w:rFonts w:ascii="Arial" w:cs="Arial" w:eastAsia="Arial" w:hAnsi="Arial"/>
          <w:sz w:val="22"/>
          <w:szCs w:val="22"/>
        </w:rPr>
        <w:t xml:space="preserve"/>
      </w:r>
    </w:p>
    <w:p>
      <w:pPr>
        <w:spacing w:after="80" w:before="160"/>
      </w:pPr>
      <w:r>
        <w:rPr>
          <w:rFonts w:ascii="Arial" w:cs="Arial" w:eastAsia="Arial" w:hAnsi="Arial"/>
          <w:b/>
          <w:bCs/>
          <w:color w:val="C00000"/>
          <w:sz w:val="22"/>
          <w:szCs w:val="22"/>
        </w:rPr>
        <w:t xml:space="preserve">Account 1 of 5:  CREDIT ONE BANK NA  (444796XXXXXX)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Account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CREDIT ONE BANK NA</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Account #</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444796XXXXXX</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Date Opened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 09, 2020</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Closed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Aug 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Reported 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Paid, Closed</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22"/>
                <w:szCs w:val="22"/>
              </w:rPr>
              <w:t xml:space="preserve">Late Payments
Reported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30-day (Apr 2024), 60-day (May 2024), 90-day (Jun 2024), 120-day (Jul 2024), 120-day (Aug 2024), 30-day (Aug 2020) — 6 derogatory months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Metro 2 /
CRRG Violations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 Rating field inaccurate; Account Status Code 13 conflicts with ongoing derogatory payment history; DOFD not reported; XB Compliance Condition Code absent during dispute period. 'Closed at credit grantor's request' (Special Comment M) combined with inaccurate Payment Rating = misleading tradeline per CRRG §4.</w:t>
            </w:r>
          </w:p>
        </w:tc>
      </w:tr>
    </w:tbl>
    <w:p>
      <w:r>
        <w:rPr>
          <w:rFonts w:ascii="Arial" w:cs="Arial" w:eastAsia="Arial" w:hAnsi="Arial"/>
          <w:sz w:val="22"/>
          <w:szCs w:val="22"/>
        </w:rPr>
        <w:t xml:space="preserve"/>
      </w:r>
    </w:p>
    <w:p>
      <w:r>
        <w:rPr>
          <w:rFonts w:ascii="Arial" w:cs="Arial" w:eastAsia="Arial" w:hAnsi="Arial"/>
          <w:sz w:val="22"/>
          <w:szCs w:val="22"/>
        </w:rPr>
        <w:t xml:space="preserve">Pursuant to FCRA §§ 1681e(b), 1681i(a), 1681i(a)(5)(A), and 1681s-2(b), and Metro 2 CRRG standards, I formally demand that:</w:t>
      </w:r>
    </w:p>
    <w:p>
      <w:pPr>
        <w:pStyle w:val="ListParagraph"/>
        <w:numPr>
          <w:ilvl w:val="0"/>
          <w:numId w:val="3"/>
        </w:numPr>
      </w:pPr>
      <w:r>
        <w:rPr>
          <w:rFonts w:ascii="Arial" w:cs="Arial" w:eastAsia="Arial" w:hAnsi="Arial"/>
          <w:sz w:val="22"/>
          <w:szCs w:val="22"/>
        </w:rPr>
        <w:t xml:space="preserve">All derogatory payment notations listed above be deleted from this account's payment history;</w:t>
      </w:r>
    </w:p>
    <w:p>
      <w:pPr>
        <w:pStyle w:val="ListParagraph"/>
        <w:numPr>
          <w:ilvl w:val="0"/>
          <w:numId w:val="3"/>
        </w:numPr>
      </w:pPr>
      <w:r>
        <w:rPr>
          <w:rFonts w:ascii="Arial" w:cs="Arial" w:eastAsia="Arial" w:hAnsi="Arial"/>
          <w:sz w:val="22"/>
          <w:szCs w:val="22"/>
        </w:rPr>
        <w:t xml:space="preserve">The Account Status Code, Payment Rating, and DOFD be verified for full Metro 2 CRRG compliance;</w:t>
      </w:r>
    </w:p>
    <w:p>
      <w:pPr>
        <w:pStyle w:val="ListParagraph"/>
        <w:numPr>
          <w:ilvl w:val="0"/>
          <w:numId w:val="3"/>
        </w:numPr>
      </w:pPr>
      <w:r>
        <w:rPr>
          <w:rFonts w:ascii="Arial" w:cs="Arial" w:eastAsia="Arial" w:hAnsi="Arial"/>
          <w:sz w:val="22"/>
          <w:szCs w:val="22"/>
        </w:rPr>
        <w:t xml:space="preserve">The Compliance Condition Code XB be applied immediately upon receipt of this dispute;</w:t>
      </w:r>
    </w:p>
    <w:p>
      <w:pPr>
        <w:pStyle w:val="ListParagraph"/>
        <w:numPr>
          <w:ilvl w:val="0"/>
          <w:numId w:val="3"/>
        </w:numPr>
      </w:pPr>
      <w:r>
        <w:rPr>
          <w:rFonts w:ascii="Arial" w:cs="Arial" w:eastAsia="Arial" w:hAnsi="Arial"/>
          <w:sz w:val="22"/>
          <w:szCs w:val="22"/>
        </w:rPr>
        <w:t xml:space="preserve">If this account cannot be verified in its current form, it must be deleted in its entirety under 15 U.S.C. § 1681i(a)(5)(A).</w:t>
      </w:r>
    </w:p>
    <w:p>
      <w:r>
        <w:rPr>
          <w:rFonts w:ascii="Arial" w:cs="Arial" w:eastAsia="Arial" w:hAnsi="Arial"/>
          <w:sz w:val="22"/>
          <w:szCs w:val="22"/>
        </w:rPr>
        <w:t xml:space="preserve"/>
      </w:r>
    </w:p>
    <w:p>
      <w:pPr>
        <w:pBdr>
          <w:bottom w:val="single" w:color="CCCCCC" w:sz="2"/>
        </w:pBdr>
      </w:pPr>
      <w:r>
        <w:rPr>
          <w:rFonts w:ascii="Arial" w:cs="Arial" w:eastAsia="Arial" w:hAnsi="Arial"/>
          <w:sz w:val="22"/>
          <w:szCs w:val="22"/>
        </w:rPr>
        <w:t xml:space="preserve"/>
      </w:r>
    </w:p>
    <w:p>
      <w:r>
        <w:rPr>
          <w:rFonts w:ascii="Arial" w:cs="Arial" w:eastAsia="Arial" w:hAnsi="Arial"/>
          <w:sz w:val="22"/>
          <w:szCs w:val="22"/>
        </w:rPr>
        <w:t xml:space="preserve"/>
      </w:r>
    </w:p>
    <w:p>
      <w:pPr>
        <w:spacing w:after="80" w:before="160"/>
      </w:pPr>
      <w:r>
        <w:rPr>
          <w:rFonts w:ascii="Arial" w:cs="Arial" w:eastAsia="Arial" w:hAnsi="Arial"/>
          <w:b/>
          <w:bCs/>
          <w:color w:val="C00000"/>
          <w:sz w:val="22"/>
          <w:szCs w:val="22"/>
        </w:rPr>
        <w:t xml:space="preserve">Account 2 of 5:  SELF FINANCIAL / LEAD BANK  (4XXXX)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Account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SELF FINANCIAL / LEAD BANK</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Account #</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4XXXX</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Date Opened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Oct 26, 2020</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Closed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Jul 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Reported 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Paid, Closed</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22"/>
                <w:szCs w:val="22"/>
              </w:rPr>
              <w:t xml:space="preserve">Late Payments
Reported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30-day (Feb 2023), 60-day (Mar 2023), 30-day (Jun 2023) — 3 derogatory months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Metro 2 /
CRRG Violations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 Rating field must reflect status as of final payment date — account was current at closure. Inaccurate derogatory coding in payment history profile (PHF) constitutes Metro 2 CRRG violation. XB code never applied despite consumer disputes.</w:t>
            </w:r>
          </w:p>
        </w:tc>
      </w:tr>
    </w:tbl>
    <w:p>
      <w:r>
        <w:rPr>
          <w:rFonts w:ascii="Arial" w:cs="Arial" w:eastAsia="Arial" w:hAnsi="Arial"/>
          <w:sz w:val="22"/>
          <w:szCs w:val="22"/>
        </w:rPr>
        <w:t xml:space="preserve"/>
      </w:r>
    </w:p>
    <w:p>
      <w:r>
        <w:rPr>
          <w:rFonts w:ascii="Arial" w:cs="Arial" w:eastAsia="Arial" w:hAnsi="Arial"/>
          <w:sz w:val="22"/>
          <w:szCs w:val="22"/>
        </w:rPr>
        <w:t xml:space="preserve">Pursuant to FCRA §§ 1681e(b), 1681i(a), 1681i(a)(5)(A), and 1681s-2(b), and Metro 2 CRRG standards, I formally demand that:</w:t>
      </w:r>
    </w:p>
    <w:p>
      <w:pPr>
        <w:pStyle w:val="ListParagraph"/>
        <w:numPr>
          <w:ilvl w:val="0"/>
          <w:numId w:val="3"/>
        </w:numPr>
      </w:pPr>
      <w:r>
        <w:rPr>
          <w:rFonts w:ascii="Arial" w:cs="Arial" w:eastAsia="Arial" w:hAnsi="Arial"/>
          <w:sz w:val="22"/>
          <w:szCs w:val="22"/>
        </w:rPr>
        <w:t xml:space="preserve">All derogatory payment notations listed above be deleted from this account's payment history;</w:t>
      </w:r>
    </w:p>
    <w:p>
      <w:pPr>
        <w:pStyle w:val="ListParagraph"/>
        <w:numPr>
          <w:ilvl w:val="0"/>
          <w:numId w:val="3"/>
        </w:numPr>
      </w:pPr>
      <w:r>
        <w:rPr>
          <w:rFonts w:ascii="Arial" w:cs="Arial" w:eastAsia="Arial" w:hAnsi="Arial"/>
          <w:sz w:val="22"/>
          <w:szCs w:val="22"/>
        </w:rPr>
        <w:t xml:space="preserve">The Account Status Code, Payment Rating, and DOFD be verified for full Metro 2 CRRG compliance;</w:t>
      </w:r>
    </w:p>
    <w:p>
      <w:pPr>
        <w:pStyle w:val="ListParagraph"/>
        <w:numPr>
          <w:ilvl w:val="0"/>
          <w:numId w:val="3"/>
        </w:numPr>
      </w:pPr>
      <w:r>
        <w:rPr>
          <w:rFonts w:ascii="Arial" w:cs="Arial" w:eastAsia="Arial" w:hAnsi="Arial"/>
          <w:sz w:val="22"/>
          <w:szCs w:val="22"/>
        </w:rPr>
        <w:t xml:space="preserve">The Compliance Condition Code XB be applied immediately upon receipt of this dispute;</w:t>
      </w:r>
    </w:p>
    <w:p>
      <w:pPr>
        <w:pStyle w:val="ListParagraph"/>
        <w:numPr>
          <w:ilvl w:val="0"/>
          <w:numId w:val="3"/>
        </w:numPr>
      </w:pPr>
      <w:r>
        <w:rPr>
          <w:rFonts w:ascii="Arial" w:cs="Arial" w:eastAsia="Arial" w:hAnsi="Arial"/>
          <w:sz w:val="22"/>
          <w:szCs w:val="22"/>
        </w:rPr>
        <w:t xml:space="preserve">If this account cannot be verified in its current form, it must be deleted in its entirety under 15 U.S.C. § 1681i(a)(5)(A).</w:t>
      </w:r>
    </w:p>
    <w:p>
      <w:r>
        <w:rPr>
          <w:rFonts w:ascii="Arial" w:cs="Arial" w:eastAsia="Arial" w:hAnsi="Arial"/>
          <w:sz w:val="22"/>
          <w:szCs w:val="22"/>
        </w:rPr>
        <w:t xml:space="preserve"/>
      </w:r>
    </w:p>
    <w:p>
      <w:pPr>
        <w:pBdr>
          <w:bottom w:val="single" w:color="CCCCCC" w:sz="2"/>
        </w:pBdr>
      </w:pPr>
      <w:r>
        <w:rPr>
          <w:rFonts w:ascii="Arial" w:cs="Arial" w:eastAsia="Arial" w:hAnsi="Arial"/>
          <w:sz w:val="22"/>
          <w:szCs w:val="22"/>
        </w:rPr>
        <w:t xml:space="preserve"/>
      </w:r>
    </w:p>
    <w:p>
      <w:r>
        <w:rPr>
          <w:rFonts w:ascii="Arial" w:cs="Arial" w:eastAsia="Arial" w:hAnsi="Arial"/>
          <w:sz w:val="22"/>
          <w:szCs w:val="22"/>
        </w:rPr>
        <w:t xml:space="preserve"/>
      </w:r>
    </w:p>
    <w:p>
      <w:pPr>
        <w:spacing w:after="80" w:before="160"/>
      </w:pPr>
      <w:r>
        <w:rPr>
          <w:rFonts w:ascii="Arial" w:cs="Arial" w:eastAsia="Arial" w:hAnsi="Arial"/>
          <w:b/>
          <w:bCs/>
          <w:color w:val="C00000"/>
          <w:sz w:val="22"/>
          <w:szCs w:val="22"/>
        </w:rPr>
        <w:t xml:space="preserve">Account 3 of 5:  NAVY FEDERAL CR UNION  (86XXXX)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Account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NAVY FEDERAL CR UNION</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Account #</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86XXXX</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Date Opened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 22, 2019</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Closed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Jul 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Reported 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Paid in Settlement — $20,855 Written Off</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22"/>
                <w:szCs w:val="22"/>
              </w:rPr>
              <w:t xml:space="preserve">Late Payments
Reported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60-day (Jan 2024), 90-day (Feb 2024), 120-day (Mar 2024), 150-day (Apr 2024), 180-day (May 2024), Charge-Off (Jun 2024) — 6 severe derogatory months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Metro 2 /
CRRG Violations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Charge-off Account Status Code 97 requires Original Charge-Off Amount field populated — not verified on report. 'Paid in settlement' narrative combined with 180-day+ derogatory payment history creates a misleading tradeline. Balance must report $0 post-settlement. DOFD must be precisely reported as trigger for 7-year FCRA § 1681c(a)(4) removal clock. Settlement constituted account satisfaction — Payment Rating must be recoded per CRRG closed account rules.</w:t>
            </w:r>
          </w:p>
        </w:tc>
      </w:tr>
    </w:tbl>
    <w:p>
      <w:r>
        <w:rPr>
          <w:rFonts w:ascii="Arial" w:cs="Arial" w:eastAsia="Arial" w:hAnsi="Arial"/>
          <w:sz w:val="22"/>
          <w:szCs w:val="22"/>
        </w:rPr>
        <w:t xml:space="preserve"/>
      </w:r>
    </w:p>
    <w:p>
      <w:r>
        <w:rPr>
          <w:rFonts w:ascii="Arial" w:cs="Arial" w:eastAsia="Arial" w:hAnsi="Arial"/>
          <w:sz w:val="22"/>
          <w:szCs w:val="22"/>
        </w:rPr>
        <w:t xml:space="preserve">Pursuant to FCRA §§ 1681e(b), 1681i(a), 1681i(a)(5)(A), and 1681s-2(b), and Metro 2 CRRG standards, I formally demand that:</w:t>
      </w:r>
    </w:p>
    <w:p>
      <w:pPr>
        <w:pStyle w:val="ListParagraph"/>
        <w:numPr>
          <w:ilvl w:val="0"/>
          <w:numId w:val="3"/>
        </w:numPr>
      </w:pPr>
      <w:r>
        <w:rPr>
          <w:rFonts w:ascii="Arial" w:cs="Arial" w:eastAsia="Arial" w:hAnsi="Arial"/>
          <w:sz w:val="22"/>
          <w:szCs w:val="22"/>
        </w:rPr>
        <w:t xml:space="preserve">All derogatory payment notations listed above be deleted from this account's payment history;</w:t>
      </w:r>
    </w:p>
    <w:p>
      <w:pPr>
        <w:pStyle w:val="ListParagraph"/>
        <w:numPr>
          <w:ilvl w:val="0"/>
          <w:numId w:val="3"/>
        </w:numPr>
      </w:pPr>
      <w:r>
        <w:rPr>
          <w:rFonts w:ascii="Arial" w:cs="Arial" w:eastAsia="Arial" w:hAnsi="Arial"/>
          <w:sz w:val="22"/>
          <w:szCs w:val="22"/>
        </w:rPr>
        <w:t xml:space="preserve">The Account Status Code, Payment Rating, and DOFD be verified for full Metro 2 CRRG compliance;</w:t>
      </w:r>
    </w:p>
    <w:p>
      <w:pPr>
        <w:pStyle w:val="ListParagraph"/>
        <w:numPr>
          <w:ilvl w:val="0"/>
          <w:numId w:val="3"/>
        </w:numPr>
      </w:pPr>
      <w:r>
        <w:rPr>
          <w:rFonts w:ascii="Arial" w:cs="Arial" w:eastAsia="Arial" w:hAnsi="Arial"/>
          <w:sz w:val="22"/>
          <w:szCs w:val="22"/>
        </w:rPr>
        <w:t xml:space="preserve">The Compliance Condition Code XB be applied immediately upon receipt of this dispute;</w:t>
      </w:r>
    </w:p>
    <w:p>
      <w:pPr>
        <w:pStyle w:val="ListParagraph"/>
        <w:numPr>
          <w:ilvl w:val="0"/>
          <w:numId w:val="3"/>
        </w:numPr>
      </w:pPr>
      <w:r>
        <w:rPr>
          <w:rFonts w:ascii="Arial" w:cs="Arial" w:eastAsia="Arial" w:hAnsi="Arial"/>
          <w:sz w:val="22"/>
          <w:szCs w:val="22"/>
        </w:rPr>
        <w:t xml:space="preserve">If this account cannot be verified in its current form, it must be deleted in its entirety under 15 U.S.C. § 1681i(a)(5)(A).</w:t>
      </w:r>
    </w:p>
    <w:p>
      <w:r>
        <w:rPr>
          <w:rFonts w:ascii="Arial" w:cs="Arial" w:eastAsia="Arial" w:hAnsi="Arial"/>
          <w:sz w:val="22"/>
          <w:szCs w:val="22"/>
        </w:rPr>
        <w:t xml:space="preserve"/>
      </w:r>
    </w:p>
    <w:p>
      <w:pPr>
        <w:pBdr>
          <w:bottom w:val="single" w:color="CCCCCC" w:sz="2"/>
        </w:pBdr>
      </w:pPr>
      <w:r>
        <w:rPr>
          <w:rFonts w:ascii="Arial" w:cs="Arial" w:eastAsia="Arial" w:hAnsi="Arial"/>
          <w:sz w:val="22"/>
          <w:szCs w:val="22"/>
        </w:rPr>
        <w:t xml:space="preserve"/>
      </w:r>
    </w:p>
    <w:p>
      <w:r>
        <w:rPr>
          <w:rFonts w:ascii="Arial" w:cs="Arial" w:eastAsia="Arial" w:hAnsi="Arial"/>
          <w:sz w:val="22"/>
          <w:szCs w:val="22"/>
        </w:rPr>
        <w:t xml:space="preserve"/>
      </w:r>
    </w:p>
    <w:p>
      <w:pPr>
        <w:spacing w:after="80" w:before="160"/>
      </w:pPr>
      <w:r>
        <w:rPr>
          <w:rFonts w:ascii="Arial" w:cs="Arial" w:eastAsia="Arial" w:hAnsi="Arial"/>
          <w:b/>
          <w:bCs/>
          <w:color w:val="C00000"/>
          <w:sz w:val="22"/>
          <w:szCs w:val="22"/>
        </w:rPr>
        <w:t xml:space="preserve">Account 4 of 5:  NAVY FEDERAL CR UNION  (855866X)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Account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NAVY FEDERAL CR UNION</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Account #</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855866X</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Date Opened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Sep 05, 2019</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Closed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Jul 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Reported 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Paid in Settlement — $16,128 Written Off</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22"/>
                <w:szCs w:val="22"/>
              </w:rPr>
              <w:t xml:space="preserve">Late Payments
Reported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60-day (Jan 2024), 90-day (Feb 2024), 120-day (Mar 2024), 150-day (Apr 2024), Charge-Off (May–Jun 2024) — 6 severe derogatory months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Metro 2 /
CRRG Violations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Metro 2 violations as above. Dual charge-off entries (May and Jun 2024) indicate potential duplicate or split-account reporting — CRRG prohibits double reporting of same charge-off event. Original Charge-Off Amount field must be verified. Settlement does not permit continued derogatory Payment Rating post-closure per CRRG closed account reporting requirements.</w:t>
            </w:r>
          </w:p>
        </w:tc>
      </w:tr>
    </w:tbl>
    <w:p>
      <w:r>
        <w:rPr>
          <w:rFonts w:ascii="Arial" w:cs="Arial" w:eastAsia="Arial" w:hAnsi="Arial"/>
          <w:sz w:val="22"/>
          <w:szCs w:val="22"/>
        </w:rPr>
        <w:t xml:space="preserve"/>
      </w:r>
    </w:p>
    <w:p>
      <w:r>
        <w:rPr>
          <w:rFonts w:ascii="Arial" w:cs="Arial" w:eastAsia="Arial" w:hAnsi="Arial"/>
          <w:sz w:val="22"/>
          <w:szCs w:val="22"/>
        </w:rPr>
        <w:t xml:space="preserve">Pursuant to FCRA §§ 1681e(b), 1681i(a), 1681i(a)(5)(A), and 1681s-2(b), and Metro 2 CRRG standards, I formally demand that:</w:t>
      </w:r>
    </w:p>
    <w:p>
      <w:pPr>
        <w:pStyle w:val="ListParagraph"/>
        <w:numPr>
          <w:ilvl w:val="0"/>
          <w:numId w:val="3"/>
        </w:numPr>
      </w:pPr>
      <w:r>
        <w:rPr>
          <w:rFonts w:ascii="Arial" w:cs="Arial" w:eastAsia="Arial" w:hAnsi="Arial"/>
          <w:sz w:val="22"/>
          <w:szCs w:val="22"/>
        </w:rPr>
        <w:t xml:space="preserve">All derogatory payment notations listed above be deleted from this account's payment history;</w:t>
      </w:r>
    </w:p>
    <w:p>
      <w:pPr>
        <w:pStyle w:val="ListParagraph"/>
        <w:numPr>
          <w:ilvl w:val="0"/>
          <w:numId w:val="3"/>
        </w:numPr>
      </w:pPr>
      <w:r>
        <w:rPr>
          <w:rFonts w:ascii="Arial" w:cs="Arial" w:eastAsia="Arial" w:hAnsi="Arial"/>
          <w:sz w:val="22"/>
          <w:szCs w:val="22"/>
        </w:rPr>
        <w:t xml:space="preserve">The Account Status Code, Payment Rating, and DOFD be verified for full Metro 2 CRRG compliance;</w:t>
      </w:r>
    </w:p>
    <w:p>
      <w:pPr>
        <w:pStyle w:val="ListParagraph"/>
        <w:numPr>
          <w:ilvl w:val="0"/>
          <w:numId w:val="3"/>
        </w:numPr>
      </w:pPr>
      <w:r>
        <w:rPr>
          <w:rFonts w:ascii="Arial" w:cs="Arial" w:eastAsia="Arial" w:hAnsi="Arial"/>
          <w:sz w:val="22"/>
          <w:szCs w:val="22"/>
        </w:rPr>
        <w:t xml:space="preserve">The Compliance Condition Code XB be applied immediately upon receipt of this dispute;</w:t>
      </w:r>
    </w:p>
    <w:p>
      <w:pPr>
        <w:pStyle w:val="ListParagraph"/>
        <w:numPr>
          <w:ilvl w:val="0"/>
          <w:numId w:val="3"/>
        </w:numPr>
      </w:pPr>
      <w:r>
        <w:rPr>
          <w:rFonts w:ascii="Arial" w:cs="Arial" w:eastAsia="Arial" w:hAnsi="Arial"/>
          <w:sz w:val="22"/>
          <w:szCs w:val="22"/>
        </w:rPr>
        <w:t xml:space="preserve">If this account cannot be verified in its current form, it must be deleted in its entirety under 15 U.S.C. § 1681i(a)(5)(A).</w:t>
      </w:r>
    </w:p>
    <w:p>
      <w:r>
        <w:rPr>
          <w:rFonts w:ascii="Arial" w:cs="Arial" w:eastAsia="Arial" w:hAnsi="Arial"/>
          <w:sz w:val="22"/>
          <w:szCs w:val="22"/>
        </w:rPr>
        <w:t xml:space="preserve"/>
      </w:r>
    </w:p>
    <w:p>
      <w:pPr>
        <w:pBdr>
          <w:bottom w:val="single" w:color="CCCCCC" w:sz="2"/>
        </w:pBdr>
      </w:pPr>
      <w:r>
        <w:rPr>
          <w:rFonts w:ascii="Arial" w:cs="Arial" w:eastAsia="Arial" w:hAnsi="Arial"/>
          <w:sz w:val="22"/>
          <w:szCs w:val="22"/>
        </w:rPr>
        <w:t xml:space="preserve"/>
      </w:r>
    </w:p>
    <w:p>
      <w:r>
        <w:rPr>
          <w:rFonts w:ascii="Arial" w:cs="Arial" w:eastAsia="Arial" w:hAnsi="Arial"/>
          <w:sz w:val="22"/>
          <w:szCs w:val="22"/>
        </w:rPr>
        <w:t xml:space="preserve"/>
      </w:r>
    </w:p>
    <w:p>
      <w:pPr>
        <w:spacing w:after="80" w:before="160"/>
      </w:pPr>
      <w:r>
        <w:rPr>
          <w:rFonts w:ascii="Arial" w:cs="Arial" w:eastAsia="Arial" w:hAnsi="Arial"/>
          <w:b/>
          <w:bCs/>
          <w:color w:val="C00000"/>
          <w:sz w:val="22"/>
          <w:szCs w:val="22"/>
        </w:rPr>
        <w:t xml:space="preserve">Account 5 of 5:  AMEX  (349992990467)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Account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AMEX</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Account #</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349992990467</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Date Opened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23, 2022</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Closed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Aug 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Reported 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Paid in Settlement — $1,766 Written Off</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22"/>
                <w:szCs w:val="22"/>
              </w:rPr>
              <w:t xml:space="preserve">Late Payments
Reported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Collection status (Mar–May 2024), Charge-Off (Jun–Jul 2024) — 5 derogatory months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Metro 2 /
CRRG Violations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Account shows 'Collection' status (Mar–May 2024) before 'Charge-Off' status in same cycle — CRRG prohibits reporting both Collection (Account Status 93) and Charge-Off (97) in overlapping periods without clear DOFD progression. Payment Rating field and Account Status Code conflict with final settlement narrative. XB not applied. ECOA Code must be accurately reported. Balance must show $0 post-settlement.</w:t>
            </w:r>
          </w:p>
        </w:tc>
      </w:tr>
    </w:tbl>
    <w:p>
      <w:r>
        <w:rPr>
          <w:rFonts w:ascii="Arial" w:cs="Arial" w:eastAsia="Arial" w:hAnsi="Arial"/>
          <w:sz w:val="22"/>
          <w:szCs w:val="22"/>
        </w:rPr>
        <w:t xml:space="preserve"/>
      </w:r>
    </w:p>
    <w:p>
      <w:r>
        <w:rPr>
          <w:rFonts w:ascii="Arial" w:cs="Arial" w:eastAsia="Arial" w:hAnsi="Arial"/>
          <w:sz w:val="22"/>
          <w:szCs w:val="22"/>
        </w:rPr>
        <w:t xml:space="preserve">Pursuant to FCRA §§ 1681e(b), 1681i(a), 1681i(a)(5)(A), and 1681s-2(b), and Metro 2 CRRG standards, I formally demand that:</w:t>
      </w:r>
    </w:p>
    <w:p>
      <w:pPr>
        <w:pStyle w:val="ListParagraph"/>
        <w:numPr>
          <w:ilvl w:val="0"/>
          <w:numId w:val="3"/>
        </w:numPr>
      </w:pPr>
      <w:r>
        <w:rPr>
          <w:rFonts w:ascii="Arial" w:cs="Arial" w:eastAsia="Arial" w:hAnsi="Arial"/>
          <w:sz w:val="22"/>
          <w:szCs w:val="22"/>
        </w:rPr>
        <w:t xml:space="preserve">All derogatory payment notations listed above be deleted from this account's payment history;</w:t>
      </w:r>
    </w:p>
    <w:p>
      <w:pPr>
        <w:pStyle w:val="ListParagraph"/>
        <w:numPr>
          <w:ilvl w:val="0"/>
          <w:numId w:val="3"/>
        </w:numPr>
      </w:pPr>
      <w:r>
        <w:rPr>
          <w:rFonts w:ascii="Arial" w:cs="Arial" w:eastAsia="Arial" w:hAnsi="Arial"/>
          <w:sz w:val="22"/>
          <w:szCs w:val="22"/>
        </w:rPr>
        <w:t xml:space="preserve">The Account Status Code, Payment Rating, and DOFD be verified for full Metro 2 CRRG compliance;</w:t>
      </w:r>
    </w:p>
    <w:p>
      <w:pPr>
        <w:pStyle w:val="ListParagraph"/>
        <w:numPr>
          <w:ilvl w:val="0"/>
          <w:numId w:val="3"/>
        </w:numPr>
      </w:pPr>
      <w:r>
        <w:rPr>
          <w:rFonts w:ascii="Arial" w:cs="Arial" w:eastAsia="Arial" w:hAnsi="Arial"/>
          <w:sz w:val="22"/>
          <w:szCs w:val="22"/>
        </w:rPr>
        <w:t xml:space="preserve">The Compliance Condition Code XB be applied immediately upon receipt of this dispute;</w:t>
      </w:r>
    </w:p>
    <w:p>
      <w:pPr>
        <w:pStyle w:val="ListParagraph"/>
        <w:numPr>
          <w:ilvl w:val="0"/>
          <w:numId w:val="3"/>
        </w:numPr>
      </w:pPr>
      <w:r>
        <w:rPr>
          <w:rFonts w:ascii="Arial" w:cs="Arial" w:eastAsia="Arial" w:hAnsi="Arial"/>
          <w:sz w:val="22"/>
          <w:szCs w:val="22"/>
        </w:rPr>
        <w:t xml:space="preserve">If this account cannot be verified in its current form, it must be deleted in its entirety under 15 U.S.C. § 1681i(a)(5)(A).</w:t>
      </w:r>
    </w:p>
    <w:p>
      <w:r>
        <w:rPr>
          <w:rFonts w:ascii="Arial" w:cs="Arial" w:eastAsia="Arial" w:hAnsi="Arial"/>
          <w:sz w:val="22"/>
          <w:szCs w:val="22"/>
        </w:rPr>
        <w:t xml:space="preserve"/>
      </w:r>
    </w:p>
    <w:p>
      <w:pPr>
        <w:pBdr>
          <w:bottom w:val="single" w:color="CCCCCC" w:sz="2"/>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pPr>
        <w:pBdr>
          <w:bottom w:val="single" w:color="C00000" w:sz="6"/>
        </w:pBdr>
        <w:spacing w:after="120" w:before="240"/>
      </w:pPr>
      <w:r>
        <w:rPr>
          <w:rFonts w:ascii="Arial" w:cs="Arial" w:eastAsia="Arial" w:hAnsi="Arial"/>
          <w:b/>
          <w:bCs/>
          <w:sz w:val="26"/>
          <w:szCs w:val="26"/>
        </w:rPr>
        <w:t xml:space="preserve">III.  PART ONE — SPECIFIC DEMANDS</w:t>
      </w:r>
    </w:p>
    <w:p>
      <w:r>
        <w:rPr>
          <w:rFonts w:ascii="Arial" w:cs="Arial" w:eastAsia="Arial" w:hAnsi="Arial"/>
          <w:sz w:val="22"/>
          <w:szCs w:val="22"/>
        </w:rPr>
        <w:t xml:space="preserve"/>
      </w:r>
    </w:p>
    <w:p>
      <w:r>
        <w:rPr>
          <w:rFonts w:ascii="Arial" w:cs="Arial" w:eastAsia="Arial" w:hAnsi="Arial"/>
          <w:sz w:val="22"/>
          <w:szCs w:val="22"/>
        </w:rPr>
        <w:t xml:space="preserve">Pursuant to all statutes and Metro 2 standards cited above, I demand the following for each of the five accounts identified in Section II:</w:t>
      </w:r>
    </w:p>
    <w:p>
      <w:r>
        <w:rPr>
          <w:rFonts w:ascii="Arial" w:cs="Arial" w:eastAsia="Arial" w:hAnsi="Arial"/>
          <w:sz w:val="22"/>
          <w:szCs w:val="22"/>
        </w:rPr>
        <w:t xml:space="preserve"/>
      </w:r>
    </w:p>
    <w:p>
      <w:pPr>
        <w:pStyle w:val="ListParagraph"/>
        <w:numPr>
          <w:ilvl w:val="0"/>
          <w:numId w:val="3"/>
        </w:numPr>
      </w:pPr>
      <w:r>
        <w:rPr>
          <w:rFonts w:ascii="Arial" w:cs="Arial" w:eastAsia="Arial" w:hAnsi="Arial"/>
          <w:b/>
          <w:bCs/>
          <w:sz w:val="22"/>
          <w:szCs w:val="22"/>
        </w:rPr>
        <w:t xml:space="preserve">CONDUCT A FULL REINVESTIGATION</w:t>
      </w:r>
      <w:r>
        <w:rPr>
          <w:rFonts w:ascii="Arial" w:cs="Arial" w:eastAsia="Arial" w:hAnsi="Arial"/>
          <w:sz w:val="22"/>
          <w:szCs w:val="22"/>
        </w:rPr>
        <w:t xml:space="preserve"> of each account within the 30-day statutory window (15 U.S.C. § 1681i(a)(1)).</w:t>
      </w:r>
    </w:p>
    <w:p>
      <w:pPr>
        <w:pStyle w:val="ListParagraph"/>
        <w:numPr>
          <w:ilvl w:val="0"/>
          <w:numId w:val="3"/>
        </w:numPr>
      </w:pPr>
      <w:r>
        <w:rPr>
          <w:rFonts w:ascii="Arial" w:cs="Arial" w:eastAsia="Arial" w:hAnsi="Arial"/>
          <w:b/>
          <w:bCs/>
          <w:sz w:val="22"/>
          <w:szCs w:val="22"/>
        </w:rPr>
        <w:t xml:space="preserve">DELETE ALL DEROGATORY LATE PAYMENT NOTATIONS</w:t>
      </w:r>
      <w:r>
        <w:rPr>
          <w:rFonts w:ascii="Arial" w:cs="Arial" w:eastAsia="Arial" w:hAnsi="Arial"/>
          <w:sz w:val="22"/>
          <w:szCs w:val="22"/>
        </w:rPr>
        <w:t xml:space="preserve"> that cannot be verified as fully accurate under Metro 2 CRRG standards.</w:t>
      </w:r>
    </w:p>
    <w:p>
      <w:pPr>
        <w:pStyle w:val="ListParagraph"/>
        <w:numPr>
          <w:ilvl w:val="0"/>
          <w:numId w:val="3"/>
        </w:numPr>
      </w:pPr>
      <w:r>
        <w:rPr>
          <w:rFonts w:ascii="Arial" w:cs="Arial" w:eastAsia="Arial" w:hAnsi="Arial"/>
          <w:b/>
          <w:bCs/>
          <w:sz w:val="22"/>
          <w:szCs w:val="22"/>
        </w:rPr>
        <w:t xml:space="preserve">APPLY COMPLIANCE CONDITION CODE XB</w:t>
      </w:r>
      <w:r>
        <w:rPr>
          <w:rFonts w:ascii="Arial" w:cs="Arial" w:eastAsia="Arial" w:hAnsi="Arial"/>
          <w:sz w:val="22"/>
          <w:szCs w:val="22"/>
        </w:rPr>
        <w:t xml:space="preserve"> to every account identified in this dispute, effective immediately, as required by Metro 2 CRRG guidelines.</w:t>
      </w:r>
    </w:p>
    <w:p>
      <w:pPr>
        <w:pStyle w:val="ListParagraph"/>
        <w:numPr>
          <w:ilvl w:val="0"/>
          <w:numId w:val="3"/>
        </w:numPr>
      </w:pPr>
      <w:r>
        <w:rPr>
          <w:rFonts w:ascii="Arial" w:cs="Arial" w:eastAsia="Arial" w:hAnsi="Arial"/>
          <w:b/>
          <w:bCs/>
          <w:sz w:val="22"/>
          <w:szCs w:val="22"/>
        </w:rPr>
        <w:t xml:space="preserve">VERIFY DATE OF FIRST DELINQUENCY (DOFD)</w:t>
      </w:r>
      <w:r>
        <w:rPr>
          <w:rFonts w:ascii="Arial" w:cs="Arial" w:eastAsia="Arial" w:hAnsi="Arial"/>
          <w:sz w:val="22"/>
          <w:szCs w:val="22"/>
        </w:rPr>
        <w:t xml:space="preserve"> for every account and ensure it is accurately reported as required by FCRA § 1681c(a)(4) and Metro 2 CRRG.</w:t>
      </w:r>
    </w:p>
    <w:p>
      <w:pPr>
        <w:pStyle w:val="ListParagraph"/>
        <w:numPr>
          <w:ilvl w:val="0"/>
          <w:numId w:val="3"/>
        </w:numPr>
      </w:pPr>
      <w:r>
        <w:rPr>
          <w:rFonts w:ascii="Arial" w:cs="Arial" w:eastAsia="Arial" w:hAnsi="Arial"/>
          <w:b/>
          <w:bCs/>
          <w:sz w:val="22"/>
          <w:szCs w:val="22"/>
        </w:rPr>
        <w:t xml:space="preserve">VERIFY PAYMENT RATING AND ACCOUNT STATUS CODES</w:t>
      </w:r>
      <w:r>
        <w:rPr>
          <w:rFonts w:ascii="Arial" w:cs="Arial" w:eastAsia="Arial" w:hAnsi="Arial"/>
          <w:sz w:val="22"/>
          <w:szCs w:val="22"/>
        </w:rPr>
        <w:t xml:space="preserve"> for Metro 2 CRRG compliance; correct any mismatches between Account Status Code and Payment Rating.</w:t>
      </w:r>
    </w:p>
    <w:p>
      <w:pPr>
        <w:pStyle w:val="ListParagraph"/>
        <w:numPr>
          <w:ilvl w:val="0"/>
          <w:numId w:val="3"/>
        </w:numPr>
      </w:pPr>
      <w:r>
        <w:rPr>
          <w:rFonts w:ascii="Arial" w:cs="Arial" w:eastAsia="Arial" w:hAnsi="Arial"/>
          <w:b/>
          <w:bCs/>
          <w:sz w:val="22"/>
          <w:szCs w:val="22"/>
        </w:rPr>
        <w:t xml:space="preserve">CONFIRM ZERO BALANCE</w:t>
      </w:r>
      <w:r>
        <w:rPr>
          <w:rFonts w:ascii="Arial" w:cs="Arial" w:eastAsia="Arial" w:hAnsi="Arial"/>
          <w:sz w:val="22"/>
          <w:szCs w:val="22"/>
        </w:rPr>
        <w:t xml:space="preserve"> on all settled/closed accounts. Any continued reporting of non-zero balance post-settlement is a Metro 2 violation.</w:t>
      </w:r>
    </w:p>
    <w:p>
      <w:pPr>
        <w:pStyle w:val="ListParagraph"/>
        <w:numPr>
          <w:ilvl w:val="0"/>
          <w:numId w:val="3"/>
        </w:numPr>
      </w:pPr>
      <w:r>
        <w:rPr>
          <w:rFonts w:ascii="Arial" w:cs="Arial" w:eastAsia="Arial" w:hAnsi="Arial"/>
          <w:b/>
          <w:bCs/>
          <w:sz w:val="22"/>
          <w:szCs w:val="22"/>
        </w:rPr>
        <w:t xml:space="preserve">DELETE IN ENTIRETY</w:t>
      </w:r>
      <w:r>
        <w:rPr>
          <w:rFonts w:ascii="Arial" w:cs="Arial" w:eastAsia="Arial" w:hAnsi="Arial"/>
          <w:sz w:val="22"/>
          <w:szCs w:val="22"/>
        </w:rPr>
        <w:t xml:space="preserve"> any account for which the furnisher cannot verify full Metro 2 CRRG accuracy under 15 U.S.C. § 1681i(a)(5)(A).</w:t>
      </w:r>
    </w:p>
    <w:p>
      <w:pPr>
        <w:pStyle w:val="ListParagraph"/>
        <w:numPr>
          <w:ilvl w:val="0"/>
          <w:numId w:val="3"/>
        </w:numPr>
      </w:pPr>
      <w:r>
        <w:rPr>
          <w:rFonts w:ascii="Arial" w:cs="Arial" w:eastAsia="Arial" w:hAnsi="Arial"/>
          <w:b/>
          <w:bCs/>
          <w:sz w:val="22"/>
          <w:szCs w:val="22"/>
        </w:rPr>
        <w:t xml:space="preserve">PROVIDE WRITTEN NOTICE</w:t>
      </w:r>
      <w:r>
        <w:rPr>
          <w:rFonts w:ascii="Arial" w:cs="Arial" w:eastAsia="Arial" w:hAnsi="Arial"/>
          <w:sz w:val="22"/>
          <w:szCs w:val="22"/>
        </w:rPr>
        <w:t xml:space="preserve"> of investigation results, including furnisher name, address, and contact information, per 15 U.S.C. § 1681i(a)(6).</w:t>
      </w:r>
    </w:p>
    <w:p>
      <w:pPr>
        <w:pStyle w:val="ListParagraph"/>
        <w:numPr>
          <w:ilvl w:val="0"/>
          <w:numId w:val="3"/>
        </w:numPr>
      </w:pPr>
      <w:r>
        <w:rPr>
          <w:rFonts w:ascii="Arial" w:cs="Arial" w:eastAsia="Arial" w:hAnsi="Arial"/>
          <w:b/>
          <w:bCs/>
          <w:sz w:val="22"/>
          <w:szCs w:val="22"/>
        </w:rPr>
        <w:t xml:space="preserve">NOTIFY ALL RECIPIENTS</w:t>
      </w:r>
      <w:r>
        <w:rPr>
          <w:rFonts w:ascii="Arial" w:cs="Arial" w:eastAsia="Arial" w:hAnsi="Arial"/>
          <w:sz w:val="22"/>
          <w:szCs w:val="22"/>
        </w:rPr>
        <w:t xml:space="preserve"> of my updated credit report of any corrections made, per 15 U.S.C. § 1681i(d).</w:t>
      </w:r>
    </w:p>
    <w:p>
      <w:r>
        <w:rPr>
          <w:rFonts w:ascii="Arial" w:cs="Arial" w:eastAsia="Arial" w:hAnsi="Arial"/>
          <w:sz w:val="22"/>
          <w:szCs w:val="22"/>
        </w:rPr>
        <w:t xml:space="preserve"/>
      </w:r>
    </w:p>
    <w:p>
      <w:r>
        <w:rPr>
          <w:rFonts w:ascii="Arial" w:cs="Arial" w:eastAsia="Arial" w:hAnsi="Arial"/>
          <w:sz w:val="22"/>
          <w:szCs w:val="22"/>
        </w:rPr>
        <w:t xml:space="preserve"/>
      </w:r>
    </w:p>
    <w:p>
      <w:r>
        <w:br w:type="page"/>
      </w:r>
    </w:p>
    <w:p>
      <w:pPr>
        <w:shd w:fill="7B0000" w:val="clear"/>
        <w:spacing w:after="160" w:before="160"/>
      </w:pPr>
      <w:r>
        <w:rPr>
          <w:rFonts w:ascii="Arial" w:cs="Arial" w:eastAsia="Arial" w:hAnsi="Arial"/>
          <w:b/>
          <w:bCs/>
          <w:color w:val="FFFFFF"/>
          <w:sz w:val="26"/>
          <w:szCs w:val="26"/>
        </w:rPr>
        <w:t xml:space="preserve">━━━━  PART TWO: IDENTITY THEFT BLOCK DEMAND — FCRA § 605B (4 BUSINESS DAYS)  ━━━━</w:t>
      </w:r>
    </w:p>
    <w:p>
      <w:r>
        <w:rPr>
          <w:rFonts w:ascii="Arial" w:cs="Arial" w:eastAsia="Arial" w:hAnsi="Arial"/>
          <w:sz w:val="22"/>
          <w:szCs w:val="22"/>
        </w:rPr>
        <w:t xml:space="preserve"/>
      </w:r>
    </w:p>
    <w:p>
      <w:r>
        <w:rPr>
          <w:rFonts w:ascii="Arial" w:cs="Arial" w:eastAsia="Arial" w:hAnsi="Arial"/>
          <w:b/>
          <w:bCs/>
          <w:color w:val="C00000"/>
          <w:sz w:val="24"/>
          <w:szCs w:val="24"/>
        </w:rPr>
        <w:t xml:space="preserve">DISPUTED ACCOUNT:  LVNV FUNDING LLC</w:t>
      </w:r>
    </w:p>
    <w:p>
      <w:r>
        <w:rPr>
          <w:rFonts w:ascii="Arial" w:cs="Arial" w:eastAsia="Arial" w:hAnsi="Arial"/>
          <w:b/>
          <w:bCs/>
          <w:sz w:val="24"/>
          <w:szCs w:val="24"/>
        </w:rPr>
        <w:t xml:space="preserve">Original Creditor:  TOTAL CARD BANK OF MISSOURI</w:t>
      </w:r>
    </w:p>
    <w:p>
      <w:r>
        <w:rPr>
          <w:rFonts w:ascii="Arial" w:cs="Arial" w:eastAsia="Arial" w:hAnsi="Arial"/>
          <w:sz w:val="22"/>
          <w:szCs w:val="22"/>
        </w:rPr>
        <w:t xml:space="preserve">Account #: 405731XXXXXXXXXX   |   Balance: $289   |   Date Opened: October 13, 2023</w:t>
      </w:r>
    </w:p>
    <w:p>
      <w:r>
        <w:rPr>
          <w:rFonts w:ascii="Arial" w:cs="Arial" w:eastAsia="Arial" w:hAnsi="Arial"/>
          <w:sz w:val="22"/>
          <w:szCs w:val="22"/>
        </w:rPr>
        <w:t xml:space="preserve">Status: Collection Account — $289 Past Due as of March 2026 (Reported C — Collection every month since opened)</w:t>
      </w:r>
    </w:p>
    <w:p>
      <w:r>
        <w:rPr>
          <w:rFonts w:ascii="Arial" w:cs="Arial" w:eastAsia="Arial" w:hAnsi="Arial"/>
          <w:sz w:val="22"/>
          <w:szCs w:val="22"/>
        </w:rPr>
        <w:t xml:space="preserve"/>
      </w:r>
    </w:p>
    <w:p>
      <w:pPr>
        <w:pBdr>
          <w:bottom w:val="single" w:color="C00000" w:sz="6"/>
        </w:pBdr>
        <w:spacing w:after="120" w:before="240"/>
      </w:pPr>
      <w:r>
        <w:rPr>
          <w:rFonts w:ascii="Arial" w:cs="Arial" w:eastAsia="Arial" w:hAnsi="Arial"/>
          <w:b/>
          <w:bCs/>
          <w:sz w:val="26"/>
          <w:szCs w:val="26"/>
        </w:rPr>
        <w:t xml:space="preserve">IV.  STATEMENT OF IDENTITY THEFT — THIS IS NOT MY ACCOUNT</w:t>
      </w:r>
    </w:p>
    <w:p>
      <w:r>
        <w:rPr>
          <w:rFonts w:ascii="Arial" w:cs="Arial" w:eastAsia="Arial" w:hAnsi="Arial"/>
          <w:sz w:val="22"/>
          <w:szCs w:val="22"/>
        </w:rPr>
        <w:t xml:space="preserve"/>
      </w:r>
    </w:p>
    <w:p>
      <w:r>
        <w:rPr>
          <w:rFonts w:ascii="Arial" w:cs="Arial" w:eastAsia="Arial" w:hAnsi="Arial"/>
          <w:sz w:val="22"/>
          <w:szCs w:val="22"/>
        </w:rPr>
        <w:t xml:space="preserve">I have no knowledge of, and did not authorize, open, use, or benefit from this collection account. I did not conduct any transaction with Total Card Bank of Missouri or LVNV Funding LLC. This account is the direct result of identity theft — someone fraudulently used my personal identifying information to obtain credit in my name. I am a confirmed identity theft victim, as evidenced by the active Identity Fraud Victim Alert currently maintained on my Experian credit file (Alert placed: October 14, 2024; maintained for seven years through October 14, 2031, per FCRA § 605A).</w:t>
      </w:r>
    </w:p>
    <w:p>
      <w:r>
        <w:rPr>
          <w:rFonts w:ascii="Arial" w:cs="Arial" w:eastAsia="Arial" w:hAnsi="Arial"/>
          <w:sz w:val="22"/>
          <w:szCs w:val="22"/>
        </w:rPr>
        <w:t xml:space="preserve"/>
      </w:r>
    </w:p>
    <w:p>
      <w:r>
        <w:rPr>
          <w:rFonts w:ascii="Arial" w:cs="Arial" w:eastAsia="Arial" w:hAnsi="Arial"/>
          <w:sz w:val="22"/>
          <w:szCs w:val="22"/>
        </w:rPr>
        <w:t xml:space="preserve">The fraudulent use of my information to open this account is consistent with the use of a Credit Privacy Number (CPN) scheme or other synthetic identity fraud — a practice in which a fraudulent identity file is constructed using a legitimate consumer's Social Security Number without their knowledge or consent. The opening of this account in October 2023 is particularly suspicious given the subsequent placement of a fraud victim alert on my file in October 2024 following discovery of unauthorized credit activity.</w:t>
      </w:r>
    </w:p>
    <w:p>
      <w:r>
        <w:rPr>
          <w:rFonts w:ascii="Arial" w:cs="Arial" w:eastAsia="Arial" w:hAnsi="Arial"/>
          <w:sz w:val="22"/>
          <w:szCs w:val="22"/>
        </w:rPr>
        <w:t xml:space="preserve"/>
      </w:r>
    </w:p>
    <w:p>
      <w:pPr>
        <w:pBdr>
          <w:bottom w:val="single" w:color="C00000" w:sz="6"/>
        </w:pBdr>
        <w:spacing w:after="120" w:before="240"/>
      </w:pPr>
      <w:r>
        <w:rPr>
          <w:rFonts w:ascii="Arial" w:cs="Arial" w:eastAsia="Arial" w:hAnsi="Arial"/>
          <w:b/>
          <w:bCs/>
          <w:sz w:val="26"/>
          <w:szCs w:val="26"/>
        </w:rPr>
        <w:t xml:space="preserve">V.  LEGAL BASIS — 4 BUSINESS DAY BLOCK DEMAND</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A.  FCRA § 605B — Block of Information Resulting from Identity Theft [15 U.S.C. § 1681c-2(a)]</w:t>
      </w:r>
    </w:p>
    <w:p>
      <w:r>
        <w:rPr>
          <w:rFonts w:ascii="Arial" w:cs="Arial" w:eastAsia="Arial" w:hAnsi="Arial"/>
          <w:sz w:val="22"/>
          <w:szCs w:val="22"/>
        </w:rPr>
        <w:t xml:space="preserve">This is the operative statute that governs this demand. The exact statutory text reads:</w:t>
      </w:r>
    </w:p>
    <w:p>
      <w:r>
        <w:rPr>
          <w:rFonts w:ascii="Arial" w:cs="Arial" w:eastAsia="Arial" w:hAnsi="Arial"/>
          <w:sz w:val="22"/>
          <w:szCs w:val="22"/>
        </w:rPr>
        <w:t xml:space="preserve"/>
      </w:r>
    </w:p>
    <w:p>
      <w:r>
        <w:rPr>
          <w:rFonts w:ascii="Arial" w:cs="Arial" w:eastAsia="Arial" w:hAnsi="Arial"/>
          <w:i/>
          <w:iCs/>
          <w:color w:val="555555"/>
          <w:sz w:val="20"/>
          <w:szCs w:val="20"/>
        </w:rPr>
        <w:t xml:space="preserve">"Except as otherwise provided in this section, a consumer reporting agency shall block the reporting of any information in the file of a consumer that the consumer identifies as information that resulted from an alleged identity theft, not later than 4 business days after the date of receipt by such agency of — (1) appropriate proof of the identity of the consumer; (2) a copy of an identity theft report; (3) the identification of such information by the consumer; and (4) a statement by the consumer that the information is not information relating to any transaction by the consumer."</w:t>
      </w:r>
    </w:p>
    <w:p>
      <w:r>
        <w:rPr>
          <w:rFonts w:ascii="Arial" w:cs="Arial" w:eastAsia="Arial" w:hAnsi="Arial"/>
          <w:sz w:val="22"/>
          <w:szCs w:val="22"/>
        </w:rPr>
        <w:t xml:space="preserve"/>
      </w:r>
    </w:p>
    <w:p>
      <w:r>
        <w:rPr>
          <w:rFonts w:ascii="Arial" w:cs="Arial" w:eastAsia="Arial" w:hAnsi="Arial"/>
          <w:sz w:val="22"/>
          <w:szCs w:val="22"/>
        </w:rPr>
        <w:t xml:space="preserve">This statute does not allow discretion. The word 'shall' imposes a mandatory, non-waivable obligation to block within 4 business days. I am providing all four required elements with this letter (see Section VIII — Enclosures). The block must be implemented no later than 4 business days from your receipt of this dispute package.</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B.  FCRA § 605B(b) — Mandatory Notification to Furnisher [15 U.S.C. § 1681c-2(b)]</w:t>
      </w:r>
    </w:p>
    <w:p>
      <w:r>
        <w:rPr>
          <w:rFonts w:ascii="Arial" w:cs="Arial" w:eastAsia="Arial" w:hAnsi="Arial"/>
          <w:sz w:val="22"/>
          <w:szCs w:val="22"/>
        </w:rPr>
        <w:t xml:space="preserve">Upon blocking, Experian must promptly notify LVNV Funding LLC (the furnisher) that: (1) the information may be a result of identity theft; (2) an identity theft report has been filed; (3) a block has been requested; and (4) the effective dates of the block. This notification is mandatory, not discretionary.</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C.  FCRA § 605A — Active Identity Fraud Victim Alert [15 U.S.C. § 1681c-1]</w:t>
      </w:r>
    </w:p>
    <w:p>
      <w:r>
        <w:rPr>
          <w:rFonts w:ascii="Arial" w:cs="Arial" w:eastAsia="Arial" w:hAnsi="Arial"/>
          <w:sz w:val="22"/>
          <w:szCs w:val="22"/>
        </w:rPr>
        <w:t xml:space="preserve">An active Identity Fraud Victim Alert appears on my Experian credit file (placed October 14, 2024). Under FCRA § 605A(h)(1)(B)(iii), a consumer reporting agency maintaining a fraud alert must include that alert in all consumer reports and notify any prospective user that a fraud alert is in place. Any user of my credit report is required to take reasonable steps to verify my identity before extending credit. The existence of this active alert further confirms the documented identity theft affecting my credit file.</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D.  FCRA § 605A(f) — Consumer Statement Right [15 U.S.C. § 1681c-1(f)]</w:t>
      </w:r>
    </w:p>
    <w:p>
      <w:r>
        <w:rPr>
          <w:rFonts w:ascii="Arial" w:cs="Arial" w:eastAsia="Arial" w:hAnsi="Arial"/>
          <w:sz w:val="22"/>
          <w:szCs w:val="22"/>
        </w:rPr>
        <w:t xml:space="preserve">I reserve the right to place a consumer statement in my file documenting the identity theft and the fraudulent nature of this collection account. I request that any such statement be included in all future consumer reports distributed.</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E.  FCRA § 609(e) — Right to Obtain Business Records of Identity Theft [15 U.S.C. § 1681g(e)]</w:t>
      </w:r>
    </w:p>
    <w:p>
      <w:r>
        <w:rPr>
          <w:rFonts w:ascii="Arial" w:cs="Arial" w:eastAsia="Arial" w:hAnsi="Arial"/>
          <w:sz w:val="22"/>
          <w:szCs w:val="22"/>
        </w:rPr>
        <w:t xml:space="preserve">Upon my written request, any business entity that has provided credit, goods, services, or other benefit to a person who fraudulently used my information must provide me with copies of application and business transaction records relating to the identity theft, without charge, within 30 days. I hereby make this request applicable to both Experian and LVNV Funding LLC / Total Card Bank of Missouri.</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F.  FDCPA — False or Misleading Representations [15 U.S.C. § 1692e]</w:t>
      </w:r>
    </w:p>
    <w:p>
      <w:r>
        <w:rPr>
          <w:rFonts w:ascii="Arial" w:cs="Arial" w:eastAsia="Arial" w:hAnsi="Arial"/>
          <w:sz w:val="22"/>
          <w:szCs w:val="22"/>
        </w:rPr>
        <w:t xml:space="preserve">LVNV Funding LLC, as a debt collector under the FDCPA, is prohibited from using any false, deceptive, or misleading representation or means in connection with the collection of any debt. Reporting a fraudulent collection account on my credit file as a valid, collectible debt I owe constitutes a false representation in violation of 15 U.S.C. § 1692e.</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G.  FDCPA — Validation of Debt [15 U.S.C. § 1692g]</w:t>
      </w:r>
    </w:p>
    <w:p>
      <w:r>
        <w:rPr>
          <w:rFonts w:ascii="Arial" w:cs="Arial" w:eastAsia="Arial" w:hAnsi="Arial"/>
          <w:sz w:val="22"/>
          <w:szCs w:val="22"/>
        </w:rPr>
        <w:t xml:space="preserve">I additionally demand that LVNV Funding LLC provide complete debt validation for this account, including: (1) the original signed credit application or contract bearing my signature; (2) a complete account history showing every transaction; (3) proof that LVNV Funding LLC has legal authority to collect this alleged debt; and (4) the chain of title/ownership from Total Card Bank of Missouri to LVNV Funding LLC. Failure to validate this debt while continuing collection activity is a violation of 15 U.S.C. § 1692g(b).</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H.  Metro 2® CRRG — Identity Theft / Consumer Information Indicator</w:t>
      </w:r>
    </w:p>
    <w:p>
      <w:r>
        <w:rPr>
          <w:rFonts w:ascii="Arial" w:cs="Arial" w:eastAsia="Arial" w:hAnsi="Arial"/>
          <w:sz w:val="22"/>
          <w:szCs w:val="22"/>
        </w:rPr>
        <w:t xml:space="preserve">Under Metro 2 CRRG standards, when an account is the subject of an identity theft dispute, the furnisher must apply the Consumer Information Indicator ('P' code — Consumer is a victim of identity theft) to the tradeline. The failure to apply this indicator while reporting this collection account constitutes a Metro 2 CRRG violation compounding the FCRA violations already cited.</w:t>
      </w:r>
    </w:p>
    <w:p>
      <w:r>
        <w:rPr>
          <w:rFonts w:ascii="Arial" w:cs="Arial" w:eastAsia="Arial" w:hAnsi="Arial"/>
          <w:sz w:val="22"/>
          <w:szCs w:val="22"/>
        </w:rPr>
        <w:t xml:space="preserve"/>
      </w:r>
    </w:p>
    <w:p>
      <w:pPr>
        <w:spacing w:after="80" w:before="160"/>
      </w:pPr>
      <w:r>
        <w:rPr>
          <w:rFonts w:ascii="Arial" w:cs="Arial" w:eastAsia="Arial" w:hAnsi="Arial"/>
          <w:b/>
          <w:bCs/>
          <w:color w:val="1F4E79"/>
          <w:sz w:val="22"/>
          <w:szCs w:val="22"/>
        </w:rPr>
        <w:t xml:space="preserve">I.  FTC Red Flags Rule [16 CFR Part 681]</w:t>
      </w:r>
    </w:p>
    <w:p>
      <w:r>
        <w:rPr>
          <w:rFonts w:ascii="Arial" w:cs="Arial" w:eastAsia="Arial" w:hAnsi="Arial"/>
          <w:sz w:val="22"/>
          <w:szCs w:val="22"/>
        </w:rPr>
        <w:t xml:space="preserve">The FTC Red Flags Rule requires creditors and financial institutions to have identity theft prevention programs in place and to take appropriate action when red flags of identity theft are detected. The fraudulent opening of a credit account using my personal information represents a failure of Total Card Bank of Missouri's red flag detection obligations.</w:t>
      </w:r>
    </w:p>
    <w:p>
      <w:r>
        <w:rPr>
          <w:rFonts w:ascii="Arial" w:cs="Arial" w:eastAsia="Arial" w:hAnsi="Arial"/>
          <w:sz w:val="22"/>
          <w:szCs w:val="22"/>
        </w:rPr>
        <w:t xml:space="preserve"/>
      </w:r>
    </w:p>
    <w:p>
      <w:pPr>
        <w:pBdr>
          <w:bottom w:val="single" w:color="C00000" w:sz="6"/>
        </w:pBdr>
        <w:spacing w:after="120" w:before="240"/>
      </w:pPr>
      <w:r>
        <w:rPr>
          <w:rFonts w:ascii="Arial" w:cs="Arial" w:eastAsia="Arial" w:hAnsi="Arial"/>
          <w:b/>
          <w:bCs/>
          <w:sz w:val="26"/>
          <w:szCs w:val="26"/>
        </w:rPr>
        <w:t xml:space="preserve">VI.  THE FOUR REQUIRED ELEMENTS FOR THE § 605B BLOCK</w:t>
      </w:r>
    </w:p>
    <w:p>
      <w:r>
        <w:rPr>
          <w:rFonts w:ascii="Arial" w:cs="Arial" w:eastAsia="Arial" w:hAnsi="Arial"/>
          <w:sz w:val="22"/>
          <w:szCs w:val="22"/>
        </w:rPr>
        <w:t xml:space="preserve"/>
      </w:r>
    </w:p>
    <w:p>
      <w:r>
        <w:rPr>
          <w:rFonts w:ascii="Arial" w:cs="Arial" w:eastAsia="Arial" w:hAnsi="Arial"/>
          <w:sz w:val="22"/>
          <w:szCs w:val="22"/>
        </w:rPr>
        <w:t xml:space="preserve">I am providing all four elements required by 15 U.S.C. § 1681c-2(a) with this letter:</w:t>
      </w:r>
    </w:p>
    <w:p>
      <w:r>
        <w:rPr>
          <w:rFonts w:ascii="Arial" w:cs="Arial" w:eastAsia="Arial" w:hAnsi="Arial"/>
          <w:sz w:val="22"/>
          <w:szCs w:val="22"/>
        </w:rPr>
        <w:t xml:space="preserve"/>
      </w:r>
    </w:p>
    <w:p>
      <w:pPr>
        <w:pStyle w:val="ListParagraph"/>
        <w:numPr>
          <w:ilvl w:val="0"/>
          <w:numId w:val="3"/>
        </w:numPr>
      </w:pPr>
      <w:r>
        <w:rPr>
          <w:rFonts w:ascii="Arial" w:cs="Arial" w:eastAsia="Arial" w:hAnsi="Arial"/>
          <w:b/>
          <w:bCs/>
          <w:sz w:val="22"/>
          <w:szCs w:val="22"/>
        </w:rPr>
        <w:t xml:space="preserve">Element 1 — Proof of Identity: </w:t>
      </w:r>
      <w:r>
        <w:rPr>
          <w:rFonts w:ascii="Arial" w:cs="Arial" w:eastAsia="Arial" w:hAnsi="Arial"/>
          <w:sz w:val="22"/>
          <w:szCs w:val="22"/>
        </w:rPr>
        <w:t xml:space="preserve">Copy of government-issued photo ID (enclosed).</w:t>
      </w:r>
    </w:p>
    <w:p>
      <w:pPr>
        <w:pStyle w:val="ListParagraph"/>
        <w:numPr>
          <w:ilvl w:val="0"/>
          <w:numId w:val="3"/>
        </w:numPr>
      </w:pPr>
      <w:r>
        <w:rPr>
          <w:rFonts w:ascii="Arial" w:cs="Arial" w:eastAsia="Arial" w:hAnsi="Arial"/>
          <w:b/>
          <w:bCs/>
          <w:sz w:val="22"/>
          <w:szCs w:val="22"/>
        </w:rPr>
        <w:t xml:space="preserve">Element 2 — Identity Theft Report: </w:t>
      </w:r>
      <w:r>
        <w:rPr>
          <w:rFonts w:ascii="Arial" w:cs="Arial" w:eastAsia="Arial" w:hAnsi="Arial"/>
          <w:sz w:val="22"/>
          <w:szCs w:val="22"/>
        </w:rPr>
        <w:t xml:space="preserve">FTC Identity Theft Report / police report documenting the identity theft (enclosed).</w:t>
      </w:r>
    </w:p>
    <w:p>
      <w:pPr>
        <w:pStyle w:val="ListParagraph"/>
        <w:numPr>
          <w:ilvl w:val="0"/>
          <w:numId w:val="3"/>
        </w:numPr>
      </w:pPr>
      <w:r>
        <w:rPr>
          <w:rFonts w:ascii="Arial" w:cs="Arial" w:eastAsia="Arial" w:hAnsi="Arial"/>
          <w:b/>
          <w:bCs/>
          <w:sz w:val="22"/>
          <w:szCs w:val="22"/>
        </w:rPr>
        <w:t xml:space="preserve">Element 3 — Identification of Information to Block: </w:t>
      </w:r>
      <w:r>
        <w:rPr>
          <w:rFonts w:ascii="Arial" w:cs="Arial" w:eastAsia="Arial" w:hAnsi="Arial"/>
          <w:sz w:val="22"/>
          <w:szCs w:val="22"/>
        </w:rPr>
        <w:t xml:space="preserve">LVNV Funding LLC, Account #405731XXXXXXXXXX, Original Creditor Total Card Bank of Missouri, balance $289, as it appears on my Experian consumer file.</w:t>
      </w:r>
    </w:p>
    <w:p>
      <w:pPr>
        <w:pStyle w:val="ListParagraph"/>
        <w:numPr>
          <w:ilvl w:val="0"/>
          <w:numId w:val="3"/>
        </w:numPr>
      </w:pPr>
      <w:r>
        <w:rPr>
          <w:rFonts w:ascii="Arial" w:cs="Arial" w:eastAsia="Arial" w:hAnsi="Arial"/>
          <w:b/>
          <w:bCs/>
          <w:sz w:val="22"/>
          <w:szCs w:val="22"/>
        </w:rPr>
        <w:t xml:space="preserve">Element 4 — Statement that Information is Not Mine: </w:t>
      </w:r>
      <w:r>
        <w:rPr>
          <w:rFonts w:ascii="Arial" w:cs="Arial" w:eastAsia="Arial" w:hAnsi="Arial"/>
          <w:sz w:val="22"/>
          <w:szCs w:val="22"/>
        </w:rPr>
        <w:t xml:space="preserve">I, Tyishea T. Harrington, hereby state under penalty of perjury that the LVNV Funding LLC collection account identified above does not relate to any transaction I initiated, authorized, or participated in. This account is the result of identity theft and is not my debt.</w:t>
      </w:r>
    </w:p>
    <w:p>
      <w:r>
        <w:rPr>
          <w:rFonts w:ascii="Arial" w:cs="Arial" w:eastAsia="Arial" w:hAnsi="Arial"/>
          <w:sz w:val="22"/>
          <w:szCs w:val="22"/>
        </w:rPr>
        <w:t xml:space="preserve"/>
      </w:r>
    </w:p>
    <w:p>
      <w:pPr>
        <w:pBdr>
          <w:bottom w:val="single" w:color="C00000" w:sz="6"/>
        </w:pBdr>
        <w:spacing w:after="120" w:before="240"/>
      </w:pPr>
      <w:r>
        <w:rPr>
          <w:rFonts w:ascii="Arial" w:cs="Arial" w:eastAsia="Arial" w:hAnsi="Arial"/>
          <w:b/>
          <w:bCs/>
          <w:sz w:val="26"/>
          <w:szCs w:val="26"/>
        </w:rPr>
        <w:t xml:space="preserve">VII.  DEMANDS — PART TWO</w:t>
      </w:r>
    </w:p>
    <w:p>
      <w:r>
        <w:rPr>
          <w:rFonts w:ascii="Arial" w:cs="Arial" w:eastAsia="Arial" w:hAnsi="Arial"/>
          <w:sz w:val="22"/>
          <w:szCs w:val="22"/>
        </w:rPr>
        <w:t xml:space="preserve"/>
      </w:r>
    </w:p>
    <w:p>
      <w:pPr>
        <w:pStyle w:val="ListParagraph"/>
        <w:numPr>
          <w:ilvl w:val="0"/>
          <w:numId w:val="3"/>
        </w:numPr>
      </w:pPr>
      <w:r>
        <w:rPr>
          <w:rFonts w:ascii="Arial" w:cs="Arial" w:eastAsia="Arial" w:hAnsi="Arial"/>
          <w:b/>
          <w:bCs/>
          <w:sz w:val="22"/>
          <w:szCs w:val="22"/>
        </w:rPr>
        <w:t xml:space="preserve">BLOCK THIS ACCOUNT WITHIN 4 BUSINESS DAYS</w:t>
      </w:r>
      <w:r>
        <w:rPr>
          <w:rFonts w:ascii="Arial" w:cs="Arial" w:eastAsia="Arial" w:hAnsi="Arial"/>
          <w:sz w:val="22"/>
          <w:szCs w:val="22"/>
        </w:rPr>
        <w:t xml:space="preserve"> of receipt of this dispute package, pursuant to the mandatory requirements of FCRA § 605B / 15 U.S.C. § 1681c-2(a). This is not a request — it is a mandatory statutory obligation.</w:t>
      </w:r>
    </w:p>
    <w:p>
      <w:pPr>
        <w:pStyle w:val="ListParagraph"/>
        <w:numPr>
          <w:ilvl w:val="0"/>
          <w:numId w:val="3"/>
        </w:numPr>
      </w:pPr>
      <w:r>
        <w:rPr>
          <w:rFonts w:ascii="Arial" w:cs="Arial" w:eastAsia="Arial" w:hAnsi="Arial"/>
          <w:b/>
          <w:bCs/>
          <w:sz w:val="22"/>
          <w:szCs w:val="22"/>
        </w:rPr>
        <w:t xml:space="preserve">NOTIFY LVNV FUNDING LLC</w:t>
      </w:r>
      <w:r>
        <w:rPr>
          <w:rFonts w:ascii="Arial" w:cs="Arial" w:eastAsia="Arial" w:hAnsi="Arial"/>
          <w:sz w:val="22"/>
          <w:szCs w:val="22"/>
        </w:rPr>
        <w:t xml:space="preserve"> of the block per 15 U.S.C. § 1681c-2(b), including all required disclosures.</w:t>
      </w:r>
    </w:p>
    <w:p>
      <w:pPr>
        <w:pStyle w:val="ListParagraph"/>
        <w:numPr>
          <w:ilvl w:val="0"/>
          <w:numId w:val="3"/>
        </w:numPr>
      </w:pPr>
      <w:r>
        <w:rPr>
          <w:rFonts w:ascii="Arial" w:cs="Arial" w:eastAsia="Arial" w:hAnsi="Arial"/>
          <w:b/>
          <w:bCs/>
          <w:sz w:val="22"/>
          <w:szCs w:val="22"/>
        </w:rPr>
        <w:t xml:space="preserve">PERMANENTLY DELETE</w:t>
      </w:r>
      <w:r>
        <w:rPr>
          <w:rFonts w:ascii="Arial" w:cs="Arial" w:eastAsia="Arial" w:hAnsi="Arial"/>
          <w:sz w:val="22"/>
          <w:szCs w:val="22"/>
        </w:rPr>
        <w:t xml:space="preserve"> the LVNV Funding LLC tradeline from my consumer file upon completion of the block.</w:t>
      </w:r>
    </w:p>
    <w:p>
      <w:pPr>
        <w:pStyle w:val="ListParagraph"/>
        <w:numPr>
          <w:ilvl w:val="0"/>
          <w:numId w:val="3"/>
        </w:numPr>
      </w:pPr>
      <w:r>
        <w:rPr>
          <w:rFonts w:ascii="Arial" w:cs="Arial" w:eastAsia="Arial" w:hAnsi="Arial"/>
          <w:b/>
          <w:bCs/>
          <w:sz w:val="22"/>
          <w:szCs w:val="22"/>
        </w:rPr>
        <w:t xml:space="preserve">DO NOT RE-INSERT</w:t>
      </w:r>
      <w:r>
        <w:rPr>
          <w:rFonts w:ascii="Arial" w:cs="Arial" w:eastAsia="Arial" w:hAnsi="Arial"/>
          <w:sz w:val="22"/>
          <w:szCs w:val="22"/>
        </w:rPr>
        <w:t xml:space="preserve"> this account without first providing me 5 business days' written notice per 15 U.S.C. § 1681i(a)(5)(B), and only if the account can be verified as legitimate.</w:t>
      </w:r>
    </w:p>
    <w:p>
      <w:pPr>
        <w:pStyle w:val="ListParagraph"/>
        <w:numPr>
          <w:ilvl w:val="0"/>
          <w:numId w:val="3"/>
        </w:numPr>
      </w:pPr>
      <w:r>
        <w:rPr>
          <w:rFonts w:ascii="Arial" w:cs="Arial" w:eastAsia="Arial" w:hAnsi="Arial"/>
          <w:b/>
          <w:bCs/>
          <w:sz w:val="22"/>
          <w:szCs w:val="22"/>
        </w:rPr>
        <w:t xml:space="preserve">PROVIDE WRITTEN CONFIRMATION</w:t>
      </w:r>
      <w:r>
        <w:rPr>
          <w:rFonts w:ascii="Arial" w:cs="Arial" w:eastAsia="Arial" w:hAnsi="Arial"/>
          <w:sz w:val="22"/>
          <w:szCs w:val="22"/>
        </w:rPr>
        <w:t xml:space="preserve"> of the block, including the effective date and notification sent to LVNV Funding LLC.</w:t>
      </w:r>
    </w:p>
    <w:p>
      <w:pPr>
        <w:pStyle w:val="ListParagraph"/>
        <w:numPr>
          <w:ilvl w:val="0"/>
          <w:numId w:val="3"/>
        </w:numPr>
      </w:pPr>
      <w:r>
        <w:rPr>
          <w:rFonts w:ascii="Arial" w:cs="Arial" w:eastAsia="Arial" w:hAnsi="Arial"/>
          <w:b/>
          <w:bCs/>
          <w:sz w:val="22"/>
          <w:szCs w:val="22"/>
        </w:rPr>
        <w:t xml:space="preserve">UPDATE ALL RECIPIENTS</w:t>
      </w:r>
      <w:r>
        <w:rPr>
          <w:rFonts w:ascii="Arial" w:cs="Arial" w:eastAsia="Arial" w:hAnsi="Arial"/>
          <w:sz w:val="22"/>
          <w:szCs w:val="22"/>
        </w:rPr>
        <w:t xml:space="preserve"> of my consumer reports in the last 6 months with the corrected file per 15 U.S.C. § 1681i(d).</w:t>
      </w:r>
    </w:p>
    <w:p>
      <w:r>
        <w:rPr>
          <w:rFonts w:ascii="Arial" w:cs="Arial" w:eastAsia="Arial" w:hAnsi="Arial"/>
          <w:sz w:val="22"/>
          <w:szCs w:val="22"/>
        </w:rPr>
        <w:t xml:space="preserve"/>
      </w:r>
    </w:p>
    <w:p>
      <w:pPr>
        <w:pBdr>
          <w:bottom w:val="single" w:color="C00000" w:sz="6"/>
        </w:pBdr>
        <w:spacing w:after="120" w:before="240"/>
      </w:pPr>
      <w:r>
        <w:rPr>
          <w:rFonts w:ascii="Arial" w:cs="Arial" w:eastAsia="Arial" w:hAnsi="Arial"/>
          <w:b/>
          <w:bCs/>
          <w:sz w:val="26"/>
          <w:szCs w:val="26"/>
        </w:rPr>
        <w:t xml:space="preserve">VIII.  ENCLOSURES</w:t>
      </w:r>
    </w:p>
    <w:p>
      <w:r>
        <w:rPr>
          <w:rFonts w:ascii="Arial" w:cs="Arial" w:eastAsia="Arial" w:hAnsi="Arial"/>
          <w:sz w:val="22"/>
          <w:szCs w:val="22"/>
        </w:rPr>
        <w:t xml:space="preserve"/>
      </w:r>
    </w:p>
    <w:p>
      <w:pPr>
        <w:pStyle w:val="ListParagraph"/>
        <w:numPr>
          <w:ilvl w:val="0"/>
          <w:numId w:val="2"/>
        </w:numPr>
      </w:pPr>
      <w:r>
        <w:rPr>
          <w:rFonts w:ascii="Arial" w:cs="Arial" w:eastAsia="Arial" w:hAnsi="Arial"/>
          <w:b/>
          <w:bCs/>
          <w:sz w:val="22"/>
          <w:szCs w:val="22"/>
        </w:rPr>
        <w:t xml:space="preserve">Part One &amp; Two — </w:t>
      </w:r>
      <w:r>
        <w:rPr>
          <w:rFonts w:ascii="Arial" w:cs="Arial" w:eastAsia="Arial" w:hAnsi="Arial"/>
          <w:sz w:val="22"/>
          <w:szCs w:val="22"/>
        </w:rPr>
        <w:t xml:space="preserve">Copy of Experian Credit Report (March 20, 2026) with all disputed items marked</w:t>
      </w:r>
    </w:p>
    <w:p>
      <w:pPr>
        <w:pStyle w:val="ListParagraph"/>
        <w:numPr>
          <w:ilvl w:val="0"/>
          <w:numId w:val="2"/>
        </w:numPr>
      </w:pPr>
      <w:r>
        <w:rPr>
          <w:rFonts w:ascii="Arial" w:cs="Arial" w:eastAsia="Arial" w:hAnsi="Arial"/>
          <w:b/>
          <w:bCs/>
          <w:sz w:val="22"/>
          <w:szCs w:val="22"/>
        </w:rPr>
        <w:t xml:space="preserve">Part One — </w:t>
      </w:r>
      <w:r>
        <w:rPr>
          <w:rFonts w:ascii="Arial" w:cs="Arial" w:eastAsia="Arial" w:hAnsi="Arial"/>
          <w:sz w:val="22"/>
          <w:szCs w:val="22"/>
        </w:rPr>
        <w:t xml:space="preserve">Supporting documentation for each disputed late payment account (payment records, settlement confirmations where available)</w:t>
      </w:r>
    </w:p>
    <w:p>
      <w:pPr>
        <w:pStyle w:val="ListParagraph"/>
        <w:numPr>
          <w:ilvl w:val="0"/>
          <w:numId w:val="2"/>
        </w:numPr>
      </w:pPr>
      <w:r>
        <w:rPr>
          <w:rFonts w:ascii="Arial" w:cs="Arial" w:eastAsia="Arial" w:hAnsi="Arial"/>
          <w:b/>
          <w:bCs/>
          <w:sz w:val="22"/>
          <w:szCs w:val="22"/>
        </w:rPr>
        <w:t xml:space="preserve">Part Two — </w:t>
      </w:r>
      <w:r>
        <w:rPr>
          <w:rFonts w:ascii="Arial" w:cs="Arial" w:eastAsia="Arial" w:hAnsi="Arial"/>
          <w:sz w:val="22"/>
          <w:szCs w:val="22"/>
        </w:rPr>
        <w:t xml:space="preserve">Government-issued photo ID (Driver's License / State ID)</w:t>
      </w:r>
    </w:p>
    <w:p>
      <w:pPr>
        <w:pStyle w:val="ListParagraph"/>
        <w:numPr>
          <w:ilvl w:val="0"/>
          <w:numId w:val="2"/>
        </w:numPr>
      </w:pPr>
      <w:r>
        <w:rPr>
          <w:rFonts w:ascii="Arial" w:cs="Arial" w:eastAsia="Arial" w:hAnsi="Arial"/>
          <w:b/>
          <w:bCs/>
          <w:sz w:val="22"/>
          <w:szCs w:val="22"/>
        </w:rPr>
        <w:t xml:space="preserve">Part Two — </w:t>
      </w:r>
      <w:r>
        <w:rPr>
          <w:rFonts w:ascii="Arial" w:cs="Arial" w:eastAsia="Arial" w:hAnsi="Arial"/>
          <w:sz w:val="22"/>
          <w:szCs w:val="22"/>
        </w:rPr>
        <w:t xml:space="preserve">FTC Identity Theft Report (IdentityTheft.gov) OR Police/Law Enforcement Report documenting identity theft</w:t>
      </w:r>
    </w:p>
    <w:p>
      <w:pPr>
        <w:pStyle w:val="ListParagraph"/>
        <w:numPr>
          <w:ilvl w:val="0"/>
          <w:numId w:val="2"/>
        </w:numPr>
      </w:pPr>
      <w:r>
        <w:rPr>
          <w:rFonts w:ascii="Arial" w:cs="Arial" w:eastAsia="Arial" w:hAnsi="Arial"/>
          <w:b/>
          <w:bCs/>
          <w:sz w:val="22"/>
          <w:szCs w:val="22"/>
        </w:rPr>
        <w:t xml:space="preserve">Part Two — </w:t>
      </w:r>
      <w:r>
        <w:rPr>
          <w:rFonts w:ascii="Arial" w:cs="Arial" w:eastAsia="Arial" w:hAnsi="Arial"/>
          <w:sz w:val="22"/>
          <w:szCs w:val="22"/>
        </w:rPr>
        <w:t xml:space="preserve">Proof of address (utility bill / bank statement dated within 60 days)</w:t>
      </w:r>
    </w:p>
    <w:p>
      <w:pPr>
        <w:pStyle w:val="ListParagraph"/>
        <w:numPr>
          <w:ilvl w:val="0"/>
          <w:numId w:val="2"/>
        </w:numPr>
      </w:pPr>
      <w:r>
        <w:rPr>
          <w:rFonts w:ascii="Arial" w:cs="Arial" w:eastAsia="Arial" w:hAnsi="Arial"/>
          <w:b/>
          <w:bCs/>
          <w:sz w:val="22"/>
          <w:szCs w:val="22"/>
        </w:rPr>
        <w:t xml:space="preserve">Part Two — </w:t>
      </w:r>
      <w:r>
        <w:rPr>
          <w:rFonts w:ascii="Arial" w:cs="Arial" w:eastAsia="Arial" w:hAnsi="Arial"/>
          <w:sz w:val="22"/>
          <w:szCs w:val="22"/>
        </w:rPr>
        <w:t xml:space="preserve">Copy of existing Experian Fraud Victim Alert confirmation (placed October 14, 2024)</w:t>
      </w:r>
    </w:p>
    <w:p>
      <w:r>
        <w:rPr>
          <w:rFonts w:ascii="Arial" w:cs="Arial" w:eastAsia="Arial" w:hAnsi="Arial"/>
          <w:sz w:val="22"/>
          <w:szCs w:val="22"/>
        </w:rPr>
        <w:t xml:space="preserve"/>
      </w:r>
    </w:p>
    <w:p>
      <w:pPr>
        <w:pBdr>
          <w:bottom w:val="single" w:color="C00000" w:sz="6"/>
        </w:pBdr>
        <w:spacing w:after="120" w:before="240"/>
      </w:pPr>
      <w:r>
        <w:rPr>
          <w:rFonts w:ascii="Arial" w:cs="Arial" w:eastAsia="Arial" w:hAnsi="Arial"/>
          <w:b/>
          <w:bCs/>
          <w:sz w:val="26"/>
          <w:szCs w:val="26"/>
        </w:rPr>
        <w:t xml:space="preserve">IX.  NOTICE OF LEGAL CONSEQUENCES</w:t>
      </w:r>
    </w:p>
    <w:p>
      <w:r>
        <w:rPr>
          <w:rFonts w:ascii="Arial" w:cs="Arial" w:eastAsia="Arial" w:hAnsi="Arial"/>
          <w:sz w:val="22"/>
          <w:szCs w:val="22"/>
        </w:rPr>
        <w:t xml:space="preserve"/>
      </w:r>
    </w:p>
    <w:p>
      <w:r>
        <w:rPr>
          <w:rFonts w:ascii="Arial" w:cs="Arial" w:eastAsia="Arial" w:hAnsi="Arial"/>
          <w:sz w:val="22"/>
          <w:szCs w:val="22"/>
        </w:rPr>
        <w:t xml:space="preserve">Failure to comply with any requirement of this dispute letter may subject Experian and/or the relevant data furnishers to civil liability under:</w:t>
      </w:r>
    </w:p>
    <w:p>
      <w:r>
        <w:rPr>
          <w:rFonts w:ascii="Arial" w:cs="Arial" w:eastAsia="Arial" w:hAnsi="Arial"/>
          <w:sz w:val="22"/>
          <w:szCs w:val="22"/>
        </w:rPr>
        <w:t xml:space="preserve"/>
      </w:r>
    </w:p>
    <w:p>
      <w:pPr>
        <w:pStyle w:val="ListParagraph"/>
        <w:numPr>
          <w:ilvl w:val="0"/>
          <w:numId w:val="2"/>
        </w:numPr>
      </w:pPr>
      <w:r>
        <w:rPr>
          <w:rFonts w:ascii="Arial" w:cs="Arial" w:eastAsia="Arial" w:hAnsi="Arial"/>
          <w:b/>
          <w:bCs/>
          <w:sz w:val="22"/>
          <w:szCs w:val="22"/>
        </w:rPr>
        <w:t xml:space="preserve">15 U.S.C. § 1681n</w:t>
      </w:r>
      <w:r>
        <w:rPr>
          <w:rFonts w:ascii="Arial" w:cs="Arial" w:eastAsia="Arial" w:hAnsi="Arial"/>
          <w:sz w:val="22"/>
          <w:szCs w:val="22"/>
        </w:rPr>
        <w:t xml:space="preserve"> — Willful noncompliance: actual damages OR statutory damages $100–$1,000 per violation + punitive damages + attorney's fees</w:t>
      </w:r>
    </w:p>
    <w:p>
      <w:pPr>
        <w:pStyle w:val="ListParagraph"/>
        <w:numPr>
          <w:ilvl w:val="0"/>
          <w:numId w:val="2"/>
        </w:numPr>
      </w:pPr>
      <w:r>
        <w:rPr>
          <w:rFonts w:ascii="Arial" w:cs="Arial" w:eastAsia="Arial" w:hAnsi="Arial"/>
          <w:b/>
          <w:bCs/>
          <w:sz w:val="22"/>
          <w:szCs w:val="22"/>
        </w:rPr>
        <w:t xml:space="preserve">15 U.S.C. § 1681o</w:t>
      </w:r>
      <w:r>
        <w:rPr>
          <w:rFonts w:ascii="Arial" w:cs="Arial" w:eastAsia="Arial" w:hAnsi="Arial"/>
          <w:sz w:val="22"/>
          <w:szCs w:val="22"/>
        </w:rPr>
        <w:t xml:space="preserve"> — Negligent noncompliance: actual damages + attorney's fees and court costs</w:t>
      </w:r>
    </w:p>
    <w:p>
      <w:pPr>
        <w:pStyle w:val="ListParagraph"/>
        <w:numPr>
          <w:ilvl w:val="0"/>
          <w:numId w:val="2"/>
        </w:numPr>
      </w:pPr>
      <w:r>
        <w:rPr>
          <w:rFonts w:ascii="Arial" w:cs="Arial" w:eastAsia="Arial" w:hAnsi="Arial"/>
          <w:b/>
          <w:bCs/>
          <w:sz w:val="22"/>
          <w:szCs w:val="22"/>
        </w:rPr>
        <w:t xml:space="preserve">15 U.S.C. § 1692k</w:t>
      </w:r>
      <w:r>
        <w:rPr>
          <w:rFonts w:ascii="Arial" w:cs="Arial" w:eastAsia="Arial" w:hAnsi="Arial"/>
          <w:sz w:val="22"/>
          <w:szCs w:val="22"/>
        </w:rPr>
        <w:t xml:space="preserve"> — FDCPA violations by LVNV Funding LLC: up to $1,000 per violation + actual damages + attorney's fees</w:t>
      </w:r>
    </w:p>
    <w:p>
      <w:pPr>
        <w:pStyle w:val="ListParagraph"/>
        <w:numPr>
          <w:ilvl w:val="0"/>
          <w:numId w:val="2"/>
        </w:numPr>
      </w:pPr>
      <w:r>
        <w:rPr>
          <w:rFonts w:ascii="Arial" w:cs="Arial" w:eastAsia="Arial" w:hAnsi="Arial"/>
          <w:b/>
          <w:bCs/>
          <w:sz w:val="22"/>
          <w:szCs w:val="22"/>
        </w:rPr>
        <w:t xml:space="preserve">CFPB Enforcement</w:t>
      </w:r>
      <w:r>
        <w:rPr>
          <w:rFonts w:ascii="Arial" w:cs="Arial" w:eastAsia="Arial" w:hAnsi="Arial"/>
          <w:sz w:val="22"/>
          <w:szCs w:val="22"/>
        </w:rPr>
        <w:t xml:space="preserve"> — I am prepared to file a formal complaint with the Consumer Financial Protection Bureau (CFPB) at consumerfinance.gov/complaint</w:t>
      </w:r>
    </w:p>
    <w:p>
      <w:pPr>
        <w:pStyle w:val="ListParagraph"/>
        <w:numPr>
          <w:ilvl w:val="0"/>
          <w:numId w:val="2"/>
        </w:numPr>
      </w:pPr>
      <w:r>
        <w:rPr>
          <w:rFonts w:ascii="Arial" w:cs="Arial" w:eastAsia="Arial" w:hAnsi="Arial"/>
          <w:b/>
          <w:bCs/>
          <w:sz w:val="22"/>
          <w:szCs w:val="22"/>
        </w:rPr>
        <w:t xml:space="preserve">Georgia Attorney General</w:t>
      </w:r>
      <w:r>
        <w:rPr>
          <w:rFonts w:ascii="Arial" w:cs="Arial" w:eastAsia="Arial" w:hAnsi="Arial"/>
          <w:sz w:val="22"/>
          <w:szCs w:val="22"/>
        </w:rPr>
        <w:t xml:space="preserve"> — State consumer protection enforcement under O.C.G.A. § 10-1-390 et seq.</w:t>
      </w:r>
    </w:p>
    <w:p>
      <w:pPr>
        <w:pStyle w:val="ListParagraph"/>
        <w:numPr>
          <w:ilvl w:val="0"/>
          <w:numId w:val="2"/>
        </w:numPr>
      </w:pPr>
      <w:r>
        <w:rPr>
          <w:rFonts w:ascii="Arial" w:cs="Arial" w:eastAsia="Arial" w:hAnsi="Arial"/>
          <w:b/>
          <w:bCs/>
          <w:sz w:val="22"/>
          <w:szCs w:val="22"/>
        </w:rPr>
        <w:t xml:space="preserve">Private Legal Action</w:t>
      </w:r>
      <w:r>
        <w:rPr>
          <w:rFonts w:ascii="Arial" w:cs="Arial" w:eastAsia="Arial" w:hAnsi="Arial"/>
          <w:sz w:val="22"/>
          <w:szCs w:val="22"/>
        </w:rPr>
        <w:t xml:space="preserve"> — Referral to a consumer protection attorney for FCRA/FDCPA class or individual litigation</w:t>
      </w:r>
    </w:p>
    <w:p>
      <w:r>
        <w:rPr>
          <w:rFonts w:ascii="Arial" w:cs="Arial" w:eastAsia="Arial" w:hAnsi="Arial"/>
          <w:sz w:val="22"/>
          <w:szCs w:val="22"/>
        </w:rPr>
        <w:t xml:space="preserve"/>
      </w:r>
    </w:p>
    <w:p>
      <w:r>
        <w:rPr>
          <w:rFonts w:ascii="Arial" w:cs="Arial" w:eastAsia="Arial" w:hAnsi="Arial"/>
          <w:sz w:val="22"/>
          <w:szCs w:val="22"/>
        </w:rPr>
        <w:t xml:space="preserve">Specifically regarding the 4-day block demand in Part Two: failure to block within 4 business days of receipt of this complete dispute package is an immediate, willful violation of 15 U.S.C. § 1681c-2(a), entitling me to statutory damages, punitive damages, and attorney's fees per 15 U.S.C. § 1681n without further notice.</w:t>
      </w:r>
    </w:p>
    <w:p>
      <w:r>
        <w:rPr>
          <w:rFonts w:ascii="Arial" w:cs="Arial" w:eastAsia="Arial" w:hAnsi="Arial"/>
          <w:sz w:val="22"/>
          <w:szCs w:val="22"/>
        </w:rPr>
        <w:t xml:space="preserve"/>
      </w:r>
    </w:p>
    <w:p>
      <w:pPr>
        <w:pBdr>
          <w:bottom w:val="single" w:color="C00000" w:sz="6"/>
        </w:pBdr>
        <w:spacing w:after="120" w:before="240"/>
      </w:pPr>
      <w:r>
        <w:rPr>
          <w:rFonts w:ascii="Arial" w:cs="Arial" w:eastAsia="Arial" w:hAnsi="Arial"/>
          <w:b/>
          <w:bCs/>
          <w:sz w:val="26"/>
          <w:szCs w:val="26"/>
        </w:rPr>
        <w:t xml:space="preserve">X.  CLOSING STATEMENT</w:t>
      </w:r>
    </w:p>
    <w:p>
      <w:r>
        <w:rPr>
          <w:rFonts w:ascii="Arial" w:cs="Arial" w:eastAsia="Arial" w:hAnsi="Arial"/>
          <w:sz w:val="22"/>
          <w:szCs w:val="22"/>
        </w:rPr>
        <w:t xml:space="preserve"/>
      </w:r>
    </w:p>
    <w:p>
      <w:r>
        <w:rPr>
          <w:rFonts w:ascii="Arial" w:cs="Arial" w:eastAsia="Arial" w:hAnsi="Arial"/>
          <w:sz w:val="22"/>
          <w:szCs w:val="22"/>
        </w:rPr>
        <w:t xml:space="preserve">I expect full written responses to both parts of this dispute letter within the timelines mandated by federal law: 30 days for Part One reinvestigation (15 U.S.C. § 1681i(a)(1)) and 4 business days for Part Two identity theft block (15 U.S.C. § 1681c-2(a)). Please direct all correspondence to my address listed at the top of this letter. Do not contact me by telephone.</w:t>
      </w:r>
    </w:p>
    <w:p>
      <w:r>
        <w:rPr>
          <w:rFonts w:ascii="Arial" w:cs="Arial" w:eastAsia="Arial" w:hAnsi="Arial"/>
          <w:sz w:val="22"/>
          <w:szCs w:val="22"/>
        </w:rPr>
        <w:t xml:space="preserve"/>
      </w:r>
    </w:p>
    <w:p>
      <w:r>
        <w:rPr>
          <w:rFonts w:ascii="Arial" w:cs="Arial" w:eastAsia="Arial" w:hAnsi="Arial"/>
          <w:sz w:val="22"/>
          <w:szCs w:val="22"/>
        </w:rPr>
        <w:t xml:space="preserve">Respectfully submitted,</w:t>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_____________________________________________</w:t>
      </w:r>
    </w:p>
    <w:p>
      <w:r>
        <w:rPr>
          <w:rFonts w:ascii="Arial" w:cs="Arial" w:eastAsia="Arial" w:hAnsi="Arial"/>
          <w:b/>
          <w:bCs/>
          <w:sz w:val="22"/>
          <w:szCs w:val="22"/>
        </w:rPr>
        <w:t xml:space="preserve">Tyishea T. Harrington</w:t>
      </w:r>
    </w:p>
    <w:p>
      <w:r>
        <w:rPr>
          <w:rFonts w:ascii="Arial" w:cs="Arial" w:eastAsia="Arial" w:hAnsi="Arial"/>
          <w:sz w:val="22"/>
          <w:szCs w:val="22"/>
        </w:rPr>
        <w:t xml:space="preserve">Date: ___________________________</w:t>
      </w:r>
    </w:p>
    <w:p>
      <w:r>
        <w:rPr>
          <w:rFonts w:ascii="Arial" w:cs="Arial" w:eastAsia="Arial" w:hAnsi="Arial"/>
          <w:sz w:val="22"/>
          <w:szCs w:val="22"/>
        </w:rPr>
        <w:t xml:space="preserve"/>
      </w:r>
    </w:p>
    <w:p>
      <w:r>
        <w:rPr>
          <w:rFonts w:ascii="Arial" w:cs="Arial" w:eastAsia="Arial" w:hAnsi="Arial"/>
          <w:i/>
          <w:iCs/>
          <w:color w:val="555555"/>
          <w:sz w:val="20"/>
          <w:szCs w:val="20"/>
        </w:rPr>
        <w:t xml:space="preserve">This letter constitutes a formal legal dispute under the FCRA, Metro 2 CRRG, and FDCPA. All timelines are statutory and non-waivable. I am retaining copies of this letter and all enclosures.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2026-03-28T21:30:33.209Z</dcterms:created>
  <dcterms:modified xsi:type="dcterms:W3CDTF">2026-03-28T21:30:33.210Z</dcterms:modified>
</cp:coreProperties>
</file>

<file path=docProps/custom.xml><?xml version="1.0" encoding="utf-8"?>
<Properties xmlns="http://schemas.openxmlformats.org/officeDocument/2006/custom-properties" xmlns:vt="http://schemas.openxmlformats.org/officeDocument/2006/docPropsVTypes"/>
</file>