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SRS Review Report</w:t>
      </w:r>
    </w:p>
    <w:p>
      <w:pPr>
        <w:jc w:val="center"/>
      </w:pPr>
      <w:r>
        <w:rPr>
          <w:b/>
          <w:color w:val="1F3A5F"/>
          <w:sz w:val="32"/>
        </w:rPr>
        <w:t>SRS review – Karachi Transport Allowance &amp; RFID Deduction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1</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review) for Solution Architect</w:t>
            </w:r>
          </w:p>
        </w:tc>
      </w:tr>
      <w:tr>
        <w:tc>
          <w:tcPr>
            <w:tcW w:type="dxa" w:w="4320"/>
          </w:tcPr>
          <w:p>
            <w:r>
              <w:rPr>
                <w:b/>
              </w:rPr>
              <w:t>Source documents</w:t>
            </w:r>
          </w:p>
        </w:tc>
        <w:tc>
          <w:tcPr>
            <w:tcW w:type="dxa" w:w="4320"/>
          </w:tcPr>
          <w:p>
            <w:r>
              <w:t>CR-YYYY-XXX_SRS_v0.1.docx (DRAFT)</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1</w:t>
            </w:r>
          </w:p>
        </w:tc>
        <w:tc>
          <w:tcPr>
            <w:tcW w:type="dxa" w:w="2160"/>
          </w:tcPr>
          <w:p>
            <w:r>
              <w:t>2026-09-30</w:t>
            </w:r>
          </w:p>
        </w:tc>
        <w:tc>
          <w:tcPr>
            <w:tcW w:type="dxa" w:w="2160"/>
          </w:tcPr>
          <w:p>
            <w:r>
              <w:t>Claude (AI review) for Solution Architect</w:t>
            </w:r>
          </w:p>
        </w:tc>
        <w:tc>
          <w:tcPr>
            <w:tcW w:type="dxa" w:w="2160"/>
          </w:tcPr>
          <w:p>
            <w:r>
              <w:t>Review of SRS v0.1</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Solution Architect (reviewer)</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Review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SRS reviewed</w:t>
            </w:r>
          </w:p>
        </w:tc>
        <w:tc>
          <w:tcPr>
            <w:tcW w:type="dxa" w:w="4320"/>
          </w:tcPr>
          <w:p>
            <w:r>
              <w:rPr>
                <w:sz w:val="18"/>
              </w:rPr>
            </w:r>
            <w:r>
              <w:rPr>
                <w:sz w:val="18"/>
              </w:rPr>
              <w:t>CR-YYYY-XXX_SRS_v0.1.docx, version 0.1 (DRAFT)</w:t>
            </w:r>
          </w:p>
        </w:tc>
      </w:tr>
      <w:tr>
        <w:tc>
          <w:tcPr>
            <w:tcW w:type="dxa" w:w="4320"/>
          </w:tcPr>
          <w:p>
            <w:r>
              <w:rPr>
                <w:sz w:val="18"/>
              </w:rPr>
            </w:r>
            <w:r>
              <w:rPr>
                <w:sz w:val="18"/>
              </w:rPr>
              <w:t>MoM available for coverage check</w:t>
            </w:r>
          </w:p>
        </w:tc>
        <w:tc>
          <w:tcPr>
            <w:tcW w:type="dxa" w:w="4320"/>
          </w:tcPr>
          <w:p>
            <w:r>
              <w:rPr>
                <w:sz w:val="18"/>
              </w:rPr>
            </w:r>
            <w:r>
              <w:rPr>
                <w:sz w:val="18"/>
              </w:rPr>
              <w:t>Yes (4 agenda items, re-derived independently into 19 points)</w:t>
            </w:r>
          </w:p>
        </w:tc>
      </w:tr>
      <w:tr>
        <w:tc>
          <w:tcPr>
            <w:tcW w:type="dxa" w:w="4320"/>
          </w:tcPr>
          <w:p>
            <w:r>
              <w:rPr>
                <w:sz w:val="18"/>
              </w:rPr>
            </w:r>
            <w:r>
              <w:rPr>
                <w:sz w:val="18"/>
              </w:rPr>
              <w:t>Schema context used</w:t>
            </w:r>
          </w:p>
        </w:tc>
        <w:tc>
          <w:tcPr>
            <w:tcW w:type="dxa" w:w="4320"/>
          </w:tcPr>
          <w:p>
            <w:r>
              <w:rPr>
                <w:sz w:val="18"/>
              </w:rPr>
            </w:r>
            <w:r>
              <w:rPr>
                <w:sz w:val="18"/>
              </w:rPr>
              <w:t>None: the HRD schema is not indexed yet, so no database impact item can be verified</w:t>
            </w:r>
          </w:p>
        </w:tc>
      </w:tr>
      <w:tr>
        <w:tc>
          <w:tcPr>
            <w:tcW w:type="dxa" w:w="4320"/>
          </w:tcPr>
          <w:p>
            <w:r>
              <w:rPr>
                <w:sz w:val="18"/>
              </w:rPr>
            </w:r>
            <w:r>
              <w:rPr>
                <w:sz w:val="18"/>
              </w:rPr>
              <w:t>Recommendation</w:t>
            </w:r>
          </w:p>
        </w:tc>
        <w:tc>
          <w:tcPr>
            <w:tcW w:type="dxa" w:w="4320"/>
          </w:tcPr>
          <w:p>
            <w:r>
              <w:rPr>
                <w:sz w:val="18"/>
              </w:rPr>
            </w:r>
            <w:r>
              <w:rPr>
                <w:b/>
                <w:sz w:val="18"/>
              </w:rPr>
              <w:t>Return to BA / client</w:t>
            </w:r>
          </w:p>
        </w:tc>
      </w:tr>
      <w:tr>
        <w:tc>
          <w:tcPr>
            <w:tcW w:type="dxa" w:w="4320"/>
          </w:tcPr>
          <w:p>
            <w:r>
              <w:rPr>
                <w:sz w:val="18"/>
              </w:rPr>
            </w:r>
            <w:r>
              <w:rPr>
                <w:sz w:val="18"/>
              </w:rPr>
              <w:t>Findings</w:t>
            </w:r>
          </w:p>
        </w:tc>
        <w:tc>
          <w:tcPr>
            <w:tcW w:type="dxa" w:w="4320"/>
          </w:tcPr>
          <w:p>
            <w:r>
              <w:rPr>
                <w:sz w:val="18"/>
              </w:rPr>
            </w:r>
            <w:r>
              <w:rPr>
                <w:sz w:val="18"/>
              </w:rPr>
              <w:t>Blocker 3 · Major 7 · Minor 4 · Observation 3</w:t>
            </w:r>
          </w:p>
        </w:tc>
      </w:tr>
    </w:tbl>
    <w:p>
      <w:pPr/>
    </w:p>
    <w:p>
      <w:pPr/>
      <w:r>
        <w:t>The SRS is well structured and fully traced: all 19 meeting points are mapped, and every FR has a negative acceptance criterion. It is not ready for approval, because three core business rules decide whether the calculation works at all, and none of them is settled.</w:t>
      </w:r>
    </w:p>
    <w:p>
      <w:pPr>
        <w:pStyle w:val="ListBullet"/>
      </w:pPr>
      <w:r>
        <w:t>With a Monday–Saturday week, a regular bus user's deductions exceed the 24,000 PKR allowance every month.</w:t>
      </w:r>
    </w:p>
    <w:p>
      <w:pPr>
        <w:pStyle w:val="ListBullet"/>
      </w:pPr>
      <w:r>
        <w:t>The first payroll month is a partial month for every employee.</w:t>
      </w:r>
    </w:p>
    <w:p>
      <w:pPr>
        <w:pStyle w:val="ListBullet"/>
      </w:pPr>
      <w:r>
        <w:t>The misuse control depends on eligibility rules that don't exist yet.</w:t>
      </w:r>
    </w:p>
    <w:p>
      <w:pPr/>
      <w:r>
        <w:t>These need answers from Mr. Ubaid, HR and Finance before design starts. That is urgent given the end-of-October build date.</w:t>
      </w:r>
    </w:p>
    <w:p>
      <w:pPr>
        <w:pStyle w:val="Heading1"/>
      </w:pPr>
      <w:r>
        <w:t>2. Findings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Severity</w:t>
            </w:r>
          </w:p>
        </w:tc>
        <w:tc>
          <w:tcPr>
            <w:tcW w:type="dxa" w:w="1234"/>
            <w:shd w:val="clear" w:color="auto" w:fill="D9E2F3"/>
          </w:tcPr>
          <w:p>
            <w:r>
              <w:rPr>
                <w:b/>
                <w:sz w:val="18"/>
              </w:rPr>
            </w:r>
            <w:r>
              <w:rPr>
                <w:b/>
                <w:sz w:val="18"/>
              </w:rPr>
              <w:t>Location</w:t>
            </w:r>
          </w:p>
        </w:tc>
        <w:tc>
          <w:tcPr>
            <w:tcW w:type="dxa" w:w="1234"/>
            <w:shd w:val="clear" w:color="auto" w:fill="D9E2F3"/>
          </w:tcPr>
          <w:p>
            <w:r>
              <w:rPr>
                <w:b/>
                <w:sz w:val="18"/>
              </w:rPr>
            </w:r>
            <w:r>
              <w:rPr>
                <w:b/>
                <w:sz w:val="18"/>
              </w:rPr>
              <w:t>Issue</w:t>
            </w:r>
          </w:p>
        </w:tc>
        <w:tc>
          <w:tcPr>
            <w:tcW w:type="dxa" w:w="1234"/>
            <w:shd w:val="clear" w:color="auto" w:fill="D9E2F3"/>
          </w:tcPr>
          <w:p>
            <w:r>
              <w:rPr>
                <w:b/>
                <w:sz w:val="18"/>
              </w:rPr>
            </w:r>
            <w:r>
              <w:rPr>
                <w:b/>
                <w:sz w:val="18"/>
              </w:rPr>
              <w:t>Why it matters</w:t>
            </w:r>
          </w:p>
        </w:tc>
        <w:tc>
          <w:tcPr>
            <w:tcW w:type="dxa" w:w="1234"/>
            <w:shd w:val="clear" w:color="auto" w:fill="D9E2F3"/>
          </w:tcPr>
          <w:p>
            <w:r>
              <w:rPr>
                <w:b/>
                <w:sz w:val="18"/>
              </w:rPr>
            </w:r>
            <w:r>
              <w:rPr>
                <w:b/>
                <w:sz w:val="18"/>
              </w:rPr>
              <w:t>Proposed fix</w:t>
            </w:r>
          </w:p>
        </w:tc>
        <w:tc>
          <w:tcPr>
            <w:tcW w:type="dxa" w:w="1234"/>
            <w:shd w:val="clear" w:color="auto" w:fill="D9E2F3"/>
          </w:tcPr>
          <w:p>
            <w:r>
              <w:rPr>
                <w:b/>
                <w:sz w:val="18"/>
              </w:rPr>
            </w:r>
            <w:r>
              <w:rPr>
                <w:b/>
                <w:sz w:val="18"/>
              </w:rPr>
              <w:t>Question for</w:t>
            </w:r>
          </w:p>
        </w:tc>
      </w:tr>
      <w:tr>
        <w:tc>
          <w:tcPr>
            <w:tcW w:type="dxa" w:w="1234"/>
          </w:tcPr>
          <w:p>
            <w:r>
              <w:rPr>
                <w:sz w:val="18"/>
              </w:rPr>
            </w:r>
            <w:r>
              <w:rPr>
                <w:sz w:val="18"/>
              </w:rPr>
              <w:t>RV-01</w:t>
            </w:r>
          </w:p>
        </w:tc>
        <w:tc>
          <w:tcPr>
            <w:tcW w:type="dxa" w:w="1234"/>
          </w:tcPr>
          <w:p>
            <w:r>
              <w:rPr>
                <w:sz w:val="18"/>
              </w:rPr>
            </w:r>
            <w:r>
              <w:rPr>
                <w:sz w:val="18"/>
              </w:rPr>
              <w:t>Blocker</w:t>
            </w:r>
          </w:p>
        </w:tc>
        <w:tc>
          <w:tcPr>
            <w:tcW w:type="dxa" w:w="1234"/>
          </w:tcPr>
          <w:p>
            <w:r>
              <w:rPr>
                <w:sz w:val="18"/>
              </w:rPr>
            </w:r>
            <w:r>
              <w:rPr>
                <w:sz w:val="18"/>
              </w:rPr>
              <w:t>RULE-01, FR-010, Q-07</w:t>
            </w:r>
          </w:p>
        </w:tc>
        <w:tc>
          <w:tcPr>
            <w:tcW w:type="dxa" w:w="1234"/>
          </w:tcPr>
          <w:p>
            <w:r>
              <w:rPr>
                <w:sz w:val="18"/>
              </w:rPr>
            </w:r>
            <w:r>
              <w:rPr>
                <w:sz w:val="18"/>
              </w:rPr>
              <w:t>The allowance is "24,000 PKR for a 24-day month", but November 2026 has 25 Monday–Saturday days and December 2026 has 27. At 500 PKR a trip × 2 trips a day, a regular bus user is charged 25,000 (Nov) and 27,000 (Dec). The SRS treats deductions above the allowance as an edge case (FR-010 AC3); it will be the normal case</w:t>
            </w:r>
          </w:p>
        </w:tc>
        <w:tc>
          <w:tcPr>
            <w:tcW w:type="dxa" w:w="1234"/>
          </w:tcPr>
          <w:p>
            <w:r>
              <w:rPr>
                <w:sz w:val="18"/>
              </w:rPr>
            </w:r>
            <w:r>
              <w:rPr>
                <w:sz w:val="18"/>
              </w:rPr>
              <w:t>The payout rule is wrong for most bus users every month; either staff lose money or the system recovers from salary without anyone having agreed to it</w:t>
            </w:r>
          </w:p>
        </w:tc>
        <w:tc>
          <w:tcPr>
            <w:tcW w:type="dxa" w:w="1234"/>
          </w:tcPr>
          <w:p>
            <w:r>
              <w:rPr>
                <w:sz w:val="18"/>
              </w:rPr>
            </w:r>
            <w:r>
              <w:rPr>
                <w:sz w:val="18"/>
              </w:rPr>
              <w:t>Make Q-07 a Blocker. Ask Finance to choose: (a) cap the payout at 0; (b) scale the allowance to actual working days; or (c) set the per-trip cost as allowance ÷ (2 × working days). Record the decision as a new rule</w:t>
            </w:r>
          </w:p>
        </w:tc>
        <w:tc>
          <w:tcPr>
            <w:tcW w:type="dxa" w:w="1234"/>
          </w:tcPr>
          <w:p>
            <w:r>
              <w:rPr>
                <w:sz w:val="18"/>
              </w:rPr>
            </w:r>
            <w:r>
              <w:rPr>
                <w:sz w:val="18"/>
              </w:rPr>
              <w:t>Finance, Mr. Ubaid</w:t>
            </w:r>
          </w:p>
        </w:tc>
      </w:tr>
      <w:tr>
        <w:tc>
          <w:tcPr>
            <w:tcW w:type="dxa" w:w="1234"/>
          </w:tcPr>
          <w:p>
            <w:r>
              <w:rPr>
                <w:sz w:val="18"/>
              </w:rPr>
            </w:r>
            <w:r>
              <w:rPr>
                <w:sz w:val="18"/>
              </w:rPr>
              <w:t>RV-02</w:t>
            </w:r>
          </w:p>
        </w:tc>
        <w:tc>
          <w:tcPr>
            <w:tcW w:type="dxa" w:w="1234"/>
          </w:tcPr>
          <w:p>
            <w:r>
              <w:rPr>
                <w:sz w:val="18"/>
              </w:rPr>
            </w:r>
            <w:r>
              <w:rPr>
                <w:sz w:val="18"/>
              </w:rPr>
              <w:t>Blocker</w:t>
            </w:r>
          </w:p>
        </w:tc>
        <w:tc>
          <w:tcPr>
            <w:tcW w:type="dxa" w:w="1234"/>
          </w:tcPr>
          <w:p>
            <w:r>
              <w:rPr>
                <w:sz w:val="18"/>
              </w:rPr>
            </w:r>
            <w:r>
              <w:rPr>
                <w:sz w:val="18"/>
              </w:rPr>
              <w:t>Q-03, FR-001, BR-04, FR-014</w:t>
            </w:r>
          </w:p>
        </w:tc>
        <w:tc>
          <w:tcPr>
            <w:tcW w:type="dxa" w:w="1234"/>
          </w:tcPr>
          <w:p>
            <w:r>
              <w:rPr>
                <w:sz w:val="18"/>
              </w:rPr>
            </w:r>
            <w:r>
              <w:rPr>
                <w:sz w:val="18"/>
              </w:rPr>
              <w:t>Eligibility and whether bus use is mandatory are undefined. If staff may use their own transport, an employee who never swipes keeps 24,000 PKR in cash. That can't be told apart from misuse, so readers at both ends (M-09) don't address the concern raised in M-08</w:t>
            </w:r>
          </w:p>
        </w:tc>
        <w:tc>
          <w:tcPr>
            <w:tcW w:type="dxa" w:w="1234"/>
          </w:tcPr>
          <w:p>
            <w:r>
              <w:rPr>
                <w:sz w:val="18"/>
              </w:rPr>
            </w:r>
            <w:r>
              <w:rPr>
                <w:sz w:val="18"/>
              </w:rPr>
              <w:t>BR-04 (Must) can't be met, and the misuse control has nothing to measure against</w:t>
            </w:r>
          </w:p>
        </w:tc>
        <w:tc>
          <w:tcPr>
            <w:tcW w:type="dxa" w:w="1234"/>
          </w:tcPr>
          <w:p>
            <w:r>
              <w:rPr>
                <w:sz w:val="18"/>
              </w:rPr>
            </w:r>
            <w:r>
              <w:rPr>
                <w:sz w:val="18"/>
              </w:rPr>
              <w:t>Keep Q-03 as blocking. Once it is answered, make FR-014 a Must if bus use is mandatory, or reword BR-04 if it is optional</w:t>
            </w:r>
          </w:p>
        </w:tc>
        <w:tc>
          <w:tcPr>
            <w:tcW w:type="dxa" w:w="1234"/>
          </w:tcPr>
          <w:p>
            <w:r>
              <w:rPr>
                <w:sz w:val="18"/>
              </w:rPr>
            </w:r>
            <w:r>
              <w:rPr>
                <w:sz w:val="18"/>
              </w:rPr>
              <w:t>Mr. Ubaid, HR, Management</w:t>
            </w:r>
          </w:p>
        </w:tc>
      </w:tr>
      <w:tr>
        <w:tc>
          <w:tcPr>
            <w:tcW w:type="dxa" w:w="1234"/>
          </w:tcPr>
          <w:p>
            <w:r>
              <w:rPr>
                <w:sz w:val="18"/>
              </w:rPr>
            </w:r>
            <w:r>
              <w:rPr>
                <w:sz w:val="18"/>
              </w:rPr>
              <w:t>RV-03</w:t>
            </w:r>
          </w:p>
        </w:tc>
        <w:tc>
          <w:tcPr>
            <w:tcW w:type="dxa" w:w="1234"/>
          </w:tcPr>
          <w:p>
            <w:r>
              <w:rPr>
                <w:sz w:val="18"/>
              </w:rPr>
            </w:r>
            <w:r>
              <w:rPr>
                <w:sz w:val="18"/>
              </w:rPr>
              <w:t>Blocker</w:t>
            </w:r>
          </w:p>
        </w:tc>
        <w:tc>
          <w:tcPr>
            <w:tcW w:type="dxa" w:w="1234"/>
          </w:tcPr>
          <w:p>
            <w:r>
              <w:rPr>
                <w:sz w:val="18"/>
              </w:rPr>
            </w:r>
            <w:r>
              <w:rPr>
                <w:sz w:val="18"/>
              </w:rPr>
              <w:t>FR-003, FR-006, Q-02</w:t>
            </w:r>
          </w:p>
        </w:tc>
        <w:tc>
          <w:tcPr>
            <w:tcW w:type="dxa" w:w="1234"/>
          </w:tcPr>
          <w:p>
            <w:r>
              <w:rPr>
                <w:sz w:val="18"/>
              </w:rPr>
            </w:r>
            <w:r>
              <w:rPr>
                <w:sz w:val="18"/>
              </w:rPr>
              <w:t>FR-003 says each swipe records "direction (boarding or disembarking)", but there is one terminal per location. The KDC terminal handles morning boarding and evening disembarking, so it can't know the direction by itself. The MoM also doesn't say whether the deduction is per swipe or per boarding/disembarking pair</w:t>
            </w:r>
          </w:p>
        </w:tc>
        <w:tc>
          <w:tcPr>
            <w:tcW w:type="dxa" w:w="1234"/>
          </w:tcPr>
          <w:p>
            <w:r>
              <w:rPr>
                <w:sz w:val="18"/>
              </w:rPr>
            </w:r>
            <w:r>
              <w:rPr>
                <w:sz w:val="18"/>
              </w:rPr>
              <w:t>Trip counts, and so deductions, could be doubled or halved</w:t>
            </w:r>
          </w:p>
        </w:tc>
        <w:tc>
          <w:tcPr>
            <w:tcW w:type="dxa" w:w="1234"/>
          </w:tcPr>
          <w:p>
            <w:r>
              <w:rPr>
                <w:sz w:val="18"/>
              </w:rPr>
            </w:r>
            <w:r>
              <w:rPr>
                <w:sz w:val="18"/>
              </w:rPr>
              <w:t>Add Q-15: is direction taken from separate boarding and disembarking readers, or worked out from the order of an employee's swipes that day? Make Q-02 answer "per trip or per swipe" explicitly</w:t>
            </w:r>
          </w:p>
        </w:tc>
        <w:tc>
          <w:tcPr>
            <w:tcW w:type="dxa" w:w="1234"/>
          </w:tcPr>
          <w:p>
            <w:r>
              <w:rPr>
                <w:sz w:val="18"/>
              </w:rPr>
            </w:r>
            <w:r>
              <w:rPr>
                <w:sz w:val="18"/>
              </w:rPr>
              <w:t>Mr. Ubaid, IS</w:t>
            </w:r>
          </w:p>
        </w:tc>
      </w:tr>
      <w:tr>
        <w:tc>
          <w:tcPr>
            <w:tcW w:type="dxa" w:w="1234"/>
          </w:tcPr>
          <w:p>
            <w:r>
              <w:rPr>
                <w:sz w:val="18"/>
              </w:rPr>
            </w:r>
            <w:r>
              <w:rPr>
                <w:sz w:val="18"/>
              </w:rPr>
              <w:t>RV-04</w:t>
            </w:r>
          </w:p>
        </w:tc>
        <w:tc>
          <w:tcPr>
            <w:tcW w:type="dxa" w:w="1234"/>
          </w:tcPr>
          <w:p>
            <w:r>
              <w:rPr>
                <w:sz w:val="18"/>
              </w:rPr>
            </w:r>
            <w:r>
              <w:rPr>
                <w:sz w:val="18"/>
              </w:rPr>
              <w:t>Major</w:t>
            </w:r>
          </w:p>
        </w:tc>
        <w:tc>
          <w:tcPr>
            <w:tcW w:type="dxa" w:w="1234"/>
          </w:tcPr>
          <w:p>
            <w:r>
              <w:rPr>
                <w:sz w:val="18"/>
              </w:rPr>
            </w:r>
            <w:r>
              <w:rPr>
                <w:sz w:val="18"/>
              </w:rPr>
              <w:t>Q-14, FR-002 AC3</w:t>
            </w:r>
          </w:p>
        </w:tc>
        <w:tc>
          <w:tcPr>
            <w:tcW w:type="dxa" w:w="1234"/>
          </w:tcPr>
          <w:p>
            <w:r>
              <w:rPr>
                <w:sz w:val="18"/>
              </w:rPr>
            </w:r>
            <w:r>
              <w:rPr>
                <w:sz w:val="18"/>
              </w:rPr>
              <w:t>The hospital opens in the first week of November, so the first payroll month is partial for everyone. Q-14 is marked "not blocking", yet FR-002 AC3 blocks the calculation until a proration rule exists</w:t>
            </w:r>
          </w:p>
        </w:tc>
        <w:tc>
          <w:tcPr>
            <w:tcW w:type="dxa" w:w="1234"/>
          </w:tcPr>
          <w:p>
            <w:r>
              <w:rPr>
                <w:sz w:val="18"/>
              </w:rPr>
            </w:r>
            <w:r>
              <w:rPr>
                <w:sz w:val="18"/>
              </w:rPr>
              <w:t>The first payroll run would stop for all staff</w:t>
            </w:r>
          </w:p>
        </w:tc>
        <w:tc>
          <w:tcPr>
            <w:tcW w:type="dxa" w:w="1234"/>
          </w:tcPr>
          <w:p>
            <w:r>
              <w:rPr>
                <w:sz w:val="18"/>
              </w:rPr>
            </w:r>
            <w:r>
              <w:rPr>
                <w:sz w:val="18"/>
              </w:rPr>
              <w:t>Mark Q-04 and Q-14 as blocking and get a proration rule before the November payroll cut-off</w:t>
            </w:r>
          </w:p>
        </w:tc>
        <w:tc>
          <w:tcPr>
            <w:tcW w:type="dxa" w:w="1234"/>
          </w:tcPr>
          <w:p>
            <w:r>
              <w:rPr>
                <w:sz w:val="18"/>
              </w:rPr>
            </w:r>
            <w:r>
              <w:rPr>
                <w:sz w:val="18"/>
              </w:rPr>
              <w:t>Finance, HR</w:t>
            </w:r>
          </w:p>
        </w:tc>
      </w:tr>
      <w:tr>
        <w:tc>
          <w:tcPr>
            <w:tcW w:type="dxa" w:w="1234"/>
          </w:tcPr>
          <w:p>
            <w:r>
              <w:rPr>
                <w:sz w:val="18"/>
              </w:rPr>
            </w:r>
            <w:r>
              <w:rPr>
                <w:sz w:val="18"/>
              </w:rPr>
              <w:t>RV-05</w:t>
            </w:r>
          </w:p>
        </w:tc>
        <w:tc>
          <w:tcPr>
            <w:tcW w:type="dxa" w:w="1234"/>
          </w:tcPr>
          <w:p>
            <w:r>
              <w:rPr>
                <w:sz w:val="18"/>
              </w:rPr>
            </w:r>
            <w:r>
              <w:rPr>
                <w:sz w:val="18"/>
              </w:rPr>
              <w:t>Major</w:t>
            </w:r>
          </w:p>
        </w:tc>
        <w:tc>
          <w:tcPr>
            <w:tcW w:type="dxa" w:w="1234"/>
          </w:tcPr>
          <w:p>
            <w:r>
              <w:rPr>
                <w:sz w:val="18"/>
              </w:rPr>
            </w:r>
            <w:r>
              <w:rPr>
                <w:sz w:val="18"/>
              </w:rPr>
              <w:t>Missing (FR-007, FR-008)</w:t>
            </w:r>
          </w:p>
        </w:tc>
        <w:tc>
          <w:tcPr>
            <w:tcW w:type="dxa" w:w="1234"/>
          </w:tcPr>
          <w:p>
            <w:r>
              <w:rPr>
                <w:sz w:val="18"/>
              </w:rPr>
            </w:r>
            <w:r>
              <w:rPr>
                <w:sz w:val="18"/>
              </w:rPr>
              <w:t>There is no requirement for a fuel price entered after it takes effect (for example, effective 16th, entered 18th). Trips on the 16th–17th have already been charged at the old price and notified to employees</w:t>
            </w:r>
          </w:p>
        </w:tc>
        <w:tc>
          <w:tcPr>
            <w:tcW w:type="dxa" w:w="1234"/>
          </w:tcPr>
          <w:p>
            <w:r>
              <w:rPr>
                <w:sz w:val="18"/>
              </w:rPr>
            </w:r>
            <w:r>
              <w:rPr>
                <w:sz w:val="18"/>
              </w:rPr>
              <w:t>Deductions shown to employees would change silently, or stay wrong</w:t>
            </w:r>
          </w:p>
        </w:tc>
        <w:tc>
          <w:tcPr>
            <w:tcW w:type="dxa" w:w="1234"/>
          </w:tcPr>
          <w:p>
            <w:r>
              <w:rPr>
                <w:sz w:val="18"/>
              </w:rPr>
            </w:r>
            <w:r>
              <w:rPr>
                <w:sz w:val="18"/>
              </w:rPr>
              <w:t>Add Q-16: recalculate the open month's trips on late entry and re-notify, or apply prices only from the date they are entered? Then add the FR</w:t>
            </w:r>
          </w:p>
        </w:tc>
        <w:tc>
          <w:tcPr>
            <w:tcW w:type="dxa" w:w="1234"/>
          </w:tcPr>
          <w:p>
            <w:r>
              <w:rPr>
                <w:sz w:val="18"/>
              </w:rPr>
            </w:r>
            <w:r>
              <w:rPr>
                <w:sz w:val="18"/>
              </w:rPr>
              <w:t>Finance</w:t>
            </w:r>
          </w:p>
        </w:tc>
      </w:tr>
      <w:tr>
        <w:tc>
          <w:tcPr>
            <w:tcW w:type="dxa" w:w="1234"/>
          </w:tcPr>
          <w:p>
            <w:r>
              <w:rPr>
                <w:sz w:val="18"/>
              </w:rPr>
            </w:r>
            <w:r>
              <w:rPr>
                <w:sz w:val="18"/>
              </w:rPr>
              <w:t>RV-06</w:t>
            </w:r>
          </w:p>
        </w:tc>
        <w:tc>
          <w:tcPr>
            <w:tcW w:type="dxa" w:w="1234"/>
          </w:tcPr>
          <w:p>
            <w:r>
              <w:rPr>
                <w:sz w:val="18"/>
              </w:rPr>
            </w:r>
            <w:r>
              <w:rPr>
                <w:sz w:val="18"/>
              </w:rPr>
              <w:t>Major</w:t>
            </w:r>
          </w:p>
        </w:tc>
        <w:tc>
          <w:tcPr>
            <w:tcW w:type="dxa" w:w="1234"/>
          </w:tcPr>
          <w:p>
            <w:r>
              <w:rPr>
                <w:sz w:val="18"/>
              </w:rPr>
            </w:r>
            <w:r>
              <w:rPr>
                <w:sz w:val="18"/>
              </w:rPr>
              <w:t>Scope, NFR-AVL</w:t>
            </w:r>
          </w:p>
        </w:tc>
        <w:tc>
          <w:tcPr>
            <w:tcW w:type="dxa" w:w="1234"/>
          </w:tcPr>
          <w:p>
            <w:r>
              <w:rPr>
                <w:sz w:val="18"/>
              </w:rPr>
            </w:r>
            <w:r>
              <w:rPr>
                <w:sz w:val="18"/>
              </w:rPr>
              <w:t>The SRS doesn't address 24×7 hospital staff: night shifts, 12-hour rotas, on-call call-outs. Do buses run for every shift? If not, those staff can't use the bus. The allowance rule for them is undefined, and FR-014 would flag them as non-swipers</w:t>
            </w:r>
          </w:p>
        </w:tc>
        <w:tc>
          <w:tcPr>
            <w:tcW w:type="dxa" w:w="1234"/>
          </w:tcPr>
          <w:p>
            <w:r>
              <w:rPr>
                <w:sz w:val="18"/>
              </w:rPr>
            </w:r>
            <w:r>
              <w:rPr>
                <w:sz w:val="18"/>
              </w:rPr>
              <w:t>Unfair deductions or false misuse flags for clinical staff; the IMP-06 shift-cover risk is understated</w:t>
            </w:r>
          </w:p>
        </w:tc>
        <w:tc>
          <w:tcPr>
            <w:tcW w:type="dxa" w:w="1234"/>
          </w:tcPr>
          <w:p>
            <w:r>
              <w:rPr>
                <w:sz w:val="18"/>
              </w:rPr>
            </w:r>
            <w:r>
              <w:rPr>
                <w:sz w:val="18"/>
              </w:rPr>
              <w:t>Add Q-17: which shifts does the bus serve, and what is the allowance rule for staff on shifts without a bus?</w:t>
            </w:r>
          </w:p>
        </w:tc>
        <w:tc>
          <w:tcPr>
            <w:tcW w:type="dxa" w:w="1234"/>
          </w:tcPr>
          <w:p>
            <w:r>
              <w:rPr>
                <w:sz w:val="18"/>
              </w:rPr>
            </w:r>
            <w:r>
              <w:rPr>
                <w:sz w:val="18"/>
              </w:rPr>
              <w:t>Mr. Ubaid, Nursing, HR</w:t>
            </w:r>
          </w:p>
        </w:tc>
      </w:tr>
      <w:tr>
        <w:tc>
          <w:tcPr>
            <w:tcW w:type="dxa" w:w="1234"/>
          </w:tcPr>
          <w:p>
            <w:r>
              <w:rPr>
                <w:sz w:val="18"/>
              </w:rPr>
            </w:r>
            <w:r>
              <w:rPr>
                <w:sz w:val="18"/>
              </w:rPr>
              <w:t>RV-07</w:t>
            </w:r>
          </w:p>
        </w:tc>
        <w:tc>
          <w:tcPr>
            <w:tcW w:type="dxa" w:w="1234"/>
          </w:tcPr>
          <w:p>
            <w:r>
              <w:rPr>
                <w:sz w:val="18"/>
              </w:rPr>
            </w:r>
            <w:r>
              <w:rPr>
                <w:sz w:val="18"/>
              </w:rPr>
              <w:t>Major</w:t>
            </w:r>
          </w:p>
        </w:tc>
        <w:tc>
          <w:tcPr>
            <w:tcW w:type="dxa" w:w="1234"/>
          </w:tcPr>
          <w:p>
            <w:r>
              <w:rPr>
                <w:sz w:val="18"/>
              </w:rPr>
            </w:r>
            <w:r>
              <w:rPr>
                <w:sz w:val="18"/>
              </w:rPr>
              <w:t>FR-014 priority vs BR-04</w:t>
            </w:r>
          </w:p>
        </w:tc>
        <w:tc>
          <w:tcPr>
            <w:tcW w:type="dxa" w:w="1234"/>
          </w:tcPr>
          <w:p>
            <w:r>
              <w:rPr>
                <w:sz w:val="18"/>
              </w:rPr>
            </w:r>
            <w:r>
              <w:rPr>
                <w:sz w:val="18"/>
              </w:rPr>
              <w:t>BR-04 (prevent and detect non-swiping) is a Must, but FR-014, the only detection requirement, is "Should" and "inferred"</w:t>
            </w:r>
          </w:p>
        </w:tc>
        <w:tc>
          <w:tcPr>
            <w:tcW w:type="dxa" w:w="1234"/>
          </w:tcPr>
          <w:p>
            <w:r>
              <w:rPr>
                <w:sz w:val="18"/>
              </w:rPr>
            </w:r>
            <w:r>
              <w:rPr>
                <w:sz w:val="18"/>
              </w:rPr>
              <w:t>The Must goal has no Must requirement behind it</w:t>
            </w:r>
          </w:p>
        </w:tc>
        <w:tc>
          <w:tcPr>
            <w:tcW w:type="dxa" w:w="1234"/>
          </w:tcPr>
          <w:p>
            <w:r>
              <w:rPr>
                <w:sz w:val="18"/>
              </w:rPr>
            </w:r>
            <w:r>
              <w:rPr>
                <w:sz w:val="18"/>
              </w:rPr>
              <w:t>The SA should decide: raise FR-014 to Must, or accept the risk and record it</w:t>
            </w:r>
          </w:p>
        </w:tc>
        <w:tc>
          <w:tcPr>
            <w:tcW w:type="dxa" w:w="1234"/>
          </w:tcPr>
          <w:p>
            <w:r>
              <w:rPr>
                <w:sz w:val="18"/>
              </w:rPr>
            </w:r>
            <w:r>
              <w:rPr>
                <w:sz w:val="18"/>
              </w:rPr>
              <w:t>Solution Architect</w:t>
            </w:r>
          </w:p>
        </w:tc>
      </w:tr>
      <w:tr>
        <w:tc>
          <w:tcPr>
            <w:tcW w:type="dxa" w:w="1234"/>
          </w:tcPr>
          <w:p>
            <w:r>
              <w:rPr>
                <w:sz w:val="18"/>
              </w:rPr>
            </w:r>
            <w:r>
              <w:rPr>
                <w:sz w:val="18"/>
              </w:rPr>
              <w:t>RV-08</w:t>
            </w:r>
          </w:p>
        </w:tc>
        <w:tc>
          <w:tcPr>
            <w:tcW w:type="dxa" w:w="1234"/>
          </w:tcPr>
          <w:p>
            <w:r>
              <w:rPr>
                <w:sz w:val="18"/>
              </w:rPr>
            </w:r>
            <w:r>
              <w:rPr>
                <w:sz w:val="18"/>
              </w:rPr>
              <w:t>Major</w:t>
            </w:r>
          </w:p>
        </w:tc>
        <w:tc>
          <w:tcPr>
            <w:tcW w:type="dxa" w:w="1234"/>
          </w:tcPr>
          <w:p>
            <w:r>
              <w:rPr>
                <w:sz w:val="18"/>
              </w:rPr>
            </w:r>
            <w:r>
              <w:rPr>
                <w:sz w:val="18"/>
              </w:rPr>
              <w:t>FR-009, M-07</w:t>
            </w:r>
          </w:p>
        </w:tc>
        <w:tc>
          <w:tcPr>
            <w:tcW w:type="dxa" w:w="1234"/>
          </w:tcPr>
          <w:p>
            <w:r>
              <w:rPr>
                <w:sz w:val="18"/>
              </w:rPr>
            </w:r>
            <w:r>
              <w:rPr>
                <w:sz w:val="18"/>
              </w:rPr>
              <w:t>The MoM says HR/Finance get a frontend "for deduction formulas". FR-009 turns this into parameters of a fixed formula. Finance may expect to edit a free formula expression</w:t>
            </w:r>
          </w:p>
        </w:tc>
        <w:tc>
          <w:tcPr>
            <w:tcW w:type="dxa" w:w="1234"/>
          </w:tcPr>
          <w:p>
            <w:r>
              <w:rPr>
                <w:sz w:val="18"/>
              </w:rPr>
            </w:r>
            <w:r>
              <w:rPr>
                <w:sz w:val="18"/>
              </w:rPr>
              <w:t>The wrong build choice leads to rework after the Finance alignment (M-18)</w:t>
            </w:r>
          </w:p>
        </w:tc>
        <w:tc>
          <w:tcPr>
            <w:tcW w:type="dxa" w:w="1234"/>
          </w:tcPr>
          <w:p>
            <w:r>
              <w:rPr>
                <w:sz w:val="18"/>
              </w:rPr>
            </w:r>
            <w:r>
              <w:rPr>
                <w:sz w:val="18"/>
              </w:rPr>
              <w:t>Confirm with Finance, as part of Q-05, that a parameterised formula is acceptable. Record it as a constraint</w:t>
            </w:r>
          </w:p>
        </w:tc>
        <w:tc>
          <w:tcPr>
            <w:tcW w:type="dxa" w:w="1234"/>
          </w:tcPr>
          <w:p>
            <w:r>
              <w:rPr>
                <w:sz w:val="18"/>
              </w:rPr>
            </w:r>
            <w:r>
              <w:rPr>
                <w:sz w:val="18"/>
              </w:rPr>
              <w:t>Finance</w:t>
            </w:r>
          </w:p>
        </w:tc>
      </w:tr>
      <w:tr>
        <w:tc>
          <w:tcPr>
            <w:tcW w:type="dxa" w:w="1234"/>
          </w:tcPr>
          <w:p>
            <w:r>
              <w:rPr>
                <w:sz w:val="18"/>
              </w:rPr>
            </w:r>
            <w:r>
              <w:rPr>
                <w:sz w:val="18"/>
              </w:rPr>
              <w:t>RV-09</w:t>
            </w:r>
          </w:p>
        </w:tc>
        <w:tc>
          <w:tcPr>
            <w:tcW w:type="dxa" w:w="1234"/>
          </w:tcPr>
          <w:p>
            <w:r>
              <w:rPr>
                <w:sz w:val="18"/>
              </w:rPr>
            </w:r>
            <w:r>
              <w:rPr>
                <w:sz w:val="18"/>
              </w:rPr>
              <w:t>Major</w:t>
            </w:r>
          </w:p>
        </w:tc>
        <w:tc>
          <w:tcPr>
            <w:tcW w:type="dxa" w:w="1234"/>
          </w:tcPr>
          <w:p>
            <w:r>
              <w:rPr>
                <w:sz w:val="18"/>
              </w:rPr>
            </w:r>
            <w:r>
              <w:rPr>
                <w:sz w:val="18"/>
              </w:rPr>
              <w:t>FR-018, Q-08, §7.5</w:t>
            </w:r>
          </w:p>
        </w:tc>
        <w:tc>
          <w:tcPr>
            <w:tcW w:type="dxa" w:w="1234"/>
          </w:tcPr>
          <w:p>
            <w:r>
              <w:rPr>
                <w:sz w:val="18"/>
              </w:rPr>
            </w:r>
            <w:r>
              <w:rPr>
                <w:sz w:val="18"/>
              </w:rPr>
              <w:t>The payroll hand-off has no cut-off date, reversal process or correction rule for adjustments approved after the register is sent. FR-013 AC3 says they carry forward, but FR-018 doesn't say how</w:t>
            </w:r>
          </w:p>
        </w:tc>
        <w:tc>
          <w:tcPr>
            <w:tcW w:type="dxa" w:w="1234"/>
          </w:tcPr>
          <w:p>
            <w:r>
              <w:rPr>
                <w:sz w:val="18"/>
              </w:rPr>
            </w:r>
            <w:r>
              <w:rPr>
                <w:sz w:val="18"/>
              </w:rPr>
              <w:t>Payroll disputes after every month-end</w:t>
            </w:r>
          </w:p>
        </w:tc>
        <w:tc>
          <w:tcPr>
            <w:tcW w:type="dxa" w:w="1234"/>
          </w:tcPr>
          <w:p>
            <w:r>
              <w:rPr>
                <w:sz w:val="18"/>
              </w:rPr>
            </w:r>
            <w:r>
              <w:rPr>
                <w:sz w:val="18"/>
              </w:rPr>
              <w:t>Add acceptance criteria to FR-018 for late adjustments (carried forward as a next-month credit/debit, shown separately on the register)</w:t>
            </w:r>
          </w:p>
        </w:tc>
        <w:tc>
          <w:tcPr>
            <w:tcW w:type="dxa" w:w="1234"/>
          </w:tcPr>
          <w:p>
            <w:r>
              <w:rPr>
                <w:sz w:val="18"/>
              </w:rPr>
            </w:r>
            <w:r>
              <w:rPr>
                <w:sz w:val="18"/>
              </w:rPr>
              <w:t>Finance, Payroll</w:t>
            </w:r>
          </w:p>
        </w:tc>
      </w:tr>
      <w:tr>
        <w:tc>
          <w:tcPr>
            <w:tcW w:type="dxa" w:w="1234"/>
          </w:tcPr>
          <w:p>
            <w:r>
              <w:rPr>
                <w:sz w:val="18"/>
              </w:rPr>
            </w:r>
            <w:r>
              <w:rPr>
                <w:sz w:val="18"/>
              </w:rPr>
              <w:t>RV-10</w:t>
            </w:r>
          </w:p>
        </w:tc>
        <w:tc>
          <w:tcPr>
            <w:tcW w:type="dxa" w:w="1234"/>
          </w:tcPr>
          <w:p>
            <w:r>
              <w:rPr>
                <w:sz w:val="18"/>
              </w:rPr>
            </w:r>
            <w:r>
              <w:rPr>
                <w:sz w:val="18"/>
              </w:rPr>
              <w:t>Major</w:t>
            </w:r>
          </w:p>
        </w:tc>
        <w:tc>
          <w:tcPr>
            <w:tcW w:type="dxa" w:w="1234"/>
          </w:tcPr>
          <w:p>
            <w:r>
              <w:rPr>
                <w:sz w:val="18"/>
              </w:rPr>
            </w:r>
            <w:r>
              <w:rPr>
                <w:sz w:val="18"/>
              </w:rPr>
              <w:t>Impact analysis §8.2–8.3</w:t>
            </w:r>
          </w:p>
        </w:tc>
        <w:tc>
          <w:tcPr>
            <w:tcW w:type="dxa" w:w="1234"/>
          </w:tcPr>
          <w:p>
            <w:r>
              <w:rPr>
                <w:sz w:val="18"/>
              </w:rPr>
            </w:r>
            <w:r>
              <w:rPr>
                <w:sz w:val="18"/>
              </w:rPr>
              <w:t>Every existing-system item (card system, attendance, payroll, employee master, dashboard) is PROVISIONAL with no named object. The design can't start without them</w:t>
            </w:r>
          </w:p>
        </w:tc>
        <w:tc>
          <w:tcPr>
            <w:tcW w:type="dxa" w:w="1234"/>
          </w:tcPr>
          <w:p>
            <w:r>
              <w:rPr>
                <w:sz w:val="18"/>
              </w:rPr>
            </w:r>
            <w:r>
              <w:rPr>
                <w:sz w:val="18"/>
              </w:rPr>
              <w:t>The design is blocked, or it guesses</w:t>
            </w:r>
          </w:p>
        </w:tc>
        <w:tc>
          <w:tcPr>
            <w:tcW w:type="dxa" w:w="1234"/>
          </w:tcPr>
          <w:p>
            <w:r>
              <w:rPr>
                <w:sz w:val="18"/>
              </w:rPr>
            </w:r>
            <w:r>
              <w:rPr>
                <w:sz w:val="18"/>
              </w:rPr>
              <w:t>Before design: index the HRD schema, and have IS name the card/attendance system and payroll tables (Q-09)</w:t>
            </w:r>
          </w:p>
        </w:tc>
        <w:tc>
          <w:tcPr>
            <w:tcW w:type="dxa" w:w="1234"/>
          </w:tcPr>
          <w:p>
            <w:r>
              <w:rPr>
                <w:sz w:val="18"/>
              </w:rPr>
            </w:r>
            <w:r>
              <w:rPr>
                <w:sz w:val="18"/>
              </w:rPr>
              <w:t>IS</w:t>
            </w:r>
          </w:p>
        </w:tc>
      </w:tr>
      <w:tr>
        <w:tc>
          <w:tcPr>
            <w:tcW w:type="dxa" w:w="1234"/>
          </w:tcPr>
          <w:p>
            <w:r>
              <w:rPr>
                <w:sz w:val="18"/>
              </w:rPr>
            </w:r>
            <w:r>
              <w:rPr>
                <w:sz w:val="18"/>
              </w:rPr>
              <w:t>RV-11</w:t>
            </w:r>
          </w:p>
        </w:tc>
        <w:tc>
          <w:tcPr>
            <w:tcW w:type="dxa" w:w="1234"/>
          </w:tcPr>
          <w:p>
            <w:r>
              <w:rPr>
                <w:sz w:val="18"/>
              </w:rPr>
            </w:r>
            <w:r>
              <w:rPr>
                <w:sz w:val="18"/>
              </w:rPr>
              <w:t>Minor</w:t>
            </w:r>
          </w:p>
        </w:tc>
        <w:tc>
          <w:tcPr>
            <w:tcW w:type="dxa" w:w="1234"/>
          </w:tcPr>
          <w:p>
            <w:r>
              <w:rPr>
                <w:sz w:val="18"/>
              </w:rPr>
            </w:r>
            <w:r>
              <w:rPr>
                <w:sz w:val="18"/>
              </w:rPr>
              <w:t>FR-006 AC2</w:t>
            </w:r>
          </w:p>
        </w:tc>
        <w:tc>
          <w:tcPr>
            <w:tcW w:type="dxa" w:w="1234"/>
          </w:tcPr>
          <w:p>
            <w:r>
              <w:rPr>
                <w:sz w:val="18"/>
              </w:rPr>
            </w:r>
            <w:r>
              <w:rPr>
                <w:sz w:val="18"/>
              </w:rPr>
              <w:t>"Within 2 minutes" is a number no one in the meeting gave</w:t>
            </w:r>
          </w:p>
        </w:tc>
        <w:tc>
          <w:tcPr>
            <w:tcW w:type="dxa" w:w="1234"/>
          </w:tcPr>
          <w:p>
            <w:r>
              <w:rPr>
                <w:sz w:val="18"/>
              </w:rPr>
            </w:r>
            <w:r>
              <w:rPr>
                <w:sz w:val="18"/>
              </w:rPr>
              <w:t>It looks like an agreed rule when it is only proposed</w:t>
            </w:r>
          </w:p>
        </w:tc>
        <w:tc>
          <w:tcPr>
            <w:tcW w:type="dxa" w:w="1234"/>
          </w:tcPr>
          <w:p>
            <w:r>
              <w:rPr>
                <w:sz w:val="18"/>
              </w:rPr>
            </w:r>
            <w:r>
              <w:rPr>
                <w:sz w:val="18"/>
              </w:rPr>
              <w:t>Label it "proposed default 2 minutes, configurable"</w:t>
            </w:r>
          </w:p>
        </w:tc>
        <w:tc>
          <w:tcPr>
            <w:tcW w:type="dxa" w:w="1234"/>
          </w:tcPr>
          <w:p>
            <w:r>
              <w:rPr>
                <w:sz w:val="18"/>
              </w:rPr>
            </w:r>
            <w:r>
              <w:rPr>
                <w:sz w:val="18"/>
              </w:rPr>
              <w:t>BA</w:t>
            </w:r>
          </w:p>
        </w:tc>
      </w:tr>
      <w:tr>
        <w:tc>
          <w:tcPr>
            <w:tcW w:type="dxa" w:w="1234"/>
          </w:tcPr>
          <w:p>
            <w:r>
              <w:rPr>
                <w:sz w:val="18"/>
              </w:rPr>
            </w:r>
            <w:r>
              <w:rPr>
                <w:sz w:val="18"/>
              </w:rPr>
              <w:t>RV-12</w:t>
            </w:r>
          </w:p>
        </w:tc>
        <w:tc>
          <w:tcPr>
            <w:tcW w:type="dxa" w:w="1234"/>
          </w:tcPr>
          <w:p>
            <w:r>
              <w:rPr>
                <w:sz w:val="18"/>
              </w:rPr>
            </w:r>
            <w:r>
              <w:rPr>
                <w:sz w:val="18"/>
              </w:rPr>
              <w:t>Minor</w:t>
            </w:r>
          </w:p>
        </w:tc>
        <w:tc>
          <w:tcPr>
            <w:tcW w:type="dxa" w:w="1234"/>
          </w:tcPr>
          <w:p>
            <w:r>
              <w:rPr>
                <w:sz w:val="18"/>
              </w:rPr>
            </w:r>
            <w:r>
              <w:rPr>
                <w:sz w:val="18"/>
              </w:rPr>
              <w:t>§7.3 access matrix vs NFR-SEC-02</w:t>
            </w:r>
          </w:p>
        </w:tc>
        <w:tc>
          <w:tcPr>
            <w:tcW w:type="dxa" w:w="1234"/>
          </w:tcPr>
          <w:p>
            <w:r>
              <w:rPr>
                <w:sz w:val="18"/>
              </w:rPr>
            </w:r>
            <w:r>
              <w:rPr>
                <w:sz w:val="18"/>
              </w:rPr>
              <w:t>Maker-checker needs two different users to enter and activate a price. The matrix gives Finance both roles but doesn't say they must be different people</w:t>
            </w:r>
          </w:p>
        </w:tc>
        <w:tc>
          <w:tcPr>
            <w:tcW w:type="dxa" w:w="1234"/>
          </w:tcPr>
          <w:p>
            <w:r>
              <w:rPr>
                <w:sz w:val="18"/>
              </w:rPr>
            </w:r>
            <w:r>
              <w:rPr>
                <w:sz w:val="18"/>
              </w:rPr>
              <w:t>Weak segregation of duties</w:t>
            </w:r>
          </w:p>
        </w:tc>
        <w:tc>
          <w:tcPr>
            <w:tcW w:type="dxa" w:w="1234"/>
          </w:tcPr>
          <w:p>
            <w:r>
              <w:rPr>
                <w:sz w:val="18"/>
              </w:rPr>
            </w:r>
            <w:r>
              <w:rPr>
                <w:sz w:val="18"/>
              </w:rPr>
              <w:t>Add to NFR-SEC-02: "the activator must be a different user from the maker"</w:t>
            </w:r>
          </w:p>
        </w:tc>
        <w:tc>
          <w:tcPr>
            <w:tcW w:type="dxa" w:w="1234"/>
          </w:tcPr>
          <w:p>
            <w:r>
              <w:rPr>
                <w:sz w:val="18"/>
              </w:rPr>
            </w:r>
            <w:r>
              <w:rPr>
                <w:sz w:val="18"/>
              </w:rPr>
              <w:t>BA</w:t>
            </w:r>
          </w:p>
        </w:tc>
      </w:tr>
      <w:tr>
        <w:tc>
          <w:tcPr>
            <w:tcW w:type="dxa" w:w="1234"/>
          </w:tcPr>
          <w:p>
            <w:r>
              <w:rPr>
                <w:sz w:val="18"/>
              </w:rPr>
            </w:r>
            <w:r>
              <w:rPr>
                <w:sz w:val="18"/>
              </w:rPr>
              <w:t>RV-13</w:t>
            </w:r>
          </w:p>
        </w:tc>
        <w:tc>
          <w:tcPr>
            <w:tcW w:type="dxa" w:w="1234"/>
          </w:tcPr>
          <w:p>
            <w:r>
              <w:rPr>
                <w:sz w:val="18"/>
              </w:rPr>
            </w:r>
            <w:r>
              <w:rPr>
                <w:sz w:val="18"/>
              </w:rPr>
              <w:t>Minor</w:t>
            </w:r>
          </w:p>
        </w:tc>
        <w:tc>
          <w:tcPr>
            <w:tcW w:type="dxa" w:w="1234"/>
          </w:tcPr>
          <w:p>
            <w:r>
              <w:rPr>
                <w:sz w:val="18"/>
              </w:rPr>
            </w:r>
            <w:r>
              <w:rPr>
                <w:sz w:val="18"/>
              </w:rPr>
              <w:t>Q-01, §1.6</w:t>
            </w:r>
          </w:p>
        </w:tc>
        <w:tc>
          <w:tcPr>
            <w:tcW w:type="dxa" w:w="1234"/>
          </w:tcPr>
          <w:p>
            <w:r>
              <w:rPr>
                <w:sz w:val="18"/>
              </w:rPr>
            </w:r>
            <w:r>
              <w:rPr>
                <w:sz w:val="18"/>
              </w:rPr>
              <w:t>The meeting date and attendee list aren't recorded. HR and Finance attendance is "to be confirmed"</w:t>
            </w:r>
          </w:p>
        </w:tc>
        <w:tc>
          <w:tcPr>
            <w:tcW w:type="dxa" w:w="1234"/>
          </w:tcPr>
          <w:p>
            <w:r>
              <w:rPr>
                <w:sz w:val="18"/>
              </w:rPr>
            </w:r>
            <w:r>
              <w:rPr>
                <w:sz w:val="18"/>
              </w:rPr>
              <w:t>Weak audit of where the requirements came from</w:t>
            </w:r>
          </w:p>
        </w:tc>
        <w:tc>
          <w:tcPr>
            <w:tcW w:type="dxa" w:w="1234"/>
          </w:tcPr>
          <w:p>
            <w:r>
              <w:rPr>
                <w:sz w:val="18"/>
              </w:rPr>
            </w:r>
            <w:r>
              <w:rPr>
                <w:sz w:val="18"/>
              </w:rPr>
              <w:t>Record the date and attendees in §1.4/§1.6</w:t>
            </w:r>
          </w:p>
        </w:tc>
        <w:tc>
          <w:tcPr>
            <w:tcW w:type="dxa" w:w="1234"/>
          </w:tcPr>
          <w:p>
            <w:r>
              <w:rPr>
                <w:sz w:val="18"/>
              </w:rPr>
            </w:r>
            <w:r>
              <w:rPr>
                <w:sz w:val="18"/>
              </w:rPr>
              <w:t>BA</w:t>
            </w:r>
          </w:p>
        </w:tc>
      </w:tr>
      <w:tr>
        <w:tc>
          <w:tcPr>
            <w:tcW w:type="dxa" w:w="1234"/>
          </w:tcPr>
          <w:p>
            <w:r>
              <w:rPr>
                <w:sz w:val="18"/>
              </w:rPr>
            </w:r>
            <w:r>
              <w:rPr>
                <w:sz w:val="18"/>
              </w:rPr>
              <w:t>RV-14</w:t>
            </w:r>
          </w:p>
        </w:tc>
        <w:tc>
          <w:tcPr>
            <w:tcW w:type="dxa" w:w="1234"/>
          </w:tcPr>
          <w:p>
            <w:r>
              <w:rPr>
                <w:sz w:val="18"/>
              </w:rPr>
            </w:r>
            <w:r>
              <w:rPr>
                <w:sz w:val="18"/>
              </w:rPr>
              <w:t>Minor</w:t>
            </w:r>
          </w:p>
        </w:tc>
        <w:tc>
          <w:tcPr>
            <w:tcW w:type="dxa" w:w="1234"/>
          </w:tcPr>
          <w:p>
            <w:r>
              <w:rPr>
                <w:sz w:val="18"/>
              </w:rPr>
            </w:r>
            <w:r>
              <w:rPr>
                <w:sz w:val="18"/>
              </w:rPr>
              <w:t>§1.4</w:t>
            </w:r>
          </w:p>
        </w:tc>
        <w:tc>
          <w:tcPr>
            <w:tcW w:type="dxa" w:w="1234"/>
          </w:tcPr>
          <w:p>
            <w:r>
              <w:rPr>
                <w:sz w:val="18"/>
              </w:rPr>
            </w:r>
            <w:r>
              <w:rPr>
                <w:sz w:val="18"/>
              </w:rPr>
              <w:t>Mr. Ubaid's department is "to be confirmed"</w:t>
            </w:r>
          </w:p>
        </w:tc>
        <w:tc>
          <w:tcPr>
            <w:tcW w:type="dxa" w:w="1234"/>
          </w:tcPr>
          <w:p>
            <w:r>
              <w:rPr>
                <w:sz w:val="18"/>
              </w:rPr>
            </w:r>
            <w:r>
              <w:rPr>
                <w:sz w:val="18"/>
              </w:rPr>
              <w:t>The business owner and final approver are unclear</w:t>
            </w:r>
          </w:p>
        </w:tc>
        <w:tc>
          <w:tcPr>
            <w:tcW w:type="dxa" w:w="1234"/>
          </w:tcPr>
          <w:p>
            <w:r>
              <w:rPr>
                <w:sz w:val="18"/>
              </w:rPr>
            </w:r>
            <w:r>
              <w:rPr>
                <w:sz w:val="18"/>
              </w:rPr>
              <w:t>Name the business owner who signs the SRS</w:t>
            </w:r>
          </w:p>
        </w:tc>
        <w:tc>
          <w:tcPr>
            <w:tcW w:type="dxa" w:w="1234"/>
          </w:tcPr>
          <w:p>
            <w:r>
              <w:rPr>
                <w:sz w:val="18"/>
              </w:rPr>
            </w:r>
            <w:r>
              <w:rPr>
                <w:sz w:val="18"/>
              </w:rPr>
              <w:t>BA</w:t>
            </w:r>
          </w:p>
        </w:tc>
      </w:tr>
      <w:tr>
        <w:tc>
          <w:tcPr>
            <w:tcW w:type="dxa" w:w="1234"/>
          </w:tcPr>
          <w:p>
            <w:r>
              <w:rPr>
                <w:sz w:val="18"/>
              </w:rPr>
            </w:r>
            <w:r>
              <w:rPr>
                <w:sz w:val="18"/>
              </w:rPr>
              <w:t>RV-15</w:t>
            </w:r>
          </w:p>
        </w:tc>
        <w:tc>
          <w:tcPr>
            <w:tcW w:type="dxa" w:w="1234"/>
          </w:tcPr>
          <w:p>
            <w:r>
              <w:rPr>
                <w:sz w:val="18"/>
              </w:rPr>
            </w:r>
            <w:r>
              <w:rPr>
                <w:sz w:val="18"/>
              </w:rPr>
              <w:t>Observation</w:t>
            </w:r>
          </w:p>
        </w:tc>
        <w:tc>
          <w:tcPr>
            <w:tcW w:type="dxa" w:w="1234"/>
          </w:tcPr>
          <w:p>
            <w:r>
              <w:rPr>
                <w:sz w:val="18"/>
              </w:rPr>
            </w:r>
            <w:r>
              <w:rPr>
                <w:sz w:val="18"/>
              </w:rPr>
              <w:t>IMP-20</w:t>
            </w:r>
          </w:p>
        </w:tc>
        <w:tc>
          <w:tcPr>
            <w:tcW w:type="dxa" w:w="1234"/>
          </w:tcPr>
          <w:p>
            <w:r>
              <w:rPr>
                <w:sz w:val="18"/>
              </w:rPr>
            </w:r>
            <w:r>
              <w:rPr>
                <w:rFonts w:ascii="Consolas" w:hAnsi="Consolas"/>
                <w:sz w:val="18"/>
              </w:rPr>
              <w:t>HRD_FUEL_PRICE_HIS</w:t>
            </w:r>
            <w:r>
              <w:rPr>
                <w:sz w:val="18"/>
              </w:rPr>
              <w:t xml:space="preserve"> uses the HIS (history) suffix, but it is an effective-dated reference table that is actively read. MST may fit the HRD standards better</w:t>
            </w:r>
          </w:p>
        </w:tc>
        <w:tc>
          <w:tcPr>
            <w:tcW w:type="dxa" w:w="1234"/>
          </w:tcPr>
          <w:p>
            <w:r>
              <w:rPr>
                <w:sz w:val="18"/>
              </w:rPr>
            </w:r>
            <w:r>
              <w:rPr>
                <w:sz w:val="18"/>
              </w:rPr>
              <w:t>Naming consistency</w:t>
            </w:r>
          </w:p>
        </w:tc>
        <w:tc>
          <w:tcPr>
            <w:tcW w:type="dxa" w:w="1234"/>
          </w:tcPr>
          <w:p>
            <w:r>
              <w:rPr>
                <w:sz w:val="18"/>
              </w:rPr>
            </w:r>
            <w:r>
              <w:rPr>
                <w:sz w:val="18"/>
              </w:rPr>
              <w:t>Settle the name at design time</w:t>
            </w:r>
          </w:p>
        </w:tc>
        <w:tc>
          <w:tcPr>
            <w:tcW w:type="dxa" w:w="1234"/>
          </w:tcPr>
          <w:p>
            <w:r>
              <w:rPr>
                <w:sz w:val="18"/>
              </w:rPr>
            </w:r>
            <w:r>
              <w:rPr>
                <w:sz w:val="18"/>
              </w:rPr>
              <w:t>Solution Architect</w:t>
            </w:r>
          </w:p>
        </w:tc>
      </w:tr>
      <w:tr>
        <w:tc>
          <w:tcPr>
            <w:tcW w:type="dxa" w:w="1234"/>
          </w:tcPr>
          <w:p>
            <w:r>
              <w:rPr>
                <w:sz w:val="18"/>
              </w:rPr>
            </w:r>
            <w:r>
              <w:rPr>
                <w:sz w:val="18"/>
              </w:rPr>
              <w:t>RV-16</w:t>
            </w:r>
          </w:p>
        </w:tc>
        <w:tc>
          <w:tcPr>
            <w:tcW w:type="dxa" w:w="1234"/>
          </w:tcPr>
          <w:p>
            <w:r>
              <w:rPr>
                <w:sz w:val="18"/>
              </w:rPr>
            </w:r>
            <w:r>
              <w:rPr>
                <w:sz w:val="18"/>
              </w:rPr>
              <w:t>Observation</w:t>
            </w:r>
          </w:p>
        </w:tc>
        <w:tc>
          <w:tcPr>
            <w:tcW w:type="dxa" w:w="1234"/>
          </w:tcPr>
          <w:p>
            <w:r>
              <w:rPr>
                <w:sz w:val="18"/>
              </w:rPr>
            </w:r>
            <w:r>
              <w:rPr>
                <w:sz w:val="18"/>
              </w:rPr>
              <w:t>NFR-DAT-01</w:t>
            </w:r>
          </w:p>
        </w:tc>
        <w:tc>
          <w:tcPr>
            <w:tcW w:type="dxa" w:w="1234"/>
          </w:tcPr>
          <w:p>
            <w:r>
              <w:rPr>
                <w:sz w:val="18"/>
              </w:rPr>
            </w:r>
            <w:r>
              <w:rPr>
                <w:sz w:val="18"/>
              </w:rPr>
              <w:t>The retention period is left to "Finance policy". Swipe data is employee location and time data</w:t>
            </w:r>
          </w:p>
        </w:tc>
        <w:tc>
          <w:tcPr>
            <w:tcW w:type="dxa" w:w="1234"/>
          </w:tcPr>
          <w:p>
            <w:r>
              <w:rPr>
                <w:sz w:val="18"/>
              </w:rPr>
            </w:r>
            <w:r>
              <w:rPr>
                <w:sz w:val="18"/>
              </w:rPr>
              <w:t>Privacy and storage planning</w:t>
            </w:r>
          </w:p>
        </w:tc>
        <w:tc>
          <w:tcPr>
            <w:tcW w:type="dxa" w:w="1234"/>
          </w:tcPr>
          <w:p>
            <w:r>
              <w:rPr>
                <w:sz w:val="18"/>
              </w:rPr>
            </w:r>
            <w:r>
              <w:rPr>
                <w:sz w:val="18"/>
              </w:rPr>
              <w:t>Confirm retention with HR/Finance, and whether swipe details are purged after payroll audit</w:t>
            </w:r>
          </w:p>
        </w:tc>
        <w:tc>
          <w:tcPr>
            <w:tcW w:type="dxa" w:w="1234"/>
          </w:tcPr>
          <w:p>
            <w:r>
              <w:rPr>
                <w:sz w:val="18"/>
              </w:rPr>
            </w:r>
            <w:r>
              <w:rPr>
                <w:sz w:val="18"/>
              </w:rPr>
              <w:t>HR, Finance</w:t>
            </w:r>
          </w:p>
        </w:tc>
      </w:tr>
      <w:tr>
        <w:tc>
          <w:tcPr>
            <w:tcW w:type="dxa" w:w="1234"/>
          </w:tcPr>
          <w:p>
            <w:r>
              <w:rPr>
                <w:sz w:val="18"/>
              </w:rPr>
            </w:r>
            <w:r>
              <w:rPr>
                <w:sz w:val="18"/>
              </w:rPr>
              <w:t>RV-17</w:t>
            </w:r>
          </w:p>
        </w:tc>
        <w:tc>
          <w:tcPr>
            <w:tcW w:type="dxa" w:w="1234"/>
          </w:tcPr>
          <w:p>
            <w:r>
              <w:rPr>
                <w:sz w:val="18"/>
              </w:rPr>
            </w:r>
            <w:r>
              <w:rPr>
                <w:sz w:val="18"/>
              </w:rPr>
              <w:t>Observation</w:t>
            </w:r>
          </w:p>
        </w:tc>
        <w:tc>
          <w:tcPr>
            <w:tcW w:type="dxa" w:w="1234"/>
          </w:tcPr>
          <w:p>
            <w:r>
              <w:rPr>
                <w:sz w:val="18"/>
              </w:rPr>
            </w:r>
            <w:r>
              <w:rPr>
                <w:sz w:val="18"/>
              </w:rPr>
              <w:t>§8.4</w:t>
            </w:r>
          </w:p>
        </w:tc>
        <w:tc>
          <w:tcPr>
            <w:tcW w:type="dxa" w:w="1234"/>
          </w:tcPr>
          <w:p>
            <w:r>
              <w:rPr>
                <w:sz w:val="18"/>
              </w:rPr>
            </w:r>
            <w:r>
              <w:rPr>
                <w:sz w:val="18"/>
              </w:rPr>
              <w:t>The schedule risk mitigation (phased go-live) is a sound proposal, but nobody has agreed it</w:t>
            </w:r>
          </w:p>
        </w:tc>
        <w:tc>
          <w:tcPr>
            <w:tcW w:type="dxa" w:w="1234"/>
          </w:tcPr>
          <w:p>
            <w:r>
              <w:rPr>
                <w:sz w:val="18"/>
              </w:rPr>
            </w:r>
            <w:r>
              <w:rPr>
                <w:sz w:val="18"/>
              </w:rPr>
              <w:t>It could be read as decided</w:t>
            </w:r>
          </w:p>
        </w:tc>
        <w:tc>
          <w:tcPr>
            <w:tcW w:type="dxa" w:w="1234"/>
          </w:tcPr>
          <w:p>
            <w:r>
              <w:rPr>
                <w:sz w:val="18"/>
              </w:rPr>
            </w:r>
            <w:r>
              <w:rPr>
                <w:sz w:val="18"/>
              </w:rPr>
              <w:t>Put it to Mr. Ubaid and management at the layout approval (M-19)</w:t>
            </w:r>
          </w:p>
        </w:tc>
        <w:tc>
          <w:tcPr>
            <w:tcW w:type="dxa" w:w="1234"/>
          </w:tcPr>
          <w:p>
            <w:r>
              <w:rPr>
                <w:sz w:val="18"/>
              </w:rPr>
            </w:r>
            <w:r>
              <w:rPr>
                <w:sz w:val="18"/>
              </w:rPr>
              <w:t>Mr. Shahzad</w:t>
            </w:r>
          </w:p>
        </w:tc>
      </w:tr>
    </w:tbl>
    <w:p>
      <w:pPr/>
    </w:p>
    <w:p>
      <w:pPr>
        <w:pStyle w:val="Heading1"/>
      </w:pPr>
      <w:r>
        <w:t>3. MoM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Statement</w:t>
            </w:r>
          </w:p>
        </w:tc>
        <w:tc>
          <w:tcPr>
            <w:tcW w:type="dxa" w:w="2160"/>
            <w:shd w:val="clear" w:color="auto" w:fill="D9E2F3"/>
          </w:tcPr>
          <w:p>
            <w:r>
              <w:rPr>
                <w:b/>
                <w:sz w:val="18"/>
              </w:rPr>
            </w:r>
            <w:r>
              <w:rPr>
                <w:b/>
                <w:sz w:val="18"/>
              </w:rPr>
              <w:t>Covered by</w:t>
            </w:r>
          </w:p>
        </w:tc>
        <w:tc>
          <w:tcPr>
            <w:tcW w:type="dxa" w:w="2160"/>
            <w:shd w:val="clear" w:color="auto" w:fill="D9E2F3"/>
          </w:tcPr>
          <w:p>
            <w:r>
              <w:rPr>
                <w:b/>
                <w:sz w:val="18"/>
              </w:rPr>
            </w:r>
            <w:r>
              <w:rPr>
                <w:b/>
                <w:sz w:val="18"/>
              </w:rPr>
              <w:t>Status</w:t>
            </w:r>
          </w:p>
        </w:tc>
      </w:tr>
      <w:tr>
        <w:tc>
          <w:tcPr>
            <w:tcW w:type="dxa" w:w="2160"/>
          </w:tcPr>
          <w:p>
            <w:r>
              <w:rPr>
                <w:sz w:val="18"/>
              </w:rPr>
            </w:r>
            <w:r>
              <w:rPr>
                <w:sz w:val="18"/>
              </w:rPr>
              <w:t>M-01</w:t>
            </w:r>
          </w:p>
        </w:tc>
        <w:tc>
          <w:tcPr>
            <w:tcW w:type="dxa" w:w="2160"/>
          </w:tcPr>
          <w:p>
            <w:r>
              <w:rPr>
                <w:sz w:val="18"/>
              </w:rPr>
            </w:r>
            <w:r>
              <w:rPr>
                <w:sz w:val="18"/>
              </w:rPr>
              <w:t>Operational flow presented by Mr. Ubaid</w:t>
            </w:r>
          </w:p>
        </w:tc>
        <w:tc>
          <w:tcPr>
            <w:tcW w:type="dxa" w:w="2160"/>
          </w:tcPr>
          <w:p>
            <w:r>
              <w:rPr>
                <w:sz w:val="18"/>
              </w:rPr>
            </w:r>
            <w:r>
              <w:rPr>
                <w:sz w:val="18"/>
              </w:rPr>
              <w:t>§1.2</w:t>
            </w:r>
          </w:p>
        </w:tc>
        <w:tc>
          <w:tcPr>
            <w:tcW w:type="dxa" w:w="2160"/>
          </w:tcPr>
          <w:p>
            <w:r>
              <w:rPr>
                <w:sz w:val="18"/>
              </w:rPr>
            </w:r>
            <w:r>
              <w:rPr>
                <w:sz w:val="18"/>
              </w:rPr>
              <w:t>Covered</w:t>
            </w:r>
          </w:p>
        </w:tc>
      </w:tr>
      <w:tr>
        <w:tc>
          <w:tcPr>
            <w:tcW w:type="dxa" w:w="2160"/>
          </w:tcPr>
          <w:p>
            <w:r>
              <w:rPr>
                <w:sz w:val="18"/>
              </w:rPr>
            </w:r>
            <w:r>
              <w:rPr>
                <w:sz w:val="18"/>
              </w:rPr>
              <w:t>M-02</w:t>
            </w:r>
          </w:p>
        </w:tc>
        <w:tc>
          <w:tcPr>
            <w:tcW w:type="dxa" w:w="2160"/>
          </w:tcPr>
          <w:p>
            <w:r>
              <w:rPr>
                <w:sz w:val="18"/>
              </w:rPr>
            </w:r>
            <w:r>
              <w:rPr>
                <w:sz w:val="18"/>
              </w:rPr>
              <w:t>24,000 PKR allowance for a 24-day month</w:t>
            </w:r>
          </w:p>
        </w:tc>
        <w:tc>
          <w:tcPr>
            <w:tcW w:type="dxa" w:w="2160"/>
          </w:tcPr>
          <w:p>
            <w:r>
              <w:rPr>
                <w:sz w:val="18"/>
              </w:rPr>
            </w:r>
            <w:r>
              <w:rPr>
                <w:sz w:val="18"/>
              </w:rPr>
              <w:t>FR-001, FR-002, RULE-01</w:t>
            </w:r>
          </w:p>
        </w:tc>
        <w:tc>
          <w:tcPr>
            <w:tcW w:type="dxa" w:w="2160"/>
          </w:tcPr>
          <w:p>
            <w:r>
              <w:rPr>
                <w:sz w:val="18"/>
              </w:rPr>
            </w:r>
            <w:r>
              <w:rPr>
                <w:sz w:val="18"/>
              </w:rPr>
              <w:t>Covered (see RV-01)</w:t>
            </w:r>
          </w:p>
        </w:tc>
      </w:tr>
      <w:tr>
        <w:tc>
          <w:tcPr>
            <w:tcW w:type="dxa" w:w="2160"/>
          </w:tcPr>
          <w:p>
            <w:r>
              <w:rPr>
                <w:sz w:val="18"/>
              </w:rPr>
            </w:r>
            <w:r>
              <w:rPr>
                <w:sz w:val="18"/>
              </w:rPr>
              <w:t>M-03</w:t>
            </w:r>
          </w:p>
        </w:tc>
        <w:tc>
          <w:tcPr>
            <w:tcW w:type="dxa" w:w="2160"/>
          </w:tcPr>
          <w:p>
            <w:r>
              <w:rPr>
                <w:sz w:val="18"/>
              </w:rPr>
            </w:r>
            <w:r>
              <w:rPr>
                <w:sz w:val="18"/>
              </w:rPr>
              <w:t>500 PKR per trip (example)</w:t>
            </w:r>
          </w:p>
        </w:tc>
        <w:tc>
          <w:tcPr>
            <w:tcW w:type="dxa" w:w="2160"/>
          </w:tcPr>
          <w:p>
            <w:r>
              <w:rPr>
                <w:sz w:val="18"/>
              </w:rPr>
            </w:r>
            <w:r>
              <w:rPr>
                <w:sz w:val="18"/>
              </w:rPr>
              <w:t>FR-007, RULE-02</w:t>
            </w:r>
          </w:p>
        </w:tc>
        <w:tc>
          <w:tcPr>
            <w:tcW w:type="dxa" w:w="2160"/>
          </w:tcPr>
          <w:p>
            <w:r>
              <w:rPr>
                <w:sz w:val="18"/>
              </w:rPr>
            </w:r>
            <w:r>
              <w:rPr>
                <w:sz w:val="18"/>
              </w:rPr>
              <w:t>Covered</w:t>
            </w:r>
          </w:p>
        </w:tc>
      </w:tr>
      <w:tr>
        <w:tc>
          <w:tcPr>
            <w:tcW w:type="dxa" w:w="2160"/>
          </w:tcPr>
          <w:p>
            <w:r>
              <w:rPr>
                <w:sz w:val="18"/>
              </w:rPr>
            </w:r>
            <w:r>
              <w:rPr>
                <w:sz w:val="18"/>
              </w:rPr>
              <w:t>M-04</w:t>
            </w:r>
          </w:p>
        </w:tc>
        <w:tc>
          <w:tcPr>
            <w:tcW w:type="dxa" w:w="2160"/>
          </w:tcPr>
          <w:p>
            <w:r>
              <w:rPr>
                <w:sz w:val="18"/>
              </w:rPr>
            </w:r>
            <w:r>
              <w:rPr>
                <w:sz w:val="18"/>
              </w:rPr>
              <w:t>Swipe when boarding or disembarking</w:t>
            </w:r>
          </w:p>
        </w:tc>
        <w:tc>
          <w:tcPr>
            <w:tcW w:type="dxa" w:w="2160"/>
          </w:tcPr>
          <w:p>
            <w:r>
              <w:rPr>
                <w:sz w:val="18"/>
              </w:rPr>
            </w:r>
            <w:r>
              <w:rPr>
                <w:sz w:val="18"/>
              </w:rPr>
              <w:t>FR-003, FR-006</w:t>
            </w:r>
          </w:p>
        </w:tc>
        <w:tc>
          <w:tcPr>
            <w:tcW w:type="dxa" w:w="2160"/>
          </w:tcPr>
          <w:p>
            <w:r>
              <w:rPr>
                <w:sz w:val="18"/>
              </w:rPr>
            </w:r>
            <w:r>
              <w:rPr>
                <w:sz w:val="18"/>
              </w:rPr>
              <w:t>Partially (see RV-03)</w:t>
            </w:r>
          </w:p>
        </w:tc>
      </w:tr>
      <w:tr>
        <w:tc>
          <w:tcPr>
            <w:tcW w:type="dxa" w:w="2160"/>
          </w:tcPr>
          <w:p>
            <w:r>
              <w:rPr>
                <w:sz w:val="18"/>
              </w:rPr>
            </w:r>
            <w:r>
              <w:rPr>
                <w:sz w:val="18"/>
              </w:rPr>
              <w:t>M-05</w:t>
            </w:r>
          </w:p>
        </w:tc>
        <w:tc>
          <w:tcPr>
            <w:tcW w:type="dxa" w:w="2160"/>
          </w:tcPr>
          <w:p>
            <w:r>
              <w:rPr>
                <w:sz w:val="18"/>
              </w:rPr>
            </w:r>
            <w:r>
              <w:rPr>
                <w:sz w:val="18"/>
              </w:rPr>
              <w:t>Deduction based on current fuel rates</w:t>
            </w:r>
          </w:p>
        </w:tc>
        <w:tc>
          <w:tcPr>
            <w:tcW w:type="dxa" w:w="2160"/>
          </w:tcPr>
          <w:p>
            <w:r>
              <w:rPr>
                <w:sz w:val="18"/>
              </w:rPr>
            </w:r>
            <w:r>
              <w:rPr>
                <w:sz w:val="18"/>
              </w:rPr>
              <w:t>FR-007, FR-008</w:t>
            </w:r>
          </w:p>
        </w:tc>
        <w:tc>
          <w:tcPr>
            <w:tcW w:type="dxa" w:w="2160"/>
          </w:tcPr>
          <w:p>
            <w:r>
              <w:rPr>
                <w:sz w:val="18"/>
              </w:rPr>
            </w:r>
            <w:r>
              <w:rPr>
                <w:sz w:val="18"/>
              </w:rPr>
              <w:t>Partially (see RV-05)</w:t>
            </w:r>
          </w:p>
        </w:tc>
      </w:tr>
      <w:tr>
        <w:tc>
          <w:tcPr>
            <w:tcW w:type="dxa" w:w="2160"/>
          </w:tcPr>
          <w:p>
            <w:r>
              <w:rPr>
                <w:sz w:val="18"/>
              </w:rPr>
            </w:r>
            <w:r>
              <w:rPr>
                <w:sz w:val="18"/>
              </w:rPr>
              <w:t>M-06</w:t>
            </w:r>
          </w:p>
        </w:tc>
        <w:tc>
          <w:tcPr>
            <w:tcW w:type="dxa" w:w="2160"/>
          </w:tcPr>
          <w:p>
            <w:r>
              <w:rPr>
                <w:sz w:val="18"/>
              </w:rPr>
            </w:r>
            <w:r>
              <w:rPr>
                <w:sz w:val="18"/>
              </w:rPr>
              <w:t>Unused portion paid with salary</w:t>
            </w:r>
          </w:p>
        </w:tc>
        <w:tc>
          <w:tcPr>
            <w:tcW w:type="dxa" w:w="2160"/>
          </w:tcPr>
          <w:p>
            <w:r>
              <w:rPr>
                <w:sz w:val="18"/>
              </w:rPr>
            </w:r>
            <w:r>
              <w:rPr>
                <w:sz w:val="18"/>
              </w:rPr>
              <w:t>FR-010, FR-018</w:t>
            </w:r>
          </w:p>
        </w:tc>
        <w:tc>
          <w:tcPr>
            <w:tcW w:type="dxa" w:w="2160"/>
          </w:tcPr>
          <w:p>
            <w:r>
              <w:rPr>
                <w:sz w:val="18"/>
              </w:rPr>
            </w:r>
            <w:r>
              <w:rPr>
                <w:sz w:val="18"/>
              </w:rPr>
              <w:t>Partially (see RV-01, RV-09)</w:t>
            </w:r>
          </w:p>
        </w:tc>
      </w:tr>
      <w:tr>
        <w:tc>
          <w:tcPr>
            <w:tcW w:type="dxa" w:w="2160"/>
          </w:tcPr>
          <w:p>
            <w:r>
              <w:rPr>
                <w:sz w:val="18"/>
              </w:rPr>
            </w:r>
            <w:r>
              <w:rPr>
                <w:sz w:val="18"/>
              </w:rPr>
              <w:t>M-07</w:t>
            </w:r>
          </w:p>
        </w:tc>
        <w:tc>
          <w:tcPr>
            <w:tcW w:type="dxa" w:w="2160"/>
          </w:tcPr>
          <w:p>
            <w:r>
              <w:rPr>
                <w:sz w:val="18"/>
              </w:rPr>
            </w:r>
            <w:r>
              <w:rPr>
                <w:sz w:val="18"/>
              </w:rPr>
              <w:t>Frontend for HR/Finance for formulas and fuel prices</w:t>
            </w:r>
          </w:p>
        </w:tc>
        <w:tc>
          <w:tcPr>
            <w:tcW w:type="dxa" w:w="2160"/>
          </w:tcPr>
          <w:p>
            <w:r>
              <w:rPr>
                <w:sz w:val="18"/>
              </w:rPr>
            </w:r>
            <w:r>
              <w:rPr>
                <w:sz w:val="18"/>
              </w:rPr>
              <w:t>FR-008, FR-009</w:t>
            </w:r>
          </w:p>
        </w:tc>
        <w:tc>
          <w:tcPr>
            <w:tcW w:type="dxa" w:w="2160"/>
          </w:tcPr>
          <w:p>
            <w:r>
              <w:rPr>
                <w:sz w:val="18"/>
              </w:rPr>
            </w:r>
            <w:r>
              <w:rPr>
                <w:sz w:val="18"/>
              </w:rPr>
              <w:t>Partially (see RV-08)</w:t>
            </w:r>
          </w:p>
        </w:tc>
      </w:tr>
      <w:tr>
        <w:tc>
          <w:tcPr>
            <w:tcW w:type="dxa" w:w="2160"/>
          </w:tcPr>
          <w:p>
            <w:r>
              <w:rPr>
                <w:sz w:val="18"/>
              </w:rPr>
            </w:r>
            <w:r>
              <w:rPr>
                <w:sz w:val="18"/>
              </w:rPr>
              <w:t>M-08</w:t>
            </w:r>
          </w:p>
        </w:tc>
        <w:tc>
          <w:tcPr>
            <w:tcW w:type="dxa" w:w="2160"/>
          </w:tcPr>
          <w:p>
            <w:r>
              <w:rPr>
                <w:sz w:val="18"/>
              </w:rPr>
            </w:r>
            <w:r>
              <w:rPr>
                <w:sz w:val="18"/>
              </w:rPr>
              <w:t>Concern: avoiding swipes to keep cash</w:t>
            </w:r>
          </w:p>
        </w:tc>
        <w:tc>
          <w:tcPr>
            <w:tcW w:type="dxa" w:w="2160"/>
          </w:tcPr>
          <w:p>
            <w:r>
              <w:rPr>
                <w:sz w:val="18"/>
              </w:rPr>
            </w:r>
            <w:r>
              <w:rPr>
                <w:sz w:val="18"/>
              </w:rPr>
              <w:t>BR-04, FR-014</w:t>
            </w:r>
          </w:p>
        </w:tc>
        <w:tc>
          <w:tcPr>
            <w:tcW w:type="dxa" w:w="2160"/>
          </w:tcPr>
          <w:p>
            <w:r>
              <w:rPr>
                <w:sz w:val="18"/>
              </w:rPr>
            </w:r>
            <w:r>
              <w:rPr>
                <w:sz w:val="18"/>
              </w:rPr>
              <w:t>Partially (see RV-02, RV-07)</w:t>
            </w:r>
          </w:p>
        </w:tc>
      </w:tr>
      <w:tr>
        <w:tc>
          <w:tcPr>
            <w:tcW w:type="dxa" w:w="2160"/>
          </w:tcPr>
          <w:p>
            <w:r>
              <w:rPr>
                <w:sz w:val="18"/>
              </w:rPr>
            </w:r>
            <w:r>
              <w:rPr>
                <w:sz w:val="18"/>
              </w:rPr>
              <w:t>M-09</w:t>
            </w:r>
          </w:p>
        </w:tc>
        <w:tc>
          <w:tcPr>
            <w:tcW w:type="dxa" w:w="2160"/>
          </w:tcPr>
          <w:p>
            <w:r>
              <w:rPr>
                <w:sz w:val="18"/>
              </w:rPr>
            </w:r>
            <w:r>
              <w:rPr>
                <w:sz w:val="18"/>
              </w:rPr>
              <w:t>Readers at KDC and the hospital</w:t>
            </w:r>
          </w:p>
        </w:tc>
        <w:tc>
          <w:tcPr>
            <w:tcW w:type="dxa" w:w="2160"/>
          </w:tcPr>
          <w:p>
            <w:r>
              <w:rPr>
                <w:sz w:val="18"/>
              </w:rPr>
            </w:r>
            <w:r>
              <w:rPr>
                <w:sz w:val="18"/>
              </w:rPr>
              <w:t>FR-005</w:t>
            </w:r>
          </w:p>
        </w:tc>
        <w:tc>
          <w:tcPr>
            <w:tcW w:type="dxa" w:w="2160"/>
          </w:tcPr>
          <w:p>
            <w:r>
              <w:rPr>
                <w:sz w:val="18"/>
              </w:rPr>
            </w:r>
            <w:r>
              <w:rPr>
                <w:sz w:val="18"/>
              </w:rPr>
              <w:t>Covered</w:t>
            </w:r>
          </w:p>
        </w:tc>
      </w:tr>
      <w:tr>
        <w:tc>
          <w:tcPr>
            <w:tcW w:type="dxa" w:w="2160"/>
          </w:tcPr>
          <w:p>
            <w:r>
              <w:rPr>
                <w:sz w:val="18"/>
              </w:rPr>
            </w:r>
            <w:r>
              <w:rPr>
                <w:sz w:val="18"/>
              </w:rPr>
              <w:t>M-10</w:t>
            </w:r>
          </w:p>
        </w:tc>
        <w:tc>
          <w:tcPr>
            <w:tcW w:type="dxa" w:w="2160"/>
          </w:tcPr>
          <w:p>
            <w:r>
              <w:rPr>
                <w:sz w:val="18"/>
              </w:rPr>
            </w:r>
            <w:r>
              <w:rPr>
                <w:sz w:val="18"/>
              </w:rPr>
              <w:t>Manual adjustment portal for honest mistakes</w:t>
            </w:r>
          </w:p>
        </w:tc>
        <w:tc>
          <w:tcPr>
            <w:tcW w:type="dxa" w:w="2160"/>
          </w:tcPr>
          <w:p>
            <w:r>
              <w:rPr>
                <w:sz w:val="18"/>
              </w:rPr>
            </w:r>
            <w:r>
              <w:rPr>
                <w:sz w:val="18"/>
              </w:rPr>
              <w:t>FR-011, FR-013</w:t>
            </w:r>
          </w:p>
        </w:tc>
        <w:tc>
          <w:tcPr>
            <w:tcW w:type="dxa" w:w="2160"/>
          </w:tcPr>
          <w:p>
            <w:r>
              <w:rPr>
                <w:sz w:val="18"/>
              </w:rPr>
            </w:r>
            <w:r>
              <w:rPr>
                <w:sz w:val="18"/>
              </w:rPr>
              <w:t>Covered</w:t>
            </w:r>
          </w:p>
        </w:tc>
      </w:tr>
      <w:tr>
        <w:tc>
          <w:tcPr>
            <w:tcW w:type="dxa" w:w="2160"/>
          </w:tcPr>
          <w:p>
            <w:r>
              <w:rPr>
                <w:sz w:val="18"/>
              </w:rPr>
            </w:r>
            <w:r>
              <w:rPr>
                <w:sz w:val="18"/>
              </w:rPr>
              <w:t>M-11</w:t>
            </w:r>
          </w:p>
        </w:tc>
        <w:tc>
          <w:tcPr>
            <w:tcW w:type="dxa" w:w="2160"/>
          </w:tcPr>
          <w:p>
            <w:r>
              <w:rPr>
                <w:sz w:val="18"/>
              </w:rPr>
            </w:r>
            <w:r>
              <w:rPr>
                <w:sz w:val="18"/>
              </w:rPr>
              <w:t>Approval by supervisors or transport coordinator</w:t>
            </w:r>
          </w:p>
        </w:tc>
        <w:tc>
          <w:tcPr>
            <w:tcW w:type="dxa" w:w="2160"/>
          </w:tcPr>
          <w:p>
            <w:r>
              <w:rPr>
                <w:sz w:val="18"/>
              </w:rPr>
            </w:r>
            <w:r>
              <w:rPr>
                <w:sz w:val="18"/>
              </w:rPr>
              <w:t>FR-012</w:t>
            </w:r>
          </w:p>
        </w:tc>
        <w:tc>
          <w:tcPr>
            <w:tcW w:type="dxa" w:w="2160"/>
          </w:tcPr>
          <w:p>
            <w:r>
              <w:rPr>
                <w:sz w:val="18"/>
              </w:rPr>
            </w:r>
            <w:r>
              <w:rPr>
                <w:sz w:val="18"/>
              </w:rPr>
              <w:t>Covered (Q-11 open)</w:t>
            </w:r>
          </w:p>
        </w:tc>
      </w:tr>
      <w:tr>
        <w:tc>
          <w:tcPr>
            <w:tcW w:type="dxa" w:w="2160"/>
          </w:tcPr>
          <w:p>
            <w:r>
              <w:rPr>
                <w:sz w:val="18"/>
              </w:rPr>
            </w:r>
            <w:r>
              <w:rPr>
                <w:sz w:val="18"/>
              </w:rPr>
              <w:t>M-12</w:t>
            </w:r>
          </w:p>
        </w:tc>
        <w:tc>
          <w:tcPr>
            <w:tcW w:type="dxa" w:w="2160"/>
          </w:tcPr>
          <w:p>
            <w:r>
              <w:rPr>
                <w:sz w:val="18"/>
              </w:rPr>
            </w:r>
            <w:r>
              <w:rPr>
                <w:sz w:val="18"/>
              </w:rPr>
              <w:t>RFID via the existing employee ID card</w:t>
            </w:r>
          </w:p>
        </w:tc>
        <w:tc>
          <w:tcPr>
            <w:tcW w:type="dxa" w:w="2160"/>
          </w:tcPr>
          <w:p>
            <w:r>
              <w:rPr>
                <w:sz w:val="18"/>
              </w:rPr>
            </w:r>
            <w:r>
              <w:rPr>
                <w:sz w:val="18"/>
              </w:rPr>
              <w:t>FR-004, NFR-INT-01</w:t>
            </w:r>
          </w:p>
        </w:tc>
        <w:tc>
          <w:tcPr>
            <w:tcW w:type="dxa" w:w="2160"/>
          </w:tcPr>
          <w:p>
            <w:r>
              <w:rPr>
                <w:sz w:val="18"/>
              </w:rPr>
            </w:r>
            <w:r>
              <w:rPr>
                <w:sz w:val="18"/>
              </w:rPr>
              <w:t>Covered</w:t>
            </w:r>
          </w:p>
        </w:tc>
      </w:tr>
      <w:tr>
        <w:tc>
          <w:tcPr>
            <w:tcW w:type="dxa" w:w="2160"/>
          </w:tcPr>
          <w:p>
            <w:r>
              <w:rPr>
                <w:sz w:val="18"/>
              </w:rPr>
            </w:r>
            <w:r>
              <w:rPr>
                <w:sz w:val="18"/>
              </w:rPr>
              <w:t>M-13</w:t>
            </w:r>
          </w:p>
        </w:tc>
        <w:tc>
          <w:tcPr>
            <w:tcW w:type="dxa" w:w="2160"/>
          </w:tcPr>
          <w:p>
            <w:r>
              <w:rPr>
                <w:sz w:val="18"/>
              </w:rPr>
            </w:r>
            <w:r>
              <w:rPr>
                <w:sz w:val="18"/>
              </w:rPr>
              <w:t>Dashboard notification on every swipe</w:t>
            </w:r>
          </w:p>
        </w:tc>
        <w:tc>
          <w:tcPr>
            <w:tcW w:type="dxa" w:w="2160"/>
          </w:tcPr>
          <w:p>
            <w:r>
              <w:rPr>
                <w:sz w:val="18"/>
              </w:rPr>
            </w:r>
            <w:r>
              <w:rPr>
                <w:sz w:val="18"/>
              </w:rPr>
              <w:t>FR-015</w:t>
            </w:r>
          </w:p>
        </w:tc>
        <w:tc>
          <w:tcPr>
            <w:tcW w:type="dxa" w:w="2160"/>
          </w:tcPr>
          <w:p>
            <w:r>
              <w:rPr>
                <w:sz w:val="18"/>
              </w:rPr>
            </w:r>
            <w:r>
              <w:rPr>
                <w:sz w:val="18"/>
              </w:rPr>
              <w:t>Covered</w:t>
            </w:r>
          </w:p>
        </w:tc>
      </w:tr>
      <w:tr>
        <w:tc>
          <w:tcPr>
            <w:tcW w:type="dxa" w:w="2160"/>
          </w:tcPr>
          <w:p>
            <w:r>
              <w:rPr>
                <w:sz w:val="18"/>
              </w:rPr>
            </w:r>
            <w:r>
              <w:rPr>
                <w:sz w:val="18"/>
              </w:rPr>
              <w:t>M-14</w:t>
            </w:r>
          </w:p>
        </w:tc>
        <w:tc>
          <w:tcPr>
            <w:tcW w:type="dxa" w:w="2160"/>
          </w:tcPr>
          <w:p>
            <w:r>
              <w:rPr>
                <w:sz w:val="18"/>
              </w:rPr>
            </w:r>
            <w:r>
              <w:rPr>
                <w:sz w:val="18"/>
              </w:rPr>
              <w:t>Transparency and transaction trail for HR/Finance</w:t>
            </w:r>
          </w:p>
        </w:tc>
        <w:tc>
          <w:tcPr>
            <w:tcW w:type="dxa" w:w="2160"/>
          </w:tcPr>
          <w:p>
            <w:r>
              <w:rPr>
                <w:sz w:val="18"/>
              </w:rPr>
            </w:r>
            <w:r>
              <w:rPr>
                <w:sz w:val="18"/>
              </w:rPr>
              <w:t>FR-016, FR-017</w:t>
            </w:r>
          </w:p>
        </w:tc>
        <w:tc>
          <w:tcPr>
            <w:tcW w:type="dxa" w:w="2160"/>
          </w:tcPr>
          <w:p>
            <w:r>
              <w:rPr>
                <w:sz w:val="18"/>
              </w:rPr>
            </w:r>
            <w:r>
              <w:rPr>
                <w:sz w:val="18"/>
              </w:rPr>
              <w:t>Covered</w:t>
            </w:r>
          </w:p>
        </w:tc>
      </w:tr>
      <w:tr>
        <w:tc>
          <w:tcPr>
            <w:tcW w:type="dxa" w:w="2160"/>
          </w:tcPr>
          <w:p>
            <w:r>
              <w:rPr>
                <w:sz w:val="18"/>
              </w:rPr>
            </w:r>
            <w:r>
              <w:rPr>
                <w:sz w:val="18"/>
              </w:rPr>
              <w:t>M-15</w:t>
            </w:r>
          </w:p>
        </w:tc>
        <w:tc>
          <w:tcPr>
            <w:tcW w:type="dxa" w:w="2160"/>
          </w:tcPr>
          <w:p>
            <w:r>
              <w:rPr>
                <w:sz w:val="18"/>
              </w:rPr>
            </w:r>
            <w:r>
              <w:rPr>
                <w:sz w:val="18"/>
              </w:rPr>
              <w:t>Operational by the first week of November</w:t>
            </w:r>
          </w:p>
        </w:tc>
        <w:tc>
          <w:tcPr>
            <w:tcW w:type="dxa" w:w="2160"/>
          </w:tcPr>
          <w:p>
            <w:r>
              <w:rPr>
                <w:sz w:val="18"/>
              </w:rPr>
            </w:r>
            <w:r>
              <w:rPr>
                <w:sz w:val="18"/>
              </w:rPr>
              <w:t>§9.2</w:t>
            </w:r>
          </w:p>
        </w:tc>
        <w:tc>
          <w:tcPr>
            <w:tcW w:type="dxa" w:w="2160"/>
          </w:tcPr>
          <w:p>
            <w:r>
              <w:rPr>
                <w:sz w:val="18"/>
              </w:rPr>
            </w:r>
            <w:r>
              <w:rPr>
                <w:sz w:val="18"/>
              </w:rPr>
              <w:t>Covered (see RV-04)</w:t>
            </w:r>
          </w:p>
        </w:tc>
      </w:tr>
      <w:tr>
        <w:tc>
          <w:tcPr>
            <w:tcW w:type="dxa" w:w="2160"/>
          </w:tcPr>
          <w:p>
            <w:r>
              <w:rPr>
                <w:sz w:val="18"/>
              </w:rPr>
            </w:r>
            <w:r>
              <w:rPr>
                <w:sz w:val="18"/>
              </w:rPr>
              <w:t>M-16</w:t>
            </w:r>
          </w:p>
        </w:tc>
        <w:tc>
          <w:tcPr>
            <w:tcW w:type="dxa" w:w="2160"/>
          </w:tcPr>
          <w:p>
            <w:r>
              <w:rPr>
                <w:sz w:val="18"/>
              </w:rPr>
            </w:r>
            <w:r>
              <w:rPr>
                <w:sz w:val="18"/>
              </w:rPr>
              <w:t>Testable build by end of October</w:t>
            </w:r>
          </w:p>
        </w:tc>
        <w:tc>
          <w:tcPr>
            <w:tcW w:type="dxa" w:w="2160"/>
          </w:tcPr>
          <w:p>
            <w:r>
              <w:rPr>
                <w:sz w:val="18"/>
              </w:rPr>
            </w:r>
            <w:r>
              <w:rPr>
                <w:sz w:val="18"/>
              </w:rPr>
              <w:t>§9.2, §8.4</w:t>
            </w:r>
          </w:p>
        </w:tc>
        <w:tc>
          <w:tcPr>
            <w:tcW w:type="dxa" w:w="2160"/>
          </w:tcPr>
          <w:p>
            <w:r>
              <w:rPr>
                <w:sz w:val="18"/>
              </w:rPr>
            </w:r>
            <w:r>
              <w:rPr>
                <w:sz w:val="18"/>
              </w:rPr>
              <w:t>Covered</w:t>
            </w:r>
          </w:p>
        </w:tc>
      </w:tr>
      <w:tr>
        <w:tc>
          <w:tcPr>
            <w:tcW w:type="dxa" w:w="2160"/>
          </w:tcPr>
          <w:p>
            <w:r>
              <w:rPr>
                <w:sz w:val="18"/>
              </w:rPr>
            </w:r>
            <w:r>
              <w:rPr>
                <w:sz w:val="18"/>
              </w:rPr>
              <w:t>M-17</w:t>
            </w:r>
          </w:p>
        </w:tc>
        <w:tc>
          <w:tcPr>
            <w:tcW w:type="dxa" w:w="2160"/>
          </w:tcPr>
          <w:p>
            <w:r>
              <w:rPr>
                <w:sz w:val="18"/>
              </w:rPr>
            </w:r>
            <w:r>
              <w:rPr>
                <w:sz w:val="18"/>
              </w:rPr>
              <w:t>System design sketch</w:t>
            </w:r>
          </w:p>
        </w:tc>
        <w:tc>
          <w:tcPr>
            <w:tcW w:type="dxa" w:w="2160"/>
          </w:tcPr>
          <w:p>
            <w:r>
              <w:rPr>
                <w:sz w:val="18"/>
              </w:rPr>
            </w:r>
            <w:r>
              <w:rPr>
                <w:sz w:val="18"/>
              </w:rPr>
              <w:t>§9.2</w:t>
            </w:r>
          </w:p>
        </w:tc>
        <w:tc>
          <w:tcPr>
            <w:tcW w:type="dxa" w:w="2160"/>
          </w:tcPr>
          <w:p>
            <w:r>
              <w:rPr>
                <w:sz w:val="18"/>
              </w:rPr>
            </w:r>
            <w:r>
              <w:rPr>
                <w:sz w:val="18"/>
              </w:rPr>
              <w:t>Covered</w:t>
            </w:r>
          </w:p>
        </w:tc>
      </w:tr>
      <w:tr>
        <w:tc>
          <w:tcPr>
            <w:tcW w:type="dxa" w:w="2160"/>
          </w:tcPr>
          <w:p>
            <w:r>
              <w:rPr>
                <w:sz w:val="18"/>
              </w:rPr>
            </w:r>
            <w:r>
              <w:rPr>
                <w:sz w:val="18"/>
              </w:rPr>
              <w:t>M-18</w:t>
            </w:r>
          </w:p>
        </w:tc>
        <w:tc>
          <w:tcPr>
            <w:tcW w:type="dxa" w:w="2160"/>
          </w:tcPr>
          <w:p>
            <w:r>
              <w:rPr>
                <w:sz w:val="18"/>
              </w:rPr>
            </w:r>
            <w:r>
              <w:rPr>
                <w:sz w:val="18"/>
              </w:rPr>
              <w:t>Align formula with Finance</w:t>
            </w:r>
          </w:p>
        </w:tc>
        <w:tc>
          <w:tcPr>
            <w:tcW w:type="dxa" w:w="2160"/>
          </w:tcPr>
          <w:p>
            <w:r>
              <w:rPr>
                <w:sz w:val="18"/>
              </w:rPr>
            </w:r>
            <w:r>
              <w:rPr>
                <w:sz w:val="18"/>
              </w:rPr>
              <w:t>FR-009, Q-05</w:t>
            </w:r>
          </w:p>
        </w:tc>
        <w:tc>
          <w:tcPr>
            <w:tcW w:type="dxa" w:w="2160"/>
          </w:tcPr>
          <w:p>
            <w:r>
              <w:rPr>
                <w:sz w:val="18"/>
              </w:rPr>
            </w:r>
            <w:r>
              <w:rPr>
                <w:sz w:val="18"/>
              </w:rPr>
              <w:t>Covered</w:t>
            </w:r>
          </w:p>
        </w:tc>
      </w:tr>
      <w:tr>
        <w:tc>
          <w:tcPr>
            <w:tcW w:type="dxa" w:w="2160"/>
          </w:tcPr>
          <w:p>
            <w:r>
              <w:rPr>
                <w:sz w:val="18"/>
              </w:rPr>
            </w:r>
            <w:r>
              <w:rPr>
                <w:sz w:val="18"/>
              </w:rPr>
              <w:t>M-19</w:t>
            </w:r>
          </w:p>
        </w:tc>
        <w:tc>
          <w:tcPr>
            <w:tcW w:type="dxa" w:w="2160"/>
          </w:tcPr>
          <w:p>
            <w:r>
              <w:rPr>
                <w:sz w:val="18"/>
              </w:rPr>
            </w:r>
            <w:r>
              <w:rPr>
                <w:sz w:val="18"/>
              </w:rPr>
              <w:t>Management approval of layout before development</w:t>
            </w:r>
          </w:p>
        </w:tc>
        <w:tc>
          <w:tcPr>
            <w:tcW w:type="dxa" w:w="2160"/>
          </w:tcPr>
          <w:p>
            <w:r>
              <w:rPr>
                <w:sz w:val="18"/>
              </w:rPr>
            </w:r>
            <w:r>
              <w:rPr>
                <w:sz w:val="18"/>
              </w:rPr>
              <w:t>§9.2</w:t>
            </w:r>
          </w:p>
        </w:tc>
        <w:tc>
          <w:tcPr>
            <w:tcW w:type="dxa" w:w="2160"/>
          </w:tcPr>
          <w:p>
            <w:r>
              <w:rPr>
                <w:sz w:val="18"/>
              </w:rPr>
            </w:r>
            <w:r>
              <w:rPr>
                <w:sz w:val="18"/>
              </w:rPr>
              <w:t>Covered</w:t>
            </w:r>
          </w:p>
        </w:tc>
      </w:tr>
    </w:tbl>
    <w:p>
      <w:pPr/>
    </w:p>
    <w:p>
      <w:pPr>
        <w:pStyle w:val="Heading1"/>
      </w:pPr>
      <w:r>
        <w:t>4. Impact analysis verification</w:t>
      </w:r>
    </w:p>
    <w:p>
      <w:pPr>
        <w:pStyle w:val="Heading2"/>
      </w:pPr>
      <w:r>
        <w:t>4.1 Confirmed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Verified against</w:t>
            </w:r>
          </w:p>
        </w:tc>
        <w:tc>
          <w:tcPr>
            <w:tcW w:type="dxa" w:w="2160"/>
            <w:shd w:val="clear" w:color="auto" w:fill="D9E2F3"/>
          </w:tcPr>
          <w:p>
            <w:r>
              <w:rPr>
                <w:b/>
                <w:sz w:val="18"/>
              </w:rPr>
            </w:r>
            <w:r>
              <w:rPr>
                <w:b/>
                <w:sz w:val="18"/>
              </w:rPr>
              <w:t>Result</w:t>
            </w:r>
          </w:p>
        </w:tc>
      </w:tr>
      <w:tr>
        <w:tc>
          <w:tcPr>
            <w:tcW w:type="dxa" w:w="2160"/>
          </w:tcPr>
          <w:p>
            <w:r>
              <w:rPr>
                <w:sz w:val="18"/>
              </w:rPr>
            </w:r>
            <w:r>
              <w:rPr>
                <w:sz w:val="18"/>
              </w:rPr>
              <w:t>None</w:t>
            </w:r>
          </w:p>
        </w:tc>
        <w:tc>
          <w:tcPr>
            <w:tcW w:type="dxa" w:w="2160"/>
          </w:tcPr>
          <w:p>
            <w:r>
              <w:rPr>
                <w:sz w:val="18"/>
              </w:rPr>
            </w:r>
            <w:r>
              <w:rPr>
                <w:sz w:val="18"/>
              </w:rPr>
              <w:t>None</w:t>
            </w:r>
          </w:p>
        </w:tc>
        <w:tc>
          <w:tcPr>
            <w:tcW w:type="dxa" w:w="2160"/>
          </w:tcPr>
          <w:p>
            <w:r>
              <w:rPr>
                <w:sz w:val="18"/>
              </w:rPr>
            </w:r>
            <w:r>
              <w:rPr>
                <w:sz w:val="18"/>
              </w:rPr>
              <w:t>No schema snapshot available</w:t>
            </w:r>
          </w:p>
        </w:tc>
        <w:tc>
          <w:tcPr>
            <w:tcW w:type="dxa" w:w="2160"/>
          </w:tcPr>
          <w:p>
            <w:r>
              <w:rPr>
                <w:sz w:val="18"/>
              </w:rPr>
            </w:r>
            <w:r>
              <w:rPr>
                <w:sz w:val="18"/>
              </w:rPr>
              <w:t>Nothing can be confirmed</w:t>
            </w:r>
          </w:p>
        </w:tc>
      </w:tr>
    </w:tbl>
    <w:p>
      <w:pPr/>
    </w:p>
    <w:p>
      <w:pPr>
        <w:pStyle w:val="Heading2"/>
      </w:pPr>
      <w:r>
        <w:t>4.2 Missed dependencies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Object</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References (table/column)</w:t>
            </w:r>
          </w:p>
        </w:tc>
        <w:tc>
          <w:tcPr>
            <w:tcW w:type="dxa" w:w="1440"/>
            <w:shd w:val="clear" w:color="auto" w:fill="D9E2F3"/>
          </w:tcPr>
          <w:p>
            <w:r>
              <w:rPr>
                <w:b/>
                <w:sz w:val="18"/>
              </w:rPr>
            </w:r>
            <w:r>
              <w:rPr>
                <w:b/>
                <w:sz w:val="18"/>
              </w:rPr>
              <w:t>Evidence</w:t>
            </w:r>
          </w:p>
        </w:tc>
        <w:tc>
          <w:tcPr>
            <w:tcW w:type="dxa" w:w="1440"/>
            <w:shd w:val="clear" w:color="auto" w:fill="D9E2F3"/>
          </w:tcPr>
          <w:p>
            <w:r>
              <w:rPr>
                <w:b/>
                <w:sz w:val="18"/>
              </w:rPr>
            </w:r>
            <w:r>
              <w:rPr>
                <w:b/>
                <w:sz w:val="18"/>
              </w:rPr>
              <w:t>Related FR</w:t>
            </w:r>
          </w:p>
        </w:tc>
        <w:tc>
          <w:tcPr>
            <w:tcW w:type="dxa" w:w="1440"/>
            <w:shd w:val="clear" w:color="auto" w:fill="D9E2F3"/>
          </w:tcPr>
          <w:p>
            <w:r>
              <w:rPr>
                <w:b/>
                <w:sz w:val="18"/>
              </w:rPr>
            </w:r>
            <w:r>
              <w:rPr>
                <w:b/>
                <w:sz w:val="18"/>
              </w:rPr>
              <w:t>Suggested impact entry</w:t>
            </w:r>
          </w:p>
        </w:tc>
      </w:tr>
      <w:tr>
        <w:tc>
          <w:tcPr>
            <w:tcW w:type="dxa" w:w="1440"/>
          </w:tcPr>
          <w:p>
            <w:r>
              <w:rPr>
                <w:sz w:val="18"/>
              </w:rPr>
            </w:r>
            <w:r>
              <w:rPr>
                <w:sz w:val="18"/>
              </w:rPr>
              <w:t>Final settlement / exit process</w:t>
            </w:r>
          </w:p>
        </w:tc>
        <w:tc>
          <w:tcPr>
            <w:tcW w:type="dxa" w:w="1440"/>
          </w:tcPr>
          <w:p>
            <w:r>
              <w:rPr>
                <w:sz w:val="18"/>
              </w:rPr>
            </w:r>
            <w:r>
              <w:rPr>
                <w:sz w:val="18"/>
              </w:rPr>
              <w:t>Payroll process</w:t>
            </w:r>
          </w:p>
        </w:tc>
        <w:tc>
          <w:tcPr>
            <w:tcW w:type="dxa" w:w="1440"/>
          </w:tcPr>
          <w:p>
            <w:r>
              <w:rPr>
                <w:sz w:val="18"/>
              </w:rPr>
            </w:r>
            <w:r>
              <w:rPr>
                <w:sz w:val="18"/>
              </w:rPr>
              <w:t>Transport payout for leavers</w:t>
            </w:r>
          </w:p>
        </w:tc>
        <w:tc>
          <w:tcPr>
            <w:tcW w:type="dxa" w:w="1440"/>
          </w:tcPr>
          <w:p>
            <w:r>
              <w:rPr>
                <w:sz w:val="18"/>
              </w:rPr>
            </w:r>
            <w:r>
              <w:rPr>
                <w:sz w:val="18"/>
              </w:rPr>
              <w:t>Domain knowledge; not in the MoM</w:t>
            </w:r>
          </w:p>
        </w:tc>
        <w:tc>
          <w:tcPr>
            <w:tcW w:type="dxa" w:w="1440"/>
          </w:tcPr>
          <w:p>
            <w:r>
              <w:rPr>
                <w:sz w:val="18"/>
              </w:rPr>
            </w:r>
            <w:r>
              <w:rPr>
                <w:sz w:val="18"/>
              </w:rPr>
              <w:t>FR-010, Q-04</w:t>
            </w:r>
          </w:p>
        </w:tc>
        <w:tc>
          <w:tcPr>
            <w:tcW w:type="dxa" w:w="1440"/>
          </w:tcPr>
          <w:p>
            <w:r>
              <w:rPr>
                <w:sz w:val="18"/>
              </w:rPr>
            </w:r>
            <w:r>
              <w:rPr>
                <w:sz w:val="18"/>
              </w:rPr>
              <w:t>Add an impact item: the transport balance is included in final settlement</w:t>
            </w:r>
          </w:p>
        </w:tc>
      </w:tr>
      <w:tr>
        <w:tc>
          <w:tcPr>
            <w:tcW w:type="dxa" w:w="1440"/>
          </w:tcPr>
          <w:p>
            <w:r>
              <w:rPr>
                <w:sz w:val="18"/>
              </w:rPr>
            </w:r>
            <w:r>
              <w:rPr>
                <w:sz w:val="18"/>
              </w:rPr>
              <w:t>Shift roster / duty schedule</w:t>
            </w:r>
          </w:p>
        </w:tc>
        <w:tc>
          <w:tcPr>
            <w:tcW w:type="dxa" w:w="1440"/>
          </w:tcPr>
          <w:p>
            <w:r>
              <w:rPr>
                <w:sz w:val="18"/>
              </w:rPr>
            </w:r>
            <w:r>
              <w:rPr>
                <w:sz w:val="18"/>
              </w:rPr>
              <w:t>Application</w:t>
            </w:r>
          </w:p>
        </w:tc>
        <w:tc>
          <w:tcPr>
            <w:tcW w:type="dxa" w:w="1440"/>
          </w:tcPr>
          <w:p>
            <w:r>
              <w:rPr>
                <w:sz w:val="18"/>
              </w:rPr>
            </w:r>
            <w:r>
              <w:rPr>
                <w:sz w:val="18"/>
              </w:rPr>
              <w:t>Shift times per employee</w:t>
            </w:r>
          </w:p>
        </w:tc>
        <w:tc>
          <w:tcPr>
            <w:tcW w:type="dxa" w:w="1440"/>
          </w:tcPr>
          <w:p>
            <w:r>
              <w:rPr>
                <w:sz w:val="18"/>
              </w:rPr>
            </w:r>
            <w:r>
              <w:rPr>
                <w:sz w:val="18"/>
              </w:rPr>
              <w:t>Needed for RV-06 and FR-014</w:t>
            </w:r>
          </w:p>
        </w:tc>
        <w:tc>
          <w:tcPr>
            <w:tcW w:type="dxa" w:w="1440"/>
          </w:tcPr>
          <w:p>
            <w:r>
              <w:rPr>
                <w:sz w:val="18"/>
              </w:rPr>
            </w:r>
            <w:r>
              <w:rPr>
                <w:sz w:val="18"/>
              </w:rPr>
              <w:t>FR-014</w:t>
            </w:r>
          </w:p>
        </w:tc>
        <w:tc>
          <w:tcPr>
            <w:tcW w:type="dxa" w:w="1440"/>
          </w:tcPr>
          <w:p>
            <w:r>
              <w:rPr>
                <w:sz w:val="18"/>
              </w:rPr>
            </w:r>
            <w:r>
              <w:rPr>
                <w:sz w:val="18"/>
              </w:rPr>
              <w:t>Add as a read-only dependency if a roster system exists</w:t>
            </w:r>
          </w:p>
        </w:tc>
      </w:tr>
      <w:tr>
        <w:tc>
          <w:tcPr>
            <w:tcW w:type="dxa" w:w="1440"/>
          </w:tcPr>
          <w:p>
            <w:r>
              <w:rPr>
                <w:sz w:val="18"/>
              </w:rPr>
            </w:r>
            <w:r>
              <w:rPr>
                <w:sz w:val="18"/>
              </w:rPr>
              <w:t>Card replacement process</w:t>
            </w:r>
          </w:p>
        </w:tc>
        <w:tc>
          <w:tcPr>
            <w:tcW w:type="dxa" w:w="1440"/>
          </w:tcPr>
          <w:p>
            <w:r>
              <w:rPr>
                <w:sz w:val="18"/>
              </w:rPr>
            </w:r>
            <w:r>
              <w:rPr>
                <w:sz w:val="18"/>
              </w:rPr>
              <w:t>Operational process</w:t>
            </w:r>
          </w:p>
        </w:tc>
        <w:tc>
          <w:tcPr>
            <w:tcW w:type="dxa" w:w="1440"/>
          </w:tcPr>
          <w:p>
            <w:r>
              <w:rPr>
                <w:sz w:val="18"/>
              </w:rPr>
            </w:r>
            <w:r>
              <w:rPr>
                <w:sz w:val="18"/>
              </w:rPr>
              <w:t>Card status</w:t>
            </w:r>
          </w:p>
        </w:tc>
        <w:tc>
          <w:tcPr>
            <w:tcW w:type="dxa" w:w="1440"/>
          </w:tcPr>
          <w:p>
            <w:r>
              <w:rPr>
                <w:sz w:val="18"/>
              </w:rPr>
            </w:r>
            <w:r>
              <w:rPr>
                <w:sz w:val="18"/>
              </w:rPr>
              <w:t>Lost cards cause missed swipes</w:t>
            </w:r>
          </w:p>
        </w:tc>
        <w:tc>
          <w:tcPr>
            <w:tcW w:type="dxa" w:w="1440"/>
          </w:tcPr>
          <w:p>
            <w:r>
              <w:rPr>
                <w:sz w:val="18"/>
              </w:rPr>
            </w:r>
            <w:r>
              <w:rPr>
                <w:sz w:val="18"/>
              </w:rPr>
              <w:t>FR-004, FR-011</w:t>
            </w:r>
          </w:p>
        </w:tc>
        <w:tc>
          <w:tcPr>
            <w:tcW w:type="dxa" w:w="1440"/>
          </w:tcPr>
          <w:p>
            <w:r>
              <w:rPr>
                <w:sz w:val="18"/>
              </w:rPr>
            </w:r>
            <w:r>
              <w:rPr>
                <w:sz w:val="18"/>
              </w:rPr>
              <w:t>Add a business impact item: link card-replacement delays to the adjustment policy</w:t>
            </w:r>
          </w:p>
        </w:tc>
      </w:tr>
    </w:tbl>
    <w:p>
      <w:pPr/>
    </w:p>
    <w:p>
      <w:pPr>
        <w:pStyle w:val="Heading2"/>
      </w:pPr>
      <w:r>
        <w:t>4.3 Incorrect or unverifiable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IMP-ID</w:t>
            </w:r>
          </w:p>
        </w:tc>
        <w:tc>
          <w:tcPr>
            <w:tcW w:type="dxa" w:w="2160"/>
            <w:shd w:val="clear" w:color="auto" w:fill="D9E2F3"/>
          </w:tcPr>
          <w:p>
            <w:r>
              <w:rPr>
                <w:b/>
                <w:sz w:val="18"/>
              </w:rPr>
            </w:r>
            <w:r>
              <w:rPr>
                <w:b/>
                <w:sz w:val="18"/>
              </w:rPr>
              <w:t>Object</w:t>
            </w:r>
          </w:p>
        </w:tc>
        <w:tc>
          <w:tcPr>
            <w:tcW w:type="dxa" w:w="2160"/>
            <w:shd w:val="clear" w:color="auto" w:fill="D9E2F3"/>
          </w:tcPr>
          <w:p>
            <w:r>
              <w:rPr>
                <w:b/>
                <w:sz w:val="18"/>
              </w:rPr>
            </w:r>
            <w:r>
              <w:rPr>
                <w:b/>
                <w:sz w:val="18"/>
              </w:rPr>
              <w:t>Problem</w:t>
            </w:r>
          </w:p>
        </w:tc>
        <w:tc>
          <w:tcPr>
            <w:tcW w:type="dxa" w:w="2160"/>
            <w:shd w:val="clear" w:color="auto" w:fill="D9E2F3"/>
          </w:tcPr>
          <w:p>
            <w:r>
              <w:rPr>
                <w:b/>
                <w:sz w:val="18"/>
              </w:rPr>
            </w:r>
            <w:r>
              <w:rPr>
                <w:b/>
                <w:sz w:val="18"/>
              </w:rPr>
              <w:t>Correction</w:t>
            </w:r>
          </w:p>
        </w:tc>
      </w:tr>
      <w:tr>
        <w:tc>
          <w:tcPr>
            <w:tcW w:type="dxa" w:w="2160"/>
          </w:tcPr>
          <w:p>
            <w:r>
              <w:rPr>
                <w:sz w:val="18"/>
              </w:rPr>
            </w:r>
            <w:r>
              <w:rPr>
                <w:sz w:val="18"/>
              </w:rPr>
              <w:t>IMP-08, IMP-09, IMP-10, IMP-11, IMP-15, IMP-16</w:t>
            </w:r>
          </w:p>
        </w:tc>
        <w:tc>
          <w:tcPr>
            <w:tcW w:type="dxa" w:w="2160"/>
          </w:tcPr>
          <w:p>
            <w:r>
              <w:rPr>
                <w:sz w:val="18"/>
              </w:rPr>
            </w:r>
            <w:r>
              <w:rPr>
                <w:sz w:val="18"/>
              </w:rPr>
              <w:t>Existing card, attendance, payroll, dashboard and employee objects</w:t>
            </w:r>
          </w:p>
        </w:tc>
        <w:tc>
          <w:tcPr>
            <w:tcW w:type="dxa" w:w="2160"/>
          </w:tcPr>
          <w:p>
            <w:r>
              <w:rPr>
                <w:sz w:val="18"/>
              </w:rPr>
            </w:r>
            <w:r>
              <w:rPr>
                <w:sz w:val="18"/>
              </w:rPr>
              <w:t>Not named and not verifiable</w:t>
            </w:r>
          </w:p>
        </w:tc>
        <w:tc>
          <w:tcPr>
            <w:tcW w:type="dxa" w:w="2160"/>
          </w:tcPr>
          <w:p>
            <w:r>
              <w:rPr>
                <w:sz w:val="18"/>
              </w:rPr>
            </w:r>
            <w:r>
              <w:rPr>
                <w:sz w:val="18"/>
              </w:rPr>
              <w:t>Name them after the schema is indexed and IS answers Q-09</w:t>
            </w:r>
          </w:p>
        </w:tc>
      </w:tr>
      <w:tr>
        <w:tc>
          <w:tcPr>
            <w:tcW w:type="dxa" w:w="2160"/>
          </w:tcPr>
          <w:p>
            <w:r>
              <w:rPr>
                <w:sz w:val="18"/>
              </w:rPr>
            </w:r>
            <w:r>
              <w:rPr>
                <w:sz w:val="18"/>
              </w:rPr>
              <w:t>IMP-17 to IMP-23</w:t>
            </w:r>
          </w:p>
        </w:tc>
        <w:tc>
          <w:tcPr>
            <w:tcW w:type="dxa" w:w="2160"/>
          </w:tcPr>
          <w:p>
            <w:r>
              <w:rPr>
                <w:sz w:val="18"/>
              </w:rPr>
            </w:r>
            <w:r>
              <w:rPr>
                <w:sz w:val="18"/>
              </w:rPr>
              <w:t>Proposed new tables</w:t>
            </w:r>
          </w:p>
        </w:tc>
        <w:tc>
          <w:tcPr>
            <w:tcW w:type="dxa" w:w="2160"/>
          </w:tcPr>
          <w:p>
            <w:r>
              <w:rPr>
                <w:sz w:val="18"/>
              </w:rPr>
            </w:r>
            <w:r>
              <w:rPr>
                <w:sz w:val="18"/>
              </w:rPr>
              <w:t>These follow the HRD standards (MST/TRN/HIS suffixes), but duplicates can't be ruled out without the schema</w:t>
            </w:r>
          </w:p>
        </w:tc>
        <w:tc>
          <w:tcPr>
            <w:tcW w:type="dxa" w:w="2160"/>
          </w:tcPr>
          <w:p>
            <w:r>
              <w:rPr>
                <w:sz w:val="18"/>
              </w:rPr>
            </w:r>
            <w:r>
              <w:rPr>
                <w:sz w:val="18"/>
              </w:rPr>
              <w:t>Check for any existing transport or allowance tables at design</w:t>
            </w:r>
          </w:p>
        </w:tc>
      </w:tr>
    </w:tbl>
    <w:p>
      <w:pPr/>
    </w:p>
    <w:p>
      <w:pPr>
        <w:pStyle w:val="Heading1"/>
      </w:pPr>
      <w:r>
        <w:t>5. NFR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Category</w:t>
            </w:r>
          </w:p>
        </w:tc>
        <w:tc>
          <w:tcPr>
            <w:tcW w:type="dxa" w:w="2160"/>
            <w:shd w:val="clear" w:color="auto" w:fill="D9E2F3"/>
          </w:tcPr>
          <w:p>
            <w:r>
              <w:rPr>
                <w:b/>
                <w:sz w:val="18"/>
              </w:rPr>
            </w:r>
            <w:r>
              <w:rPr>
                <w:b/>
                <w:sz w:val="18"/>
              </w:rPr>
              <w:t>Present in SRS</w:t>
            </w:r>
          </w:p>
        </w:tc>
        <w:tc>
          <w:tcPr>
            <w:tcW w:type="dxa" w:w="2160"/>
            <w:shd w:val="clear" w:color="auto" w:fill="D9E2F3"/>
          </w:tcPr>
          <w:p>
            <w:r>
              <w:rPr>
                <w:b/>
                <w:sz w:val="18"/>
              </w:rPr>
            </w:r>
            <w:r>
              <w:rPr>
                <w:b/>
                <w:sz w:val="18"/>
              </w:rPr>
              <w:t>Adequate</w:t>
            </w:r>
          </w:p>
        </w:tc>
        <w:tc>
          <w:tcPr>
            <w:tcW w:type="dxa" w:w="2160"/>
            <w:shd w:val="clear" w:color="auto" w:fill="D9E2F3"/>
          </w:tcPr>
          <w:p>
            <w:r>
              <w:rPr>
                <w:b/>
                <w:sz w:val="18"/>
              </w:rPr>
            </w:r>
            <w:r>
              <w:rPr>
                <w:b/>
                <w:sz w:val="18"/>
              </w:rPr>
              <w:t>Comment</w:t>
            </w:r>
          </w:p>
        </w:tc>
      </w:tr>
      <w:tr>
        <w:tc>
          <w:tcPr>
            <w:tcW w:type="dxa" w:w="2160"/>
          </w:tcPr>
          <w:p>
            <w:r>
              <w:rPr>
                <w:sz w:val="18"/>
              </w:rPr>
            </w:r>
            <w:r>
              <w:rPr>
                <w:sz w:val="18"/>
              </w:rPr>
              <w:t>SEC</w:t>
            </w:r>
          </w:p>
        </w:tc>
        <w:tc>
          <w:tcPr>
            <w:tcW w:type="dxa" w:w="2160"/>
          </w:tcPr>
          <w:p>
            <w:r>
              <w:rPr>
                <w:sz w:val="18"/>
              </w:rPr>
            </w:r>
            <w:r>
              <w:rPr>
                <w:sz w:val="18"/>
              </w:rPr>
              <w:t>Yes</w:t>
            </w:r>
          </w:p>
        </w:tc>
        <w:tc>
          <w:tcPr>
            <w:tcW w:type="dxa" w:w="2160"/>
          </w:tcPr>
          <w:p>
            <w:r>
              <w:rPr>
                <w:sz w:val="18"/>
              </w:rPr>
            </w:r>
            <w:r>
              <w:rPr>
                <w:sz w:val="18"/>
              </w:rPr>
              <w:t>Mostly</w:t>
            </w:r>
          </w:p>
        </w:tc>
        <w:tc>
          <w:tcPr>
            <w:tcW w:type="dxa" w:w="2160"/>
          </w:tcPr>
          <w:p>
            <w:r>
              <w:rPr>
                <w:sz w:val="18"/>
              </w:rPr>
            </w:r>
            <w:r>
              <w:rPr>
                <w:sz w:val="18"/>
              </w:rPr>
              <w:t>Add a maker ≠ checker rule (RV-12)</w:t>
            </w:r>
          </w:p>
        </w:tc>
      </w:tr>
      <w:tr>
        <w:tc>
          <w:tcPr>
            <w:tcW w:type="dxa" w:w="2160"/>
          </w:tcPr>
          <w:p>
            <w:r>
              <w:rPr>
                <w:sz w:val="18"/>
              </w:rPr>
            </w:r>
            <w:r>
              <w:rPr>
                <w:sz w:val="18"/>
              </w:rPr>
              <w:t>AUD</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Swipes never deleted, only reversed. Good</w:t>
            </w:r>
          </w:p>
        </w:tc>
      </w:tr>
      <w:tr>
        <w:tc>
          <w:tcPr>
            <w:tcW w:type="dxa" w:w="2160"/>
          </w:tcPr>
          <w:p>
            <w:r>
              <w:rPr>
                <w:sz w:val="18"/>
              </w:rPr>
            </w:r>
            <w:r>
              <w:rPr>
                <w:sz w:val="18"/>
              </w:rPr>
              <w:t>PERF</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Targets are proposed. Confirm the 1-second terminal response with the vendor</w:t>
            </w:r>
          </w:p>
        </w:tc>
      </w:tr>
      <w:tr>
        <w:tc>
          <w:tcPr>
            <w:tcW w:type="dxa" w:w="2160"/>
          </w:tcPr>
          <w:p>
            <w:r>
              <w:rPr>
                <w:sz w:val="18"/>
              </w:rPr>
            </w:r>
            <w:r>
              <w:rPr>
                <w:sz w:val="18"/>
              </w:rPr>
              <w:t>AVL</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Offline buffering covers the KDC network risk</w:t>
            </w:r>
          </w:p>
        </w:tc>
      </w:tr>
      <w:tr>
        <w:tc>
          <w:tcPr>
            <w:tcW w:type="dxa" w:w="2160"/>
          </w:tcPr>
          <w:p>
            <w:r>
              <w:rPr>
                <w:sz w:val="18"/>
              </w:rPr>
            </w:r>
            <w:r>
              <w:rPr>
                <w:sz w:val="18"/>
              </w:rPr>
              <w:t>DAT</w:t>
            </w:r>
          </w:p>
        </w:tc>
        <w:tc>
          <w:tcPr>
            <w:tcW w:type="dxa" w:w="2160"/>
          </w:tcPr>
          <w:p>
            <w:r>
              <w:rPr>
                <w:sz w:val="18"/>
              </w:rPr>
            </w:r>
            <w:r>
              <w:rPr>
                <w:sz w:val="18"/>
              </w:rPr>
              <w:t>Yes</w:t>
            </w:r>
          </w:p>
        </w:tc>
        <w:tc>
          <w:tcPr>
            <w:tcW w:type="dxa" w:w="2160"/>
          </w:tcPr>
          <w:p>
            <w:r>
              <w:rPr>
                <w:sz w:val="18"/>
              </w:rPr>
            </w:r>
            <w:r>
              <w:rPr>
                <w:sz w:val="18"/>
              </w:rPr>
              <w:t>Partly</w:t>
            </w:r>
          </w:p>
        </w:tc>
        <w:tc>
          <w:tcPr>
            <w:tcW w:type="dxa" w:w="2160"/>
          </w:tcPr>
          <w:p>
            <w:r>
              <w:rPr>
                <w:sz w:val="18"/>
              </w:rPr>
            </w:r>
            <w:r>
              <w:rPr>
                <w:sz w:val="18"/>
              </w:rPr>
              <w:t>Retention period open (RV-16)</w:t>
            </w:r>
          </w:p>
        </w:tc>
      </w:tr>
      <w:tr>
        <w:tc>
          <w:tcPr>
            <w:tcW w:type="dxa" w:w="2160"/>
          </w:tcPr>
          <w:p>
            <w:r>
              <w:rPr>
                <w:sz w:val="18"/>
              </w:rPr>
            </w:r>
            <w:r>
              <w:rPr>
                <w:sz w:val="18"/>
              </w:rPr>
              <w:t>USA</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Mobile-friendly adjustment form</w:t>
            </w:r>
          </w:p>
        </w:tc>
      </w:tr>
      <w:tr>
        <w:tc>
          <w:tcPr>
            <w:tcW w:type="dxa" w:w="2160"/>
          </w:tcPr>
          <w:p>
            <w:r>
              <w:rPr>
                <w:sz w:val="18"/>
              </w:rPr>
            </w:r>
            <w:r>
              <w:rPr>
                <w:sz w:val="18"/>
              </w:rPr>
              <w:t>CMP</w:t>
            </w:r>
          </w:p>
        </w:tc>
        <w:tc>
          <w:tcPr>
            <w:tcW w:type="dxa" w:w="2160"/>
          </w:tcPr>
          <w:p>
            <w:r>
              <w:rPr>
                <w:sz w:val="18"/>
              </w:rPr>
            </w:r>
            <w:r>
              <w:rPr>
                <w:sz w:val="18"/>
              </w:rPr>
              <w:t>Yes</w:t>
            </w:r>
          </w:p>
        </w:tc>
        <w:tc>
          <w:tcPr>
            <w:tcW w:type="dxa" w:w="2160"/>
          </w:tcPr>
          <w:p>
            <w:r>
              <w:rPr>
                <w:sz w:val="18"/>
              </w:rPr>
            </w:r>
            <w:r>
              <w:rPr>
                <w:sz w:val="18"/>
              </w:rPr>
              <w:t>Partly</w:t>
            </w:r>
          </w:p>
        </w:tc>
        <w:tc>
          <w:tcPr>
            <w:tcW w:type="dxa" w:w="2160"/>
          </w:tcPr>
          <w:p>
            <w:r>
              <w:rPr>
                <w:sz w:val="18"/>
              </w:rPr>
            </w:r>
            <w:r>
              <w:rPr>
                <w:sz w:val="18"/>
              </w:rPr>
              <w:t>Tax treatment open (Q-08)</w:t>
            </w:r>
          </w:p>
        </w:tc>
      </w:tr>
      <w:tr>
        <w:tc>
          <w:tcPr>
            <w:tcW w:type="dxa" w:w="2160"/>
          </w:tcPr>
          <w:p>
            <w:r>
              <w:rPr>
                <w:sz w:val="18"/>
              </w:rPr>
            </w:r>
            <w:r>
              <w:rPr>
                <w:sz w:val="18"/>
              </w:rPr>
              <w:t>INT</w:t>
            </w:r>
          </w:p>
        </w:tc>
        <w:tc>
          <w:tcPr>
            <w:tcW w:type="dxa" w:w="2160"/>
          </w:tcPr>
          <w:p>
            <w:r>
              <w:rPr>
                <w:sz w:val="18"/>
              </w:rPr>
            </w:r>
            <w:r>
              <w:rPr>
                <w:sz w:val="18"/>
              </w:rPr>
              <w:t>Yes</w:t>
            </w:r>
          </w:p>
        </w:tc>
        <w:tc>
          <w:tcPr>
            <w:tcW w:type="dxa" w:w="2160"/>
          </w:tcPr>
          <w:p>
            <w:r>
              <w:rPr>
                <w:sz w:val="18"/>
              </w:rPr>
            </w:r>
            <w:r>
              <w:rPr>
                <w:sz w:val="18"/>
              </w:rPr>
              <w:t>Partly</w:t>
            </w:r>
          </w:p>
        </w:tc>
        <w:tc>
          <w:tcPr>
            <w:tcW w:type="dxa" w:w="2160"/>
          </w:tcPr>
          <w:p>
            <w:r>
              <w:rPr>
                <w:sz w:val="18"/>
              </w:rPr>
            </w:r>
            <w:r>
              <w:rPr>
                <w:sz w:val="18"/>
              </w:rPr>
              <w:t>Card system not identified (Q-09)</w:t>
            </w:r>
          </w:p>
        </w:tc>
      </w:tr>
      <w:tr>
        <w:tc>
          <w:tcPr>
            <w:tcW w:type="dxa" w:w="2160"/>
          </w:tcPr>
          <w:p>
            <w:r>
              <w:rPr>
                <w:sz w:val="18"/>
              </w:rPr>
            </w:r>
            <w:r>
              <w:rPr>
                <w:sz w:val="18"/>
              </w:rPr>
              <w:t>OPS</w:t>
            </w:r>
          </w:p>
        </w:tc>
        <w:tc>
          <w:tcPr>
            <w:tcW w:type="dxa" w:w="2160"/>
          </w:tcPr>
          <w:p>
            <w:r>
              <w:rPr>
                <w:sz w:val="18"/>
              </w:rPr>
            </w:r>
            <w:r>
              <w:rPr>
                <w:sz w:val="18"/>
              </w:rPr>
              <w:t>Yes</w:t>
            </w:r>
          </w:p>
        </w:tc>
        <w:tc>
          <w:tcPr>
            <w:tcW w:type="dxa" w:w="2160"/>
          </w:tcPr>
          <w:p>
            <w:r>
              <w:rPr>
                <w:sz w:val="18"/>
              </w:rPr>
            </w:r>
            <w:r>
              <w:rPr>
                <w:sz w:val="18"/>
              </w:rPr>
              <w:t>Yes</w:t>
            </w:r>
          </w:p>
        </w:tc>
        <w:tc>
          <w:tcPr>
            <w:tcW w:type="dxa" w:w="2160"/>
          </w:tcPr>
          <w:p>
            <w:r>
              <w:rPr>
                <w:sz w:val="18"/>
              </w:rPr>
            </w:r>
            <w:r>
              <w:rPr>
                <w:sz w:val="18"/>
              </w:rPr>
              <w:t>Terminal health alerts</w:t>
            </w:r>
          </w:p>
        </w:tc>
      </w:tr>
    </w:tbl>
    <w:p>
      <w:pPr/>
    </w:p>
    <w:p>
      <w:pPr>
        <w:pStyle w:val="Heading1"/>
      </w:pPr>
      <w:r>
        <w:t>6. Patient-safety and compliance notes</w:t>
      </w:r>
    </w:p>
    <w:p>
      <w:pPr>
        <w:pStyle w:val="ListBullet"/>
      </w:pPr>
      <w:r>
        <w:rPr>
          <w:b/>
        </w:rPr>
        <w:t>Staff arrival:</w:t>
      </w:r>
      <w:r>
        <w:t xml:space="preserve"> a transport scheme that fails, or is slow at boarding, can affect staff arriving for clinical shifts at a newly opened hospital. RV-06 (shift coverage) and NFR-PERF-02 (1-second terminal response) should be treated as go-live criteria.</w:t>
      </w:r>
    </w:p>
    <w:p>
      <w:pPr>
        <w:pStyle w:val="ListBullet"/>
      </w:pPr>
      <w:r>
        <w:rPr>
          <w:b/>
        </w:rPr>
        <w:t>Payroll deductions:</w:t>
      </w:r>
      <w:r>
        <w:t xml:space="preserve"> recovering money from salary (RV-01 option) usually needs employee consent or a policy basis. HR and Finance should confirm the policy before the rule is built.</w:t>
      </w:r>
    </w:p>
    <w:p>
      <w:pPr>
        <w:pStyle w:val="ListBullet"/>
      </w:pPr>
      <w:r>
        <w:rPr>
          <w:b/>
        </w:rPr>
        <w:t>Privacy:</w:t>
      </w:r>
      <w:r>
        <w:t xml:space="preserve"> swipe records show employee movements. Access is appropriately restricted (NFR-SEC-01), but retention needs a decision (RV-16).</w:t>
      </w:r>
    </w:p>
    <w:p>
      <w:pPr>
        <w:pStyle w:val="Heading1"/>
      </w:pPr>
      <w:r>
        <w:t>7. Resolution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RV-ID</w:t>
            </w:r>
          </w:p>
        </w:tc>
        <w:tc>
          <w:tcPr>
            <w:tcW w:type="dxa" w:w="2160"/>
            <w:shd w:val="clear" w:color="auto" w:fill="D9E2F3"/>
          </w:tcPr>
          <w:p>
            <w:r>
              <w:rPr>
                <w:b/>
                <w:sz w:val="18"/>
              </w:rPr>
            </w:r>
            <w:r>
              <w:rPr>
                <w:b/>
                <w:sz w:val="18"/>
              </w:rPr>
              <w:t>SA decision (Accept / Reject / Defer)</w:t>
            </w:r>
          </w:p>
        </w:tc>
        <w:tc>
          <w:tcPr>
            <w:tcW w:type="dxa" w:w="2160"/>
            <w:shd w:val="clear" w:color="auto" w:fill="D9E2F3"/>
          </w:tcPr>
          <w:p>
            <w:r>
              <w:rPr>
                <w:b/>
                <w:sz w:val="18"/>
              </w:rPr>
            </w:r>
            <w:r>
              <w:rPr>
                <w:b/>
                <w:sz w:val="18"/>
              </w:rPr>
              <w:t>Resolution</w:t>
            </w:r>
          </w:p>
        </w:tc>
        <w:tc>
          <w:tcPr>
            <w:tcW w:type="dxa" w:w="2160"/>
            <w:shd w:val="clear" w:color="auto" w:fill="D9E2F3"/>
          </w:tcPr>
          <w:p>
            <w:r>
              <w:rPr>
                <w:b/>
                <w:sz w:val="18"/>
              </w:rPr>
            </w:r>
            <w:r>
              <w:rPr>
                <w:b/>
                <w:sz w:val="18"/>
              </w:rPr>
              <w:t>Resolved in SRS version</w:t>
            </w:r>
          </w:p>
        </w:tc>
      </w:tr>
      <w:tr>
        <w:tc>
          <w:tcPr>
            <w:tcW w:type="dxa" w:w="2160"/>
          </w:tcPr>
          <w:p>
            <w:r>
              <w:rPr>
                <w:sz w:val="18"/>
              </w:rPr>
            </w:r>
            <w:r>
              <w:rPr>
                <w:sz w:val="18"/>
              </w:rPr>
              <w:t>RV-01</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RV-02</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RV-03</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RV-04</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RV-05</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RV-06</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RV-07</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RV-08</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RV-09</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RV-10</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RV-11</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RV-12</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RV-13</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RV-14</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RV-15</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RV-16</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sz w:val="18"/>
              </w:rPr>
              <w:t>RV-17</w:t>
            </w:r>
          </w:p>
        </w:tc>
        <w:tc>
          <w:tcPr>
            <w:tcW w:type="dxa" w:w="2160"/>
          </w:tcPr>
          <w:p>
            <w:r>
              <w:rPr>
                <w:sz w:val="18"/>
              </w:rPr>
            </w:r>
          </w:p>
        </w:tc>
        <w:tc>
          <w:tcPr>
            <w:tcW w:type="dxa" w:w="2160"/>
          </w:tcPr>
          <w:p>
            <w:r>
              <w:rPr>
                <w:sz w:val="18"/>
              </w:rPr>
            </w:r>
          </w:p>
        </w:tc>
        <w:tc>
          <w:tcPr>
            <w:tcW w:type="dxa" w:w="2160"/>
          </w:tcPr>
          <w:p>
            <w:r>
              <w:rPr>
                <w:sz w:val="18"/>
              </w:rPr>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SRS Review Report  |  CR-YYYY-XXX  v1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