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测试流程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16625" cy="3392805"/>
            <wp:effectExtent l="0" t="0" r="3175" b="1079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392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2、负责服务架构，上下游调用链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3、服务内部逻辑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4、服务相关的质量保障有哪些</w:t>
      </w:r>
    </w:p>
    <w:p>
      <w:pPr>
        <w:pStyle w:val="2"/>
        <w:rPr>
          <w:rFonts w:hint="eastAsia"/>
        </w:rPr>
      </w:pPr>
      <w:r>
        <w:rPr>
          <w:rFonts w:hint="eastAsia"/>
        </w:rPr>
        <w:t>接口自动化</w:t>
      </w:r>
    </w:p>
    <w:p>
      <w:pPr>
        <w:pStyle w:val="2"/>
        <w:rPr>
          <w:rFonts w:hint="eastAsia"/>
        </w:rPr>
      </w:pPr>
      <w:r>
        <w:rPr>
          <w:rFonts w:hint="eastAsia"/>
        </w:rPr>
        <w:t>ui自动化</w:t>
      </w:r>
    </w:p>
    <w:p>
      <w:pPr>
        <w:pStyle w:val="2"/>
        <w:rPr>
          <w:rFonts w:hint="eastAsia"/>
        </w:rPr>
      </w:pPr>
      <w:r>
        <w:rPr>
          <w:rFonts w:hint="eastAsia"/>
        </w:rPr>
        <w:t>服务监控报警(下单失败、接口返回非200、mq消息异常、mq消息堆积)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F213C2"/>
    <w:multiLevelType w:val="singleLevel"/>
    <w:tmpl w:val="61F213C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1"/>
  <w:doNotDisplayPageBoundaries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compressPunctuation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CFED9B1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方正书宋_GBK" w:hAnsi="DejaVu San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Office_3.9.0.6159_F1E327BC-269C-435d-A152-05C5408002CA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2022-01-27T11:15:28Z</dcterms:created>
  <dc:creator>Data</dc:creator>
  <cp:lastModifiedBy>xiaozhu_wt</cp:lastModifiedBy>
  <dcterms:modified xsi:type="dcterms:W3CDTF">2022-01-27T11:16:42Z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2052-3.9.0.6159</vt:lpwstr>
  </property>
</Properties>
</file>