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780"/>
          <w:sz w:val="20"/>
          <w:szCs w:val="20"/>
        </w:rPr>
        <w:t xml:space="preserve">HER-CARE DOCTORAL NETWORK</w:t>
      </w:r>
    </w:p>
    <w:p>
      <w:pPr>
        <w:spacing w:after="80" w:before="0"/>
        <w:jc w:val="center"/>
      </w:pPr>
      <w:r>
        <w:rPr>
          <w:rFonts w:ascii="Arial" w:cs="Arial" w:eastAsia="Arial" w:hAnsi="Arial"/>
          <w:b/>
          <w:bCs/>
          <w:sz w:val="32"/>
          <w:szCs w:val="32"/>
        </w:rPr>
        <w:t xml:space="preserve">DC11 — AI Risk Model Integration into Clinical Workflows</w:t>
      </w:r>
    </w:p>
    <w:p>
      <w:pPr>
        <w:spacing w:after="80" w:before="0"/>
        <w:jc w:val="center"/>
      </w:pPr>
      <w:r>
        <w:rPr>
          <w:rFonts w:ascii="Arial" w:cs="Arial" w:eastAsia="Arial" w:hAnsi="Arial"/>
          <w:i/>
          <w:iCs/>
          <w:color w:val="534AB7"/>
          <w:sz w:val="26"/>
          <w:szCs w:val="26"/>
        </w:rPr>
        <w:t xml:space="preserve">Mini-Project Summary</w:t>
      </w:r>
    </w:p>
    <w:p>
      <w:pPr>
        <w:spacing w:after="320" w:before="0"/>
        <w:jc w:val="center"/>
      </w:pPr>
      <w:r>
        <w:rPr>
          <w:rFonts w:ascii="Arial" w:cs="Arial" w:eastAsia="Arial" w:hAnsi="Arial"/>
          <w:color w:val="888780"/>
          <w:sz w:val="22"/>
          <w:szCs w:val="22"/>
        </w:rPr>
        <w:t xml:space="preserve">June 2026</w:t>
      </w:r>
    </w:p>
    <w:p>
      <w:pPr>
        <w:pBdr>
          <w:bottom w:val="single" w:color="0F6E56" w:sz="6" w:space="1"/>
        </w:pBdr>
        <w:spacing w:after="240" w:before="0"/>
      </w:pPr>
    </w:p>
    <w:p>
      <w:pPr>
        <w:pStyle w:val="Heading1"/>
        <w:spacing w:after="160" w:before="320"/>
      </w:pPr>
      <w:r>
        <w:rPr>
          <w:rFonts w:ascii="Arial" w:cs="Arial" w:eastAsia="Arial" w:hAnsi="Arial"/>
          <w:b/>
          <w:bCs/>
          <w:color w:val="0F6E56"/>
          <w:sz w:val="28"/>
          <w:szCs w:val="28"/>
        </w:rPr>
        <w:t xml:space="preserve">1. Overview</w:t>
      </w:r>
    </w:p>
    <w:p>
      <w:pPr>
        <w:spacing w:after="120" w:before="80"/>
      </w:pPr>
      <w:r>
        <w:rPr>
          <w:rFonts w:ascii="Arial" w:cs="Arial" w:eastAsia="Arial" w:hAnsi="Arial"/>
          <w:sz w:val="22"/>
          <w:szCs w:val="22"/>
        </w:rPr>
        <w:t xml:space="preserve">This mini-project demonstrates a complete end-to-end pipeline for multi-modal breast cancer risk prediction, built as a proof of concept for the HER-CARE DC11 research project. The pipeline integrates synthetic multi-parametric MRI, genomic/biomarker, and clinical data to train a machine learning model that outputs structured clinical risk reports — directly mirroring the technical and clinical workflow integration goals of the doctoral network.</w:t>
      </w:r>
    </w:p>
    <w:p>
      <w:pPr>
        <w:spacing w:after="120" w:before="80"/>
      </w:pPr>
      <w:r>
        <w:rPr>
          <w:rFonts w:ascii="Arial" w:cs="Arial" w:eastAsia="Arial" w:hAnsi="Arial"/>
          <w:sz w:val="22"/>
          <w:szCs w:val="22"/>
        </w:rPr>
        <w:t xml:space="preserve">The project was implemented entirely in Python across five modular stages, reflecting the iterative, transparent development approach expected in clinical AI research.</w:t>
      </w:r>
    </w:p>
    <w:p>
      <w:pPr>
        <w:spacing w:after="100" w:before="100"/>
      </w:pPr>
      <w:r>
        <w:t xml:space="preserve"/>
      </w:r>
    </w:p>
    <w:p>
      <w:pPr>
        <w:pStyle w:val="Heading1"/>
        <w:spacing w:after="160" w:before="320"/>
      </w:pPr>
      <w:r>
        <w:rPr>
          <w:rFonts w:ascii="Arial" w:cs="Arial" w:eastAsia="Arial" w:hAnsi="Arial"/>
          <w:b/>
          <w:bCs/>
          <w:color w:val="0F6E56"/>
          <w:sz w:val="28"/>
          <w:szCs w:val="28"/>
        </w:rPr>
        <w:t xml:space="preserve">2. Technical pipeline</w:t>
      </w:r>
    </w:p>
    <w:p>
      <w:pPr>
        <w:pStyle w:val="Heading2"/>
        <w:spacing w:after="100" w:before="220"/>
      </w:pPr>
      <w:r>
        <w:rPr>
          <w:rFonts w:ascii="Arial" w:cs="Arial" w:eastAsia="Arial" w:hAnsi="Arial"/>
          <w:b/>
          <w:bCs/>
          <w:color w:val="3C3489"/>
          <w:sz w:val="24"/>
          <w:szCs w:val="24"/>
        </w:rPr>
        <w:t xml:space="preserve">Stage 1 — Environment setup</w:t>
      </w:r>
    </w:p>
    <w:p>
      <w:pPr>
        <w:spacing w:after="120" w:before="80"/>
      </w:pPr>
      <w:r>
        <w:rPr>
          <w:rFonts w:ascii="Arial" w:cs="Arial" w:eastAsia="Arial" w:hAnsi="Arial"/>
          <w:sz w:val="22"/>
          <w:szCs w:val="22"/>
        </w:rPr>
        <w:t xml:space="preserve">Configured a Python environment with numpy, pandas, scikit-learn, matplotlib, seaborn, and SHAP — the standard scientific stack for reproducible machine learning research.</w:t>
      </w:r>
    </w:p>
    <w:p>
      <w:pPr>
        <w:pStyle w:val="Heading2"/>
        <w:spacing w:after="100" w:before="220"/>
      </w:pPr>
      <w:r>
        <w:rPr>
          <w:rFonts w:ascii="Arial" w:cs="Arial" w:eastAsia="Arial" w:hAnsi="Arial"/>
          <w:b/>
          <w:bCs/>
          <w:color w:val="3C3489"/>
          <w:sz w:val="24"/>
          <w:szCs w:val="24"/>
        </w:rPr>
        <w:t xml:space="preserve">Stage 2 — Synthetic multi-modal dataset</w:t>
      </w:r>
    </w:p>
    <w:p>
      <w:pPr>
        <w:spacing w:after="120" w:before="80"/>
      </w:pPr>
      <w:r>
        <w:rPr>
          <w:rFonts w:ascii="Arial" w:cs="Arial" w:eastAsia="Arial" w:hAnsi="Arial"/>
          <w:sz w:val="22"/>
          <w:szCs w:val="22"/>
        </w:rPr>
        <w:t xml:space="preserve">Generated a realistic synthetic dataset of 200 patients with three modality groups:</w:t>
      </w:r>
    </w:p>
    <w:p>
      <w:pPr>
        <w:pStyle w:val="ListParagraph"/>
        <w:numPr>
          <w:ilvl w:val="0"/>
          <w:numId w:val="2"/>
        </w:numPr>
        <w:spacing w:after="60" w:before="60"/>
      </w:pPr>
      <w:r>
        <w:rPr>
          <w:rFonts w:ascii="Arial" w:cs="Arial" w:eastAsia="Arial" w:hAnsi="Arial"/>
          <w:sz w:val="22"/>
          <w:szCs w:val="22"/>
        </w:rPr>
        <w:t xml:space="preserve">MRI features: tumour size, enhancement ratio, ADC value, margin irregularity</w:t>
      </w:r>
    </w:p>
    <w:p>
      <w:pPr>
        <w:pStyle w:val="ListParagraph"/>
        <w:numPr>
          <w:ilvl w:val="0"/>
          <w:numId w:val="2"/>
        </w:numPr>
        <w:spacing w:after="60" w:before="60"/>
      </w:pPr>
      <w:r>
        <w:rPr>
          <w:rFonts w:ascii="Arial" w:cs="Arial" w:eastAsia="Arial" w:hAnsi="Arial"/>
          <w:sz w:val="22"/>
          <w:szCs w:val="22"/>
        </w:rPr>
        <w:t xml:space="preserve">Genomic / biomarkers: Ki-67 index, Oncotype DX score, HER2 score, ER/PR status</w:t>
      </w:r>
    </w:p>
    <w:p>
      <w:pPr>
        <w:pStyle w:val="ListParagraph"/>
        <w:numPr>
          <w:ilvl w:val="0"/>
          <w:numId w:val="2"/>
        </w:numPr>
        <w:spacing w:after="60" w:before="60"/>
      </w:pPr>
      <w:r>
        <w:rPr>
          <w:rFonts w:ascii="Arial" w:cs="Arial" w:eastAsia="Arial" w:hAnsi="Arial"/>
          <w:sz w:val="22"/>
          <w:szCs w:val="22"/>
        </w:rPr>
        <w:t xml:space="preserve">Clinical: age, lymph node status, tumour grade, family history</w:t>
      </w:r>
    </w:p>
    <w:p>
      <w:pPr>
        <w:spacing w:after="120" w:before="80"/>
      </w:pPr>
      <w:r>
        <w:rPr>
          <w:rFonts w:ascii="Arial" w:cs="Arial" w:eastAsia="Arial" w:hAnsi="Arial"/>
          <w:sz w:val="22"/>
          <w:szCs w:val="22"/>
        </w:rPr>
        <w:t xml:space="preserve">A clinically-motivated risk score was computed as a weighted linear combination of features, with realistic noise. Crucially, 20% of Oncotype DX scores were set to missing (NaN) to simulate the real-world challenge of incomplete patient records — a central problem in multi-modal clinical AI.</w:t>
      </w:r>
    </w:p>
    <w:p>
      <w:pPr>
        <w:spacing w:after="100" w:before="100"/>
      </w:pPr>
      <w:r>
        <w:t xml:space="preserve"/>
      </w:r>
    </w:p>
    <w:p>
      <w:pPr>
        <w:pStyle w:val="Heading2"/>
        <w:spacing w:after="100" w:before="220"/>
      </w:pPr>
      <w:r>
        <w:rPr>
          <w:rFonts w:ascii="Arial" w:cs="Arial" w:eastAsia="Arial" w:hAnsi="Arial"/>
          <w:b/>
          <w:bCs/>
          <w:color w:val="3C3489"/>
          <w:sz w:val="24"/>
          <w:szCs w:val="24"/>
        </w:rPr>
        <w:t xml:space="preserve">Stage 3 — Multi-modal fusion model</w:t>
      </w:r>
    </w:p>
    <w:p>
      <w:pPr>
        <w:spacing w:after="120" w:before="80"/>
      </w:pPr>
      <w:r>
        <w:rPr>
          <w:rFonts w:ascii="Arial" w:cs="Arial" w:eastAsia="Arial" w:hAnsi="Arial"/>
          <w:sz w:val="22"/>
          <w:szCs w:val="22"/>
        </w:rPr>
        <w:t xml:space="preserve">Trained a Random Forest classifier (100 estimators) on 160 patients (80/20 train/test split). Missing values were handled using median imputation prior to training. The model received all 12 features simultaneously, fusing information across modalities in a single prediction step.</w:t>
      </w:r>
    </w:p>
    <w:p>
      <w:pPr>
        <w:spacing w:after="100" w:before="100"/>
      </w:pPr>
      <w:r>
        <w:t xml:space="preserve"/>
      </w:r>
    </w:p>
    <w:p>
      <w:pPr>
        <w:pStyle w:val="Heading2"/>
        <w:spacing w:after="100" w:before="220"/>
      </w:pPr>
      <w:r>
        <w:rPr>
          <w:rFonts w:ascii="Arial" w:cs="Arial" w:eastAsia="Arial" w:hAnsi="Arial"/>
          <w:b/>
          <w:bCs/>
          <w:color w:val="3C3489"/>
          <w:sz w:val="24"/>
          <w:szCs w:val="24"/>
        </w:rPr>
        <w:t xml:space="preserve">Stage 4 — Clinical decision support output</w:t>
      </w:r>
    </w:p>
    <w:p>
      <w:pPr>
        <w:spacing w:after="120" w:before="80"/>
      </w:pPr>
      <w:r>
        <w:rPr>
          <w:rFonts w:ascii="Arial" w:cs="Arial" w:eastAsia="Arial" w:hAnsi="Arial"/>
          <w:sz w:val="22"/>
          <w:szCs w:val="22"/>
        </w:rPr>
        <w:t xml:space="preserve">The trained model was integrated into a structured clinical reporting module that generates per-patient reports including: risk probability, risk category (Low / Moderate / High), alert level, recommended clinical action, follow-up protocol, and the top 3 driving features. The report format is aligned with HL7 FHIR-compatible structured output fields.</w:t>
      </w:r>
    </w:p>
    <w:p>
      <w:pPr>
        <w:spacing w:after="100" w:before="100"/>
      </w:pPr>
      <w:r>
        <w:t xml:space="preserve"/>
      </w:r>
    </w:p>
    <w:p>
      <w:pPr>
        <w:pStyle w:val="Heading2"/>
        <w:spacing w:after="100" w:before="220"/>
      </w:pPr>
      <w:r>
        <w:rPr>
          <w:rFonts w:ascii="Arial" w:cs="Arial" w:eastAsia="Arial" w:hAnsi="Arial"/>
          <w:b/>
          <w:bCs/>
          <w:color w:val="3C3489"/>
          <w:sz w:val="24"/>
          <w:szCs w:val="24"/>
        </w:rPr>
        <w:t xml:space="preserve">Stage 5 — Evaluation and explainability</w:t>
      </w:r>
    </w:p>
    <w:p>
      <w:pPr>
        <w:spacing w:after="120" w:before="80"/>
      </w:pPr>
      <w:r>
        <w:rPr>
          <w:rFonts w:ascii="Arial" w:cs="Arial" w:eastAsia="Arial" w:hAnsi="Arial"/>
          <w:sz w:val="22"/>
          <w:szCs w:val="22"/>
        </w:rPr>
        <w:t xml:space="preserve">The model was evaluated with four complementary analyses: ROC curve, confusion matrix, Random Forest feature importance, and SHAP (SHapley Additive exPlanations) values. SHAP provides local, patient-level explainability — a regulatory requirement under the EU AI Act for high-risk medical AI systems.</w:t>
      </w:r>
    </w:p>
    <w:p>
      <w:pPr>
        <w:spacing w:after="100" w:before="100"/>
      </w:pPr>
      <w:r>
        <w:t xml:space="preserve"/>
      </w:r>
    </w:p>
    <w:p>
      <w:pPr>
        <w:pStyle w:val="Heading1"/>
        <w:spacing w:after="160" w:before="320"/>
      </w:pPr>
      <w:r>
        <w:rPr>
          <w:rFonts w:ascii="Arial" w:cs="Arial" w:eastAsia="Arial" w:hAnsi="Arial"/>
          <w:b/>
          <w:bCs/>
          <w:color w:val="0F6E56"/>
          <w:sz w:val="28"/>
          <w:szCs w:val="28"/>
        </w:rPr>
        <w:t xml:space="preserve">3. Results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AUROC score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0.851  (clinical threshold: &gt; 0.80)</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Test set size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40 patients (held out, unseen during training)</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Correct low-risk predictions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23 / 25  (92%)</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Correct high-risk predictions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11 / 15  (73%)</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False negatives (missed high-risk)</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4 / 15  (27%)</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Top predictive feature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ki67_index  (importance 0.243, SHAP 0.143)</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Missing data handling</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Median imputation on Oncotype DX (40 patients)</w:t>
            </w:r>
          </w:p>
        </w:tc>
      </w:tr>
    </w:tbl>
    <w:p>
      <w:pPr>
        <w:spacing w:after="100" w:before="100"/>
      </w:pPr>
      <w:r>
        <w:t xml:space="preserve"/>
      </w:r>
    </w:p>
    <w:p>
      <w:pPr>
        <w:spacing w:after="120" w:before="80"/>
      </w:pPr>
      <w:r>
        <w:rPr>
          <w:rFonts w:ascii="Arial" w:cs="Arial" w:eastAsia="Arial" w:hAnsi="Arial"/>
          <w:sz w:val="22"/>
          <w:szCs w:val="22"/>
        </w:rPr>
        <w:t xml:space="preserve">The AUROC of 0.851 exceeds the 0.80 clinical utility threshold. The model correctly identified 23 of 25 low-risk patients and 11 of 15 high-risk patients. The 4 missed high-risk patients represent the primary limitation and motivate future work on uncertainty-aware prediction and multi-modal imputation strategies.</w:t>
      </w:r>
    </w:p>
    <w:p>
      <w:pPr>
        <w:spacing w:after="100" w:before="100"/>
      </w:pPr>
      <w:r>
        <w:t xml:space="preserve"/>
      </w:r>
    </w:p>
    <w:p>
      <w:pPr>
        <w:pStyle w:val="Heading1"/>
        <w:spacing w:after="160" w:before="320"/>
      </w:pPr>
      <w:r>
        <w:rPr>
          <w:rFonts w:ascii="Arial" w:cs="Arial" w:eastAsia="Arial" w:hAnsi="Arial"/>
          <w:b/>
          <w:bCs/>
          <w:color w:val="0F6E56"/>
          <w:sz w:val="28"/>
          <w:szCs w:val="28"/>
        </w:rPr>
        <w:t xml:space="preserve">4. Key findings</w:t>
      </w:r>
    </w:p>
    <w:p>
      <w:pPr>
        <w:pStyle w:val="Heading2"/>
        <w:spacing w:after="100" w:before="220"/>
      </w:pPr>
      <w:r>
        <w:rPr>
          <w:rFonts w:ascii="Arial" w:cs="Arial" w:eastAsia="Arial" w:hAnsi="Arial"/>
          <w:b/>
          <w:bCs/>
          <w:color w:val="3C3489"/>
          <w:sz w:val="24"/>
          <w:szCs w:val="24"/>
        </w:rPr>
        <w:t xml:space="preserve">Feature importance aligns with clinical evidence</w:t>
      </w:r>
    </w:p>
    <w:p>
      <w:pPr>
        <w:spacing w:after="120" w:before="80"/>
      </w:pPr>
      <w:r>
        <w:rPr>
          <w:rFonts w:ascii="Arial" w:cs="Arial" w:eastAsia="Arial" w:hAnsi="Arial"/>
          <w:sz w:val="22"/>
          <w:szCs w:val="22"/>
        </w:rPr>
        <w:t xml:space="preserve">The model independently ranked Ki-67 as the strongest predictor (importance 0.243), consistent with established oncology literature where Ki-67 is a primary marker of tumour proliferation. Tumour size, margin irregularity, and enhancement ratio followed — all direct MRI-derived features. This alignment between learned and clinically-expected importance provides a form of biological validation.</w:t>
      </w:r>
    </w:p>
    <w:p>
      <w:pPr>
        <w:spacing w:after="100" w:before="100"/>
      </w:pPr>
      <w:r>
        <w:t xml:space="preserve"/>
      </w:r>
    </w:p>
    <w:p>
      <w:pPr>
        <w:pStyle w:val="Heading2"/>
        <w:spacing w:after="100" w:before="220"/>
      </w:pPr>
      <w:r>
        <w:rPr>
          <w:rFonts w:ascii="Arial" w:cs="Arial" w:eastAsia="Arial" w:hAnsi="Arial"/>
          <w:b/>
          <w:bCs/>
          <w:color w:val="3C3489"/>
          <w:sz w:val="24"/>
          <w:szCs w:val="24"/>
        </w:rPr>
        <w:t xml:space="preserve">Feature importance vs SHAP reveals complementary insights</w:t>
      </w:r>
    </w:p>
    <w:p>
      <w:pPr>
        <w:spacing w:after="120" w:before="80"/>
      </w:pPr>
      <w:r>
        <w:rPr>
          <w:rFonts w:ascii="Arial" w:cs="Arial" w:eastAsia="Arial" w:hAnsi="Arial"/>
          <w:sz w:val="22"/>
          <w:szCs w:val="22"/>
        </w:rPr>
        <w:t xml:space="preserve">Random Forest feature importance and SHAP values produced consistent but not identical rankings. Tumour size ranked 3rd by importance but 2nd by mean SHAP value, suggesting it has a strong directional effect on individual predictions even when its global noise contribution is moderate. This distinction is clinically meaningful: importance tells us about average model behaviour, while SHAP tells us about individual patient explanations — both are required for clinical deployment.</w:t>
      </w:r>
    </w:p>
    <w:p>
      <w:pPr>
        <w:spacing w:after="100" w:before="100"/>
      </w:pPr>
      <w:r>
        <w:t xml:space="preserve"/>
      </w:r>
    </w:p>
    <w:p>
      <w:pPr>
        <w:pStyle w:val="Heading2"/>
        <w:spacing w:after="100" w:before="220"/>
      </w:pPr>
      <w:r>
        <w:rPr>
          <w:rFonts w:ascii="Arial" w:cs="Arial" w:eastAsia="Arial" w:hAnsi="Arial"/>
          <w:b/>
          <w:bCs/>
          <w:color w:val="3C3489"/>
          <w:sz w:val="24"/>
          <w:szCs w:val="24"/>
        </w:rPr>
        <w:t xml:space="preserve">Missing data handling is tractable but improvable</w:t>
      </w:r>
    </w:p>
    <w:p>
      <w:pPr>
        <w:spacing w:after="120" w:before="80"/>
      </w:pPr>
      <w:r>
        <w:rPr>
          <w:rFonts w:ascii="Arial" w:cs="Arial" w:eastAsia="Arial" w:hAnsi="Arial"/>
          <w:sz w:val="22"/>
          <w:szCs w:val="22"/>
        </w:rPr>
        <w:t xml:space="preserve">Median imputation successfully removed all 40 missing Oncotype DX values and the model trained without error. However, median imputation discards uncertainty. The PhD project will explore more sophisticated approaches such as multiple imputation, missingness-aware architectures, and hyper-models that explicitly model which modalities are available per patient.</w:t>
      </w:r>
    </w:p>
    <w:p>
      <w:pPr>
        <w:spacing w:after="100" w:before="100"/>
      </w:pPr>
      <w:r>
        <w:t xml:space="preserve"/>
      </w:r>
    </w:p>
    <w:p>
      <w:pPr>
        <w:pStyle w:val="Heading2"/>
        <w:spacing w:after="100" w:before="220"/>
      </w:pPr>
      <w:r>
        <w:rPr>
          <w:rFonts w:ascii="Arial" w:cs="Arial" w:eastAsia="Arial" w:hAnsi="Arial"/>
          <w:b/>
          <w:bCs/>
          <w:color w:val="3C3489"/>
          <w:sz w:val="24"/>
          <w:szCs w:val="24"/>
        </w:rPr>
        <w:t xml:space="preserve">Clinical output structure supports workflow integration</w:t>
      </w:r>
    </w:p>
    <w:p>
      <w:pPr>
        <w:spacing w:after="120" w:before="80"/>
      </w:pPr>
      <w:r>
        <w:rPr>
          <w:rFonts w:ascii="Arial" w:cs="Arial" w:eastAsia="Arial" w:hAnsi="Arial"/>
          <w:sz w:val="22"/>
          <w:szCs w:val="22"/>
        </w:rPr>
        <w:t xml:space="preserve">The Stage 4 report module demonstrates that model output can be structured into actionable clinical tiers (Routine / Review / Urgent) with specific follow-up and therapy recommendations. This directly addresses DC11's goal of integrating AI risk models into EHR systems through standardised, interpretable outputs.</w:t>
      </w:r>
    </w:p>
    <w:p>
      <w:pPr>
        <w:spacing w:after="100" w:before="100"/>
      </w:pPr>
      <w:r>
        <w:t xml:space="preserve"/>
      </w:r>
    </w:p>
    <w:p>
      <w:pPr>
        <w:pStyle w:val="Heading1"/>
        <w:spacing w:after="160" w:before="320"/>
      </w:pPr>
      <w:r>
        <w:rPr>
          <w:rFonts w:ascii="Arial" w:cs="Arial" w:eastAsia="Arial" w:hAnsi="Arial"/>
          <w:b/>
          <w:bCs/>
          <w:color w:val="0F6E56"/>
          <w:sz w:val="28"/>
          <w:szCs w:val="28"/>
        </w:rPr>
        <w:t xml:space="preserve">5. Relation to HER-CARE research objectives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Multi-modal data fusion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Demonstrated: MRI + genomics + clinical features fused in one model</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Missing modality challenge</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Simulated: 20% Oncotype DX missing; imputation applied</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Clinical workflow integration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Demonstrated: structured per-patient clinical reports</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Explainability (XAI)</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Demonstrated: SHAP values for local feature attribution</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Evaluation methodology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Demonstrated: AUROC, confusion matrix, feature importance</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EHR compatibility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Planned: report fields aligned with HL7 FHIR structure</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Transformer / VLM models</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Next step: replace Random Forest with attention-based fusion</w:t>
            </w:r>
          </w:p>
        </w:tc>
      </w:tr>
    </w:tbl>
    <w:p>
      <w:pPr>
        <w:spacing w:after="100" w:before="100"/>
      </w:pPr>
      <w:r>
        <w:t xml:space="preserve"/>
      </w:r>
    </w:p>
    <w:p>
      <w:pPr>
        <w:pStyle w:val="Heading1"/>
        <w:spacing w:after="160" w:before="320"/>
      </w:pPr>
      <w:r>
        <w:rPr>
          <w:rFonts w:ascii="Arial" w:cs="Arial" w:eastAsia="Arial" w:hAnsi="Arial"/>
          <w:b/>
          <w:bCs/>
          <w:color w:val="0F6E56"/>
          <w:sz w:val="28"/>
          <w:szCs w:val="28"/>
        </w:rPr>
        <w:t xml:space="preserve">6. Limitations and next steps</w:t>
      </w:r>
    </w:p>
    <w:p>
      <w:pPr>
        <w:spacing w:after="120" w:before="80"/>
      </w:pPr>
      <w:r>
        <w:rPr>
          <w:rFonts w:ascii="Arial" w:cs="Arial" w:eastAsia="Arial" w:hAnsi="Arial"/>
          <w:sz w:val="22"/>
          <w:szCs w:val="22"/>
        </w:rPr>
        <w:t xml:space="preserve">This mini-project uses synthetic data with a clean linear risk formula. Real clinical data will introduce greater noise, class imbalance, stronger modality correlations, and ethical considerations around model fairness across patient subgroups. The following extensions are planned for the PhD:</w:t>
      </w:r>
    </w:p>
    <w:p>
      <w:pPr>
        <w:pStyle w:val="ListParagraph"/>
        <w:numPr>
          <w:ilvl w:val="0"/>
          <w:numId w:val="2"/>
        </w:numPr>
        <w:spacing w:after="60" w:before="60"/>
      </w:pPr>
      <w:r>
        <w:rPr>
          <w:rFonts w:ascii="Arial" w:cs="Arial" w:eastAsia="Arial" w:hAnsi="Arial"/>
          <w:sz w:val="22"/>
          <w:szCs w:val="22"/>
        </w:rPr>
        <w:t xml:space="preserve">Replace synthetic data with real multi-parametric MRI datasets (e.g. DUKE-Breast-Cancer-MRI, TCGA-BRCA)</w:t>
      </w:r>
    </w:p>
    <w:p>
      <w:pPr>
        <w:pStyle w:val="ListParagraph"/>
        <w:numPr>
          <w:ilvl w:val="0"/>
          <w:numId w:val="2"/>
        </w:numPr>
        <w:spacing w:after="60" w:before="60"/>
      </w:pPr>
      <w:r>
        <w:rPr>
          <w:rFonts w:ascii="Arial" w:cs="Arial" w:eastAsia="Arial" w:hAnsi="Arial"/>
          <w:sz w:val="22"/>
          <w:szCs w:val="22"/>
        </w:rPr>
        <w:t xml:space="preserve">Replace Random Forest with transformer-based multi-modal fusion architecture with cross-attention between modalities</w:t>
      </w:r>
    </w:p>
    <w:p>
      <w:pPr>
        <w:pStyle w:val="ListParagraph"/>
        <w:numPr>
          <w:ilvl w:val="0"/>
          <w:numId w:val="2"/>
        </w:numPr>
        <w:spacing w:after="60" w:before="60"/>
      </w:pPr>
      <w:r>
        <w:rPr>
          <w:rFonts w:ascii="Arial" w:cs="Arial" w:eastAsia="Arial" w:hAnsi="Arial"/>
          <w:sz w:val="22"/>
          <w:szCs w:val="22"/>
        </w:rPr>
        <w:t xml:space="preserve">Implement vision-language models (VLMs) to generate natural language explanations of MRI features for clinicians</w:t>
      </w:r>
    </w:p>
    <w:p>
      <w:pPr>
        <w:pStyle w:val="ListParagraph"/>
        <w:numPr>
          <w:ilvl w:val="0"/>
          <w:numId w:val="2"/>
        </w:numPr>
        <w:spacing w:after="60" w:before="60"/>
      </w:pPr>
      <w:r>
        <w:rPr>
          <w:rFonts w:ascii="Arial" w:cs="Arial" w:eastAsia="Arial" w:hAnsi="Arial"/>
          <w:sz w:val="22"/>
          <w:szCs w:val="22"/>
        </w:rPr>
        <w:t xml:space="preserve">Investigate multi-agent systems (MAS) for biological mechanism discovery from patient data</w:t>
      </w:r>
    </w:p>
    <w:p>
      <w:pPr>
        <w:pStyle w:val="ListParagraph"/>
        <w:numPr>
          <w:ilvl w:val="0"/>
          <w:numId w:val="2"/>
        </w:numPr>
        <w:spacing w:after="60" w:before="60"/>
      </w:pPr>
      <w:r>
        <w:rPr>
          <w:rFonts w:ascii="Arial" w:cs="Arial" w:eastAsia="Arial" w:hAnsi="Arial"/>
          <w:sz w:val="22"/>
          <w:szCs w:val="22"/>
        </w:rPr>
        <w:t xml:space="preserve">Develop hyper-model approach for prediction from incomplete multi-modal patient records</w:t>
      </w:r>
    </w:p>
    <w:p>
      <w:pPr>
        <w:pStyle w:val="ListParagraph"/>
        <w:numPr>
          <w:ilvl w:val="0"/>
          <w:numId w:val="2"/>
        </w:numPr>
        <w:spacing w:after="60" w:before="60"/>
      </w:pPr>
      <w:r>
        <w:rPr>
          <w:rFonts w:ascii="Arial" w:cs="Arial" w:eastAsia="Arial" w:hAnsi="Arial"/>
          <w:sz w:val="22"/>
          <w:szCs w:val="22"/>
        </w:rPr>
        <w:t xml:space="preserve">Integrate with HL7 FHIR endpoints for real EHR system compatibility</w:t>
      </w:r>
    </w:p>
    <w:p>
      <w:pPr>
        <w:pStyle w:val="ListParagraph"/>
        <w:numPr>
          <w:ilvl w:val="0"/>
          <w:numId w:val="2"/>
        </w:numPr>
        <w:spacing w:after="60" w:before="60"/>
      </w:pPr>
      <w:r>
        <w:rPr>
          <w:rFonts w:ascii="Arial" w:cs="Arial" w:eastAsia="Arial" w:hAnsi="Arial"/>
          <w:sz w:val="22"/>
          <w:szCs w:val="22"/>
        </w:rPr>
        <w:t xml:space="preserve">Implement continuous model monitoring and drift detection for deployed clinical AI</w:t>
      </w:r>
    </w:p>
    <w:p>
      <w:pPr>
        <w:spacing w:after="100" w:before="100"/>
      </w:pPr>
      <w:r>
        <w:t xml:space="preserve"/>
      </w:r>
    </w:p>
    <w:p>
      <w:pPr>
        <w:pBdr>
          <w:top w:val="single" w:color="CCCCCC" w:sz="4" w:space="1"/>
        </w:pBdr>
        <w:spacing w:after="120" w:before="320"/>
      </w:pPr>
      <w:r>
        <w:rPr>
          <w:rFonts w:ascii="Arial" w:cs="Arial" w:eastAsia="Arial" w:hAnsi="Arial"/>
          <w:b/>
          <w:bCs/>
          <w:color w:val="444441"/>
          <w:sz w:val="22"/>
          <w:szCs w:val="22"/>
        </w:rPr>
        <w:t xml:space="preserve">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stage1_check.py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Environment validation</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stage2_data.py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Synthetic dataset generation → breast_cancer_dataset.csv</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stage3_model.py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Multi-modal fusion model training and evaluation</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stage4_clinical.py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Per-patient clinical decision support report</w:t>
            </w:r>
          </w:p>
        </w:tc>
      </w:tr>
      <w:tr>
        <w:tc>
          <w:tcPr>
            <w:tcW w:type="dxa" w:w="46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r>
              <w:rPr>
                <w:rFonts w:ascii="Arial" w:cs="Arial" w:eastAsia="Arial" w:hAnsi="Arial"/>
                <w:b/>
                <w:bCs/>
                <w:sz w:val="22"/>
                <w:szCs w:val="22"/>
              </w:rPr>
              <w:t xml:space="preserve">stage5_evaluate.py</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2"/>
                <w:szCs w:val="22"/>
              </w:rPr>
              <w:t xml:space="preserve">ROC curve, confusion matrix, SHAP → hercare_evaluation_report.png</w:t>
            </w:r>
          </w:p>
        </w:tc>
      </w:tr>
    </w:tbl>
    <w:p>
      <w:pPr>
        <w:spacing w:after="100" w:before="100"/>
      </w:pPr>
      <w:r>
        <w:t xml:space="preserve"/>
      </w:r>
    </w:p>
    <w:p>
      <w:pPr>
        <w:spacing w:after="120" w:before="80"/>
      </w:pPr>
      <w:r>
        <w:rPr>
          <w:rFonts w:ascii="Arial" w:cs="Arial" w:eastAsia="Arial" w:hAnsi="Arial"/>
          <w:i/>
          <w:iCs/>
          <w:color w:val="888780"/>
          <w:sz w:val="22"/>
          <w:szCs w:val="22"/>
        </w:rPr>
        <w:t xml:space="preserve">All code is reproducible with a fixed random seed (42). The full pipeline runs in under 30 seconds on a standard CPU laptop.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2026-06-16T17:48:42.688Z</dcterms:created>
  <dcterms:modified xsi:type="dcterms:W3CDTF">2026-06-16T17:48:42.688Z</dcterms:modified>
</cp:coreProperties>
</file>

<file path=docProps/custom.xml><?xml version="1.0" encoding="utf-8"?>
<Properties xmlns="http://schemas.openxmlformats.org/officeDocument/2006/custom-properties" xmlns:vt="http://schemas.openxmlformats.org/officeDocument/2006/docPropsVTypes"/>
</file>