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9CC55" w14:textId="77777777" w:rsidR="00BE290C" w:rsidRDefault="00000000">
      <w:pPr>
        <w:pStyle w:val="Heading1"/>
      </w:pPr>
      <w:r>
        <w:t>Option A — Replit Change Request: Guidance Content Library</w:t>
      </w:r>
    </w:p>
    <w:p w14:paraId="7140BA82" w14:textId="77777777" w:rsidR="00BE290C" w:rsidRDefault="00000000">
      <w:r>
        <w:t>Oct 13, 2026 · @FedEx</w:t>
      </w:r>
    </w:p>
    <w:p w14:paraId="5B400110" w14:textId="77777777" w:rsidR="00BE290C" w:rsidRDefault="00000000">
      <w:pPr>
        <w:pStyle w:val="Heading2"/>
      </w:pPr>
      <w:r>
        <w:t>1. What to build</w:t>
      </w:r>
    </w:p>
    <w:p w14:paraId="4175BC1F" w14:textId="77777777" w:rsidR="00BE290C" w:rsidRDefault="00000000">
      <w:r>
        <w:t xml:space="preserve">Add a </w:t>
      </w:r>
      <w:r>
        <w:rPr>
          <w:b/>
        </w:rPr>
        <w:t>Guidance panel</w:t>
      </w:r>
      <w:r>
        <w:t xml:space="preserve"> to every activity screen of the Option A app already in development, fed by a static content file, so each topic shows a definition, why it matters, examples from the UoF Playbook and practical tips next to the form.</w:t>
      </w:r>
    </w:p>
    <w:p w14:paraId="5CBECE06" w14:textId="77777777" w:rsidR="00BE290C" w:rsidRDefault="00000000">
      <w:r>
        <w:t>This is an additive change. It does not alter the database schema, the progress calculation, permissions or the deck export.</w:t>
      </w:r>
    </w:p>
    <w:p w14:paraId="1EF29113" w14:textId="77777777" w:rsidR="00BE290C" w:rsidRDefault="00000000">
      <w:r>
        <w:rPr>
          <w:b/>
        </w:rPr>
        <w:t>Changes in short</w:t>
      </w:r>
    </w:p>
    <w:p w14:paraId="5AB45806" w14:textId="77777777" w:rsidR="00BE290C" w:rsidRDefault="00000000">
      <w:pPr>
        <w:pStyle w:val="ListParagraph"/>
        <w:numPr>
          <w:ilvl w:val="0"/>
          <w:numId w:val="2"/>
        </w:numPr>
      </w:pPr>
      <w:r>
        <w:t xml:space="preserve">New file </w:t>
      </w:r>
      <w:r>
        <w:rPr>
          <w:rStyle w:val="CodeChar"/>
        </w:rPr>
        <w:t>shared/guidance.ts</w:t>
      </w:r>
      <w:r>
        <w:t xml:space="preserve"> with typed content for 21 topics (Sections 4–6 of this document).</w:t>
      </w:r>
    </w:p>
    <w:p w14:paraId="53A1BB04" w14:textId="77777777" w:rsidR="00BE290C" w:rsidRDefault="00000000">
      <w:pPr>
        <w:pStyle w:val="ListParagraph"/>
        <w:numPr>
          <w:ilvl w:val="0"/>
          <w:numId w:val="2"/>
        </w:numPr>
      </w:pPr>
      <w:r>
        <w:t xml:space="preserve">New component </w:t>
      </w:r>
      <w:r>
        <w:rPr>
          <w:rStyle w:val="CodeChar"/>
        </w:rPr>
        <w:t>GuidancePanel</w:t>
      </w:r>
      <w:r>
        <w:t xml:space="preserve"> rendered on the right side of every activity page (</w:t>
      </w:r>
      <w:r>
        <w:rPr>
          <w:rStyle w:val="CodeChar"/>
        </w:rPr>
        <w:t>/plans/:id/activities/:code</w:t>
      </w:r>
      <w:r>
        <w:t>).</w:t>
      </w:r>
    </w:p>
    <w:p w14:paraId="7E906450" w14:textId="77777777" w:rsidR="00BE290C" w:rsidRDefault="00000000">
      <w:pPr>
        <w:pStyle w:val="ListParagraph"/>
        <w:numPr>
          <w:ilvl w:val="0"/>
          <w:numId w:val="2"/>
        </w:numPr>
      </w:pPr>
      <w:r>
        <w:t>Inline field hints: small "?" icons next to key fields that open the matching example in a popover.</w:t>
      </w:r>
    </w:p>
    <w:p w14:paraId="0465456E" w14:textId="77777777" w:rsidR="00BE290C" w:rsidRDefault="00000000">
      <w:pPr>
        <w:pStyle w:val="ListParagraph"/>
        <w:numPr>
          <w:ilvl w:val="0"/>
          <w:numId w:val="2"/>
        </w:numPr>
      </w:pPr>
      <w:r>
        <w:t>"Use this example" buttons on statement fields (mission, vision, SMART objective) that paste the example into the field as an editable draft.</w:t>
      </w:r>
    </w:p>
    <w:p w14:paraId="3C2543E2" w14:textId="77777777" w:rsidR="00BE290C" w:rsidRDefault="00000000">
      <w:pPr>
        <w:pStyle w:val="ListParagraph"/>
        <w:numPr>
          <w:ilvl w:val="0"/>
          <w:numId w:val="2"/>
        </w:numPr>
      </w:pPr>
      <w:r>
        <w:t xml:space="preserve">A searchable </w:t>
      </w:r>
      <w:r>
        <w:rPr>
          <w:b/>
        </w:rPr>
        <w:t>Help Center</w:t>
      </w:r>
      <w:r>
        <w:t xml:space="preserve"> page at </w:t>
      </w:r>
      <w:r>
        <w:rPr>
          <w:rStyle w:val="CodeChar"/>
        </w:rPr>
        <w:t>/help</w:t>
      </w:r>
      <w:r>
        <w:t xml:space="preserve"> listing every topic, reachable from the top-bar help icon.</w:t>
      </w:r>
    </w:p>
    <w:p w14:paraId="7CAA1468" w14:textId="77777777" w:rsidR="00BE290C" w:rsidRDefault="00000000">
      <w:r>
        <w:rPr>
          <w:b/>
        </w:rPr>
        <w:t>Out of scope:</w:t>
      </w:r>
      <w:r>
        <w:t xml:space="preserve"> admin editing of the guidance text (planned later; for now content lives in code), translations, video content.</w:t>
      </w:r>
    </w:p>
    <w:p w14:paraId="23DDDBC9" w14:textId="77777777" w:rsidR="00BE290C" w:rsidRDefault="00000000">
      <w:pPr>
        <w:pStyle w:val="Heading2"/>
      </w:pPr>
      <w:r>
        <w:t>2. Guidance panel UI</w:t>
      </w:r>
    </w:p>
    <w:p w14:paraId="11456731" w14:textId="77777777" w:rsidR="00BE290C" w:rsidRDefault="00000000">
      <w:r>
        <w:t>The panel sits to the right of the activity form, 360 px wide on desktop, and has four tabs: Definition, Why it matters, Examples, Tips.</w:t>
      </w:r>
    </w:p>
    <w:p w14:paraId="2E948CFB" w14:textId="77777777" w:rsidR="00BE290C" w:rsidRDefault="00000000">
      <w:r>
        <w:rPr>
          <w:b/>
        </w:rPr>
        <w:t>Layout</w:t>
      </w:r>
    </w:p>
    <w:p w14:paraId="13F14C48" w14:textId="77777777" w:rsidR="00BE290C" w:rsidRDefault="00000000">
      <w:pPr>
        <w:pStyle w:val="ListParagraph"/>
        <w:numPr>
          <w:ilvl w:val="0"/>
          <w:numId w:val="3"/>
        </w:numPr>
      </w:pPr>
      <w:r>
        <w:t>Desktop (≥ 1280 px): two columns, form left (fluid), panel right (360 px, sticky under the top bar, own scroll).</w:t>
      </w:r>
    </w:p>
    <w:p w14:paraId="2B082A7E" w14:textId="77777777" w:rsidR="00BE290C" w:rsidRDefault="00000000">
      <w:pPr>
        <w:pStyle w:val="ListParagraph"/>
        <w:numPr>
          <w:ilvl w:val="0"/>
          <w:numId w:val="3"/>
        </w:numPr>
      </w:pPr>
      <w:r>
        <w:t>Tablet and phone: the panel collapses into a "Guidance" button at the top of the form that opens a bottom sheet.</w:t>
      </w:r>
    </w:p>
    <w:p w14:paraId="7352F06C" w14:textId="77777777" w:rsidR="00BE290C" w:rsidRDefault="00000000">
      <w:pPr>
        <w:pStyle w:val="ListParagraph"/>
        <w:numPr>
          <w:ilvl w:val="0"/>
          <w:numId w:val="3"/>
        </w:numPr>
      </w:pPr>
      <w:r>
        <w:t xml:space="preserve">A collapse toggle (chevron) hides the panel; remember the state per user with </w:t>
      </w:r>
      <w:r>
        <w:rPr>
          <w:rStyle w:val="CodeChar"/>
        </w:rPr>
        <w:t>localStorage</w:t>
      </w:r>
      <w:r>
        <w:t xml:space="preserve"> wrapped in try/catch.</w:t>
      </w:r>
    </w:p>
    <w:p w14:paraId="4FDE5878" w14:textId="77777777" w:rsidR="00BE290C" w:rsidRDefault="00000000">
      <w:r>
        <w:rPr>
          <w:b/>
        </w:rPr>
        <w:t>Panel content</w:t>
      </w:r>
    </w:p>
    <w:tbl>
      <w:tblPr>
        <w:tblStyle w:val="TableGrid"/>
        <w:tblW w:w="0" w:type="auto"/>
        <w:tblLayout w:type="fixed"/>
        <w:tblLook w:val="0420" w:firstRow="1" w:lastRow="0" w:firstColumn="0" w:lastColumn="0" w:noHBand="0" w:noVBand="1"/>
      </w:tblPr>
      <w:tblGrid>
        <w:gridCol w:w="3120"/>
        <w:gridCol w:w="3120"/>
        <w:gridCol w:w="3120"/>
      </w:tblGrid>
      <w:tr w:rsidR="00BE290C" w14:paraId="1170AC3A" w14:textId="77777777">
        <w:trPr>
          <w:tblHeader/>
        </w:trPr>
        <w:tc>
          <w:tcPr>
            <w:tcW w:w="3120" w:type="dxa"/>
            <w:shd w:val="clear" w:color="auto" w:fill="F2F2F2"/>
          </w:tcPr>
          <w:p w14:paraId="1FF4C98A" w14:textId="77777777" w:rsidR="00BE290C" w:rsidRDefault="00000000">
            <w:r>
              <w:t>Element</w:t>
            </w:r>
          </w:p>
        </w:tc>
        <w:tc>
          <w:tcPr>
            <w:tcW w:w="3120" w:type="dxa"/>
            <w:shd w:val="clear" w:color="auto" w:fill="F2F2F2"/>
          </w:tcPr>
          <w:p w14:paraId="0CE473B9" w14:textId="77777777" w:rsidR="00BE290C" w:rsidRDefault="00000000">
            <w:r>
              <w:t>Content</w:t>
            </w:r>
          </w:p>
        </w:tc>
        <w:tc>
          <w:tcPr>
            <w:tcW w:w="3120" w:type="dxa"/>
            <w:shd w:val="clear" w:color="auto" w:fill="F2F2F2"/>
          </w:tcPr>
          <w:p w14:paraId="333849B6" w14:textId="77777777" w:rsidR="00BE290C" w:rsidRDefault="00000000">
            <w:r>
              <w:t>Style</w:t>
            </w:r>
          </w:p>
        </w:tc>
      </w:tr>
      <w:tr w:rsidR="00BE290C" w14:paraId="43BB2883" w14:textId="77777777">
        <w:tc>
          <w:tcPr>
            <w:tcW w:w="3120" w:type="dxa"/>
          </w:tcPr>
          <w:p w14:paraId="2A8BF022" w14:textId="77777777" w:rsidR="00BE290C" w:rsidRDefault="00000000">
            <w:r>
              <w:t>Header</w:t>
            </w:r>
          </w:p>
        </w:tc>
        <w:tc>
          <w:tcPr>
            <w:tcW w:w="3120" w:type="dxa"/>
          </w:tcPr>
          <w:p w14:paraId="558811A1" w14:textId="77777777" w:rsidR="00BE290C" w:rsidRDefault="00000000">
            <w:r>
              <w:t xml:space="preserve">Topic title + phase chip (P1–P4 in phase color) + "From: </w:t>
            </w:r>
            <w:r>
              <w:lastRenderedPageBreak/>
              <w:t>{implementation guide name}"</w:t>
            </w:r>
          </w:p>
        </w:tc>
        <w:tc>
          <w:tcPr>
            <w:tcW w:w="3120" w:type="dxa"/>
          </w:tcPr>
          <w:p w14:paraId="6019400D" w14:textId="77777777" w:rsidR="00BE290C" w:rsidRDefault="00000000">
            <w:r>
              <w:lastRenderedPageBreak/>
              <w:t>H2 18 px Semibold</w:t>
            </w:r>
          </w:p>
        </w:tc>
      </w:tr>
      <w:tr w:rsidR="00BE290C" w14:paraId="30770CB7" w14:textId="77777777">
        <w:tc>
          <w:tcPr>
            <w:tcW w:w="3120" w:type="dxa"/>
          </w:tcPr>
          <w:p w14:paraId="7E0DF1BE" w14:textId="77777777" w:rsidR="00BE290C" w:rsidRDefault="00000000">
            <w:r>
              <w:t>Tab "Definition"</w:t>
            </w:r>
          </w:p>
        </w:tc>
        <w:tc>
          <w:tcPr>
            <w:tcW w:w="3120" w:type="dxa"/>
          </w:tcPr>
          <w:p w14:paraId="78000327" w14:textId="77777777" w:rsidR="00BE290C" w:rsidRDefault="00000000">
            <w:r>
              <w:t>1–3 short paragraphs</w:t>
            </w:r>
          </w:p>
        </w:tc>
        <w:tc>
          <w:tcPr>
            <w:tcW w:w="3120" w:type="dxa"/>
          </w:tcPr>
          <w:p w14:paraId="3385D632" w14:textId="77777777" w:rsidR="00BE290C" w:rsidRDefault="00000000">
            <w:r>
              <w:t>Body 14 px</w:t>
            </w:r>
          </w:p>
        </w:tc>
      </w:tr>
      <w:tr w:rsidR="00BE290C" w14:paraId="3E1F5AC2" w14:textId="77777777">
        <w:tc>
          <w:tcPr>
            <w:tcW w:w="3120" w:type="dxa"/>
          </w:tcPr>
          <w:p w14:paraId="622F8612" w14:textId="77777777" w:rsidR="00BE290C" w:rsidRDefault="00000000">
            <w:r>
              <w:t>Tab "Why it matters"</w:t>
            </w:r>
          </w:p>
        </w:tc>
        <w:tc>
          <w:tcPr>
            <w:tcW w:w="3120" w:type="dxa"/>
          </w:tcPr>
          <w:p w14:paraId="54374637" w14:textId="77777777" w:rsidR="00BE290C" w:rsidRDefault="00000000">
            <w:r>
              <w:t>2–4 bullets on why the topic matters for a water utility</w:t>
            </w:r>
          </w:p>
        </w:tc>
        <w:tc>
          <w:tcPr>
            <w:tcW w:w="3120" w:type="dxa"/>
          </w:tcPr>
          <w:p w14:paraId="678D9879" w14:textId="77777777" w:rsidR="00BE290C" w:rsidRDefault="00000000">
            <w:r>
              <w:t>Body 14 px</w:t>
            </w:r>
          </w:p>
        </w:tc>
      </w:tr>
      <w:tr w:rsidR="00BE290C" w14:paraId="5BDA241F" w14:textId="77777777">
        <w:tc>
          <w:tcPr>
            <w:tcW w:w="3120" w:type="dxa"/>
          </w:tcPr>
          <w:p w14:paraId="53E9A788" w14:textId="77777777" w:rsidR="00BE290C" w:rsidRDefault="00000000">
            <w:r>
              <w:t>Tab "Examples"</w:t>
            </w:r>
          </w:p>
        </w:tc>
        <w:tc>
          <w:tcPr>
            <w:tcW w:w="3120" w:type="dxa"/>
          </w:tcPr>
          <w:p w14:paraId="45CCEB31" w14:textId="77777777" w:rsidR="00BE290C" w:rsidRDefault="00000000">
            <w:r>
              <w:t>Example cards; statements in a quote style; tables rendered as small tables</w:t>
            </w:r>
          </w:p>
        </w:tc>
        <w:tc>
          <w:tcPr>
            <w:tcW w:w="3120" w:type="dxa"/>
          </w:tcPr>
          <w:p w14:paraId="61678805" w14:textId="77777777" w:rsidR="00BE290C" w:rsidRDefault="00000000">
            <w:r>
              <w:t xml:space="preserve">Card with </w:t>
            </w:r>
            <w:r>
              <w:rPr>
                <w:rStyle w:val="CodeChar"/>
              </w:rPr>
              <w:t>blue-50</w:t>
            </w:r>
            <w:r>
              <w:t xml:space="preserve"> background, 8 px radius</w:t>
            </w:r>
          </w:p>
        </w:tc>
      </w:tr>
      <w:tr w:rsidR="00BE290C" w14:paraId="05FD3E99" w14:textId="77777777">
        <w:tc>
          <w:tcPr>
            <w:tcW w:w="3120" w:type="dxa"/>
          </w:tcPr>
          <w:p w14:paraId="5AA8A036" w14:textId="77777777" w:rsidR="00BE290C" w:rsidRDefault="00000000">
            <w:r>
              <w:t>Tab "Tips"</w:t>
            </w:r>
          </w:p>
        </w:tc>
        <w:tc>
          <w:tcPr>
            <w:tcW w:w="3120" w:type="dxa"/>
          </w:tcPr>
          <w:p w14:paraId="1217277D" w14:textId="77777777" w:rsidR="00BE290C" w:rsidRDefault="00000000">
            <w:r>
              <w:t>Do / Avoid lists and common mistakes</w:t>
            </w:r>
          </w:p>
        </w:tc>
        <w:tc>
          <w:tcPr>
            <w:tcW w:w="3120" w:type="dxa"/>
          </w:tcPr>
          <w:p w14:paraId="1D52A128" w14:textId="77777777" w:rsidR="00BE290C" w:rsidRDefault="00000000">
            <w:r>
              <w:t>Green check / amber warning icons</w:t>
            </w:r>
          </w:p>
        </w:tc>
      </w:tr>
      <w:tr w:rsidR="00BE290C" w14:paraId="55E07A15" w14:textId="77777777">
        <w:tc>
          <w:tcPr>
            <w:tcW w:w="3120" w:type="dxa"/>
          </w:tcPr>
          <w:p w14:paraId="5F57167F" w14:textId="77777777" w:rsidR="00BE290C" w:rsidRDefault="00000000">
            <w:r>
              <w:t>Footer</w:t>
            </w:r>
          </w:p>
        </w:tc>
        <w:tc>
          <w:tcPr>
            <w:tcW w:w="3120" w:type="dxa"/>
          </w:tcPr>
          <w:p w14:paraId="2B06F8B4" w14:textId="77777777" w:rsidR="00BE290C" w:rsidRDefault="00000000">
            <w:r>
              <w:t xml:space="preserve">Guiding questions (when the topic has them) as a checklist the user can tick (not saved) + link "Open full guide" to </w:t>
            </w:r>
            <w:r>
              <w:rPr>
                <w:rStyle w:val="CodeChar"/>
              </w:rPr>
              <w:t>/help/{topicId}</w:t>
            </w:r>
          </w:p>
        </w:tc>
        <w:tc>
          <w:tcPr>
            <w:tcW w:w="3120" w:type="dxa"/>
          </w:tcPr>
          <w:p w14:paraId="457FE0D1" w14:textId="77777777" w:rsidR="00BE290C" w:rsidRDefault="00000000">
            <w:r>
              <w:t>12 px slate</w:t>
            </w:r>
          </w:p>
        </w:tc>
      </w:tr>
    </w:tbl>
    <w:p w14:paraId="1FB84E66" w14:textId="77777777" w:rsidR="00BE290C" w:rsidRDefault="00000000">
      <w:r>
        <w:rPr>
          <w:b/>
        </w:rPr>
        <w:t>Behavior</w:t>
      </w:r>
    </w:p>
    <w:p w14:paraId="7CA45F91" w14:textId="77777777" w:rsidR="00BE290C" w:rsidRDefault="00000000">
      <w:pPr>
        <w:pStyle w:val="ListParagraph"/>
        <w:numPr>
          <w:ilvl w:val="0"/>
          <w:numId w:val="4"/>
        </w:numPr>
      </w:pPr>
      <w:r>
        <w:t>"Use this example" on an example card copies its text into the linked field (</w:t>
      </w:r>
      <w:r>
        <w:rPr>
          <w:rStyle w:val="CodeChar"/>
        </w:rPr>
        <w:t>targetField</w:t>
      </w:r>
      <w:r>
        <w:t>) only after a confirm dialog if the field is not empty.</w:t>
      </w:r>
    </w:p>
    <w:p w14:paraId="48F32693" w14:textId="77777777" w:rsidR="00BE290C" w:rsidRDefault="00000000">
      <w:pPr>
        <w:pStyle w:val="ListParagraph"/>
        <w:numPr>
          <w:ilvl w:val="0"/>
          <w:numId w:val="4"/>
        </w:numPr>
      </w:pPr>
      <w:r>
        <w:t>Field hint icons (</w:t>
      </w:r>
      <w:r>
        <w:rPr>
          <w:rStyle w:val="CodeChar"/>
        </w:rPr>
        <w:t>?</w:t>
      </w:r>
      <w:r>
        <w:t>, 16 px, slate) open a popover with the field's hint and one example.</w:t>
      </w:r>
    </w:p>
    <w:p w14:paraId="331BBAA2" w14:textId="77777777" w:rsidR="00BE290C" w:rsidRDefault="00000000">
      <w:pPr>
        <w:pStyle w:val="ListParagraph"/>
        <w:numPr>
          <w:ilvl w:val="0"/>
          <w:numId w:val="4"/>
        </w:numPr>
      </w:pPr>
      <w:r>
        <w:t>Examples are clearly labelled "Example" so they are not mistaken for the utility's own data.</w:t>
      </w:r>
    </w:p>
    <w:p w14:paraId="49D39B8A" w14:textId="77777777" w:rsidR="00BE290C" w:rsidRDefault="00000000">
      <w:pPr>
        <w:pStyle w:val="ListParagraph"/>
        <w:numPr>
          <w:ilvl w:val="0"/>
          <w:numId w:val="4"/>
        </w:numPr>
      </w:pPr>
      <w:r>
        <w:t>All text is plain English, short sentences, numbers with units.</w:t>
      </w:r>
    </w:p>
    <w:p w14:paraId="5602C9EF" w14:textId="77777777" w:rsidR="00BE290C" w:rsidRDefault="00000000">
      <w:r>
        <w:rPr>
          <w:b/>
        </w:rPr>
        <w:t>Branding:</w:t>
      </w:r>
      <w:r>
        <w:t xml:space="preserve"> use the existing tokens (navy #002244, Water Blue #009FDA, </w:t>
      </w:r>
      <w:r>
        <w:rPr>
          <w:rStyle w:val="CodeChar"/>
        </w:rPr>
        <w:t>blue-50</w:t>
      </w:r>
      <w:r>
        <w:t xml:space="preserve"> #E6F5FB, border #E3E8EF, phase colors). No new colors.</w:t>
      </w:r>
    </w:p>
    <w:p w14:paraId="4409B6A2" w14:textId="77777777" w:rsidR="00BE290C" w:rsidRDefault="00000000">
      <w:pPr>
        <w:pStyle w:val="Heading2"/>
      </w:pPr>
      <w:r>
        <w:t>3. Data structure and mapping</w:t>
      </w:r>
    </w:p>
    <w:p w14:paraId="43B03267" w14:textId="77777777" w:rsidR="00BE290C" w:rsidRDefault="00000000">
      <w:r>
        <w:t xml:space="preserve">All guidance lives in one typed file, </w:t>
      </w:r>
      <w:r>
        <w:rPr>
          <w:rStyle w:val="CodeChar"/>
        </w:rPr>
        <w:t>shared/guidance.ts</w:t>
      </w:r>
      <w:r>
        <w:t>, with 21 topics; each activity code points to one or more topics, and the panel shows the first one with a switcher when there are several.</w:t>
      </w:r>
    </w:p>
    <w:p w14:paraId="598A732E" w14:textId="77777777" w:rsidR="00BE290C" w:rsidRDefault="00000000">
      <w:pPr>
        <w:pStyle w:val="Code"/>
      </w:pPr>
      <w:bookmarkStart w:id="0" w:name="bongo_lang_ts_1"/>
      <w:bookmarkEnd w:id="0"/>
      <w:r>
        <w:t>// shared/guidance.ts</w:t>
      </w:r>
      <w:r>
        <w:br/>
        <w:t>export type GuidanceExample = {</w:t>
      </w:r>
      <w:r>
        <w:br/>
        <w:t xml:space="preserve">  label: string;            // e.g. "DHL Group"</w:t>
      </w:r>
      <w:r>
        <w:br/>
        <w:t xml:space="preserve">  text?: string;            // statement-style example</w:t>
      </w:r>
      <w:r>
        <w:br/>
        <w:t xml:space="preserve">  table?: { headers: string[]; rows: string[][] };</w:t>
      </w:r>
      <w:r>
        <w:br/>
        <w:t xml:space="preserve">  targetField?: string;     // form field that "Use this example" fills</w:t>
      </w:r>
      <w:r>
        <w:br/>
        <w:t>};</w:t>
      </w:r>
      <w:r>
        <w:br/>
      </w:r>
      <w:r>
        <w:br/>
        <w:t>export type GuidanceTopic = {</w:t>
      </w:r>
      <w:r>
        <w:br/>
        <w:t xml:space="preserve">  id: string;               // kebab-case, e.g. "mission"</w:t>
      </w:r>
      <w:r>
        <w:br/>
        <w:t xml:space="preserve">  title: string;</w:t>
      </w:r>
      <w:r>
        <w:br/>
        <w:t xml:space="preserve">  phase: 'P1' | 'P2' | 'P3' | 'P4';</w:t>
      </w:r>
      <w:r>
        <w:br/>
        <w:t xml:space="preserve">  source: string;           // implementation guide or Master Guide slide</w:t>
      </w:r>
      <w:r>
        <w:br/>
        <w:t xml:space="preserve">  definition: string[];     // paragraphs</w:t>
      </w:r>
      <w:r>
        <w:br/>
      </w:r>
      <w:r>
        <w:lastRenderedPageBreak/>
        <w:t xml:space="preserve">  whyItMatters: string[];   // bullets</w:t>
      </w:r>
      <w:r>
        <w:br/>
        <w:t xml:space="preserve">  examples: GuidanceExample[];</w:t>
      </w:r>
      <w:r>
        <w:br/>
        <w:t xml:space="preserve">  tips: { do: string[]; avoid: string[] };</w:t>
      </w:r>
      <w:r>
        <w:br/>
        <w:t xml:space="preserve">  guidingQuestions?: string[];</w:t>
      </w:r>
      <w:r>
        <w:br/>
        <w:t xml:space="preserve">  fieldHints?: Record&lt;string, string&gt;; // fieldName -&gt; hint</w:t>
      </w:r>
      <w:r>
        <w:br/>
        <w:t>};</w:t>
      </w:r>
      <w:r>
        <w:br/>
      </w:r>
      <w:r>
        <w:br/>
        <w:t>export const GUIDANCE: Record&lt;string, GuidanceTopic&gt; = { /* Sections 4-6 */ };</w:t>
      </w:r>
      <w:r>
        <w:br/>
      </w:r>
      <w:r>
        <w:br/>
        <w:t>export const ACTIVITY_GUIDANCE: Record&lt;string, string[]&gt; = { /* table below */ };</w:t>
      </w:r>
    </w:p>
    <w:p w14:paraId="2F719CC7" w14:textId="77777777" w:rsidR="00BE290C" w:rsidRDefault="00000000">
      <w:r>
        <w:rPr>
          <w:b/>
        </w:rPr>
        <w:t>Activity → topic mapping</w:t>
      </w:r>
    </w:p>
    <w:tbl>
      <w:tblPr>
        <w:tblStyle w:val="TableGrid"/>
        <w:tblW w:w="0" w:type="auto"/>
        <w:tblLayout w:type="fixed"/>
        <w:tblLook w:val="0420" w:firstRow="1" w:lastRow="0" w:firstColumn="0" w:lastColumn="0" w:noHBand="0" w:noVBand="1"/>
      </w:tblPr>
      <w:tblGrid>
        <w:gridCol w:w="4680"/>
        <w:gridCol w:w="4680"/>
      </w:tblGrid>
      <w:tr w:rsidR="00BE290C" w14:paraId="215B1E37" w14:textId="77777777">
        <w:trPr>
          <w:tblHeader/>
        </w:trPr>
        <w:tc>
          <w:tcPr>
            <w:tcW w:w="4680" w:type="dxa"/>
            <w:shd w:val="clear" w:color="auto" w:fill="F2F2F2"/>
          </w:tcPr>
          <w:p w14:paraId="34985BCE" w14:textId="77777777" w:rsidR="00BE290C" w:rsidRDefault="00000000">
            <w:r>
              <w:t>Activity</w:t>
            </w:r>
          </w:p>
        </w:tc>
        <w:tc>
          <w:tcPr>
            <w:tcW w:w="4680" w:type="dxa"/>
            <w:shd w:val="clear" w:color="auto" w:fill="F2F2F2"/>
          </w:tcPr>
          <w:p w14:paraId="5406BBAF" w14:textId="77777777" w:rsidR="00BE290C" w:rsidRDefault="00000000">
            <w:r>
              <w:t>Topic ids</w:t>
            </w:r>
          </w:p>
        </w:tc>
      </w:tr>
      <w:tr w:rsidR="00BE290C" w14:paraId="53CD52E5" w14:textId="77777777">
        <w:tc>
          <w:tcPr>
            <w:tcW w:w="4680" w:type="dxa"/>
          </w:tcPr>
          <w:p w14:paraId="3FA2DE33" w14:textId="77777777" w:rsidR="00BE290C" w:rsidRDefault="00000000">
            <w:r>
              <w:t>A1.1 Stand-up project team</w:t>
            </w:r>
          </w:p>
        </w:tc>
        <w:tc>
          <w:tcPr>
            <w:tcW w:w="4680" w:type="dxa"/>
          </w:tcPr>
          <w:p w14:paraId="66332989" w14:textId="77777777" w:rsidR="00BE290C" w:rsidRDefault="00000000">
            <w:r>
              <w:rPr>
                <w:rStyle w:val="CodeChar"/>
              </w:rPr>
              <w:t>project-team</w:t>
            </w:r>
          </w:p>
        </w:tc>
      </w:tr>
      <w:tr w:rsidR="00BE290C" w14:paraId="77D0DDE6" w14:textId="77777777">
        <w:tc>
          <w:tcPr>
            <w:tcW w:w="4680" w:type="dxa"/>
          </w:tcPr>
          <w:p w14:paraId="06F20B23" w14:textId="77777777" w:rsidR="00BE290C" w:rsidRDefault="00000000">
            <w:r>
              <w:t>A1.2 Document past performance</w:t>
            </w:r>
          </w:p>
        </w:tc>
        <w:tc>
          <w:tcPr>
            <w:tcW w:w="4680" w:type="dxa"/>
          </w:tcPr>
          <w:p w14:paraId="0EA1FF6E" w14:textId="77777777" w:rsidR="00BE290C" w:rsidRDefault="00000000">
            <w:r>
              <w:rPr>
                <w:rStyle w:val="CodeChar"/>
              </w:rPr>
              <w:t>past-performance</w:t>
            </w:r>
          </w:p>
        </w:tc>
      </w:tr>
      <w:tr w:rsidR="00BE290C" w14:paraId="7C97A6AE" w14:textId="77777777">
        <w:tc>
          <w:tcPr>
            <w:tcW w:w="4680" w:type="dxa"/>
          </w:tcPr>
          <w:p w14:paraId="22DDB093" w14:textId="77777777" w:rsidR="00BE290C" w:rsidRDefault="00000000">
            <w:r>
              <w:t>A1.3 Key strengths and weaknesses</w:t>
            </w:r>
          </w:p>
        </w:tc>
        <w:tc>
          <w:tcPr>
            <w:tcW w:w="4680" w:type="dxa"/>
          </w:tcPr>
          <w:p w14:paraId="2DCBC029" w14:textId="77777777" w:rsidR="00BE290C" w:rsidRDefault="00000000">
            <w:r>
              <w:rPr>
                <w:rStyle w:val="CodeChar"/>
              </w:rPr>
              <w:t>uof-maturity</w:t>
            </w:r>
          </w:p>
        </w:tc>
      </w:tr>
      <w:tr w:rsidR="00BE290C" w14:paraId="346D240E" w14:textId="77777777">
        <w:tc>
          <w:tcPr>
            <w:tcW w:w="4680" w:type="dxa"/>
          </w:tcPr>
          <w:p w14:paraId="60E24D7B" w14:textId="77777777" w:rsidR="00BE290C" w:rsidRDefault="00000000">
            <w:r>
              <w:t>A1.4 Outputs of the 100-day action plan</w:t>
            </w:r>
          </w:p>
        </w:tc>
        <w:tc>
          <w:tcPr>
            <w:tcW w:w="4680" w:type="dxa"/>
          </w:tcPr>
          <w:p w14:paraId="64C353A7" w14:textId="77777777" w:rsidR="00BE290C" w:rsidRDefault="00000000">
            <w:r>
              <w:rPr>
                <w:rStyle w:val="CodeChar"/>
              </w:rPr>
              <w:t>action-plan-100-day</w:t>
            </w:r>
          </w:p>
        </w:tc>
      </w:tr>
      <w:tr w:rsidR="00BE290C" w14:paraId="3AE54E65" w14:textId="77777777">
        <w:tc>
          <w:tcPr>
            <w:tcW w:w="4680" w:type="dxa"/>
          </w:tcPr>
          <w:p w14:paraId="5A0D06A0" w14:textId="77777777" w:rsidR="00BE290C" w:rsidRDefault="00000000">
            <w:r>
              <w:t>A1.5 Demographic analysis</w:t>
            </w:r>
          </w:p>
        </w:tc>
        <w:tc>
          <w:tcPr>
            <w:tcW w:w="4680" w:type="dxa"/>
          </w:tcPr>
          <w:p w14:paraId="40C40449" w14:textId="77777777" w:rsidR="00BE290C" w:rsidRDefault="00000000">
            <w:r>
              <w:rPr>
                <w:rStyle w:val="CodeChar"/>
              </w:rPr>
              <w:t>demographics</w:t>
            </w:r>
          </w:p>
        </w:tc>
      </w:tr>
      <w:tr w:rsidR="00BE290C" w14:paraId="0CFE5ECB" w14:textId="77777777">
        <w:tc>
          <w:tcPr>
            <w:tcW w:w="4680" w:type="dxa"/>
          </w:tcPr>
          <w:p w14:paraId="09FD456C" w14:textId="77777777" w:rsidR="00BE290C" w:rsidRDefault="00000000">
            <w:r>
              <w:t>A1.6 Enablement environment</w:t>
            </w:r>
          </w:p>
        </w:tc>
        <w:tc>
          <w:tcPr>
            <w:tcW w:w="4680" w:type="dxa"/>
          </w:tcPr>
          <w:p w14:paraId="545CF3B6" w14:textId="77777777" w:rsidR="00BE290C" w:rsidRDefault="00000000">
            <w:r>
              <w:rPr>
                <w:rStyle w:val="CodeChar"/>
              </w:rPr>
              <w:t>enablement-environment</w:t>
            </w:r>
          </w:p>
        </w:tc>
      </w:tr>
      <w:tr w:rsidR="00BE290C" w14:paraId="48058049" w14:textId="77777777">
        <w:tc>
          <w:tcPr>
            <w:tcW w:w="4680" w:type="dxa"/>
          </w:tcPr>
          <w:p w14:paraId="158744C6" w14:textId="77777777" w:rsidR="00BE290C" w:rsidRDefault="00000000">
            <w:r>
              <w:t>A1.7 SWOT analysis</w:t>
            </w:r>
          </w:p>
        </w:tc>
        <w:tc>
          <w:tcPr>
            <w:tcW w:w="4680" w:type="dxa"/>
          </w:tcPr>
          <w:p w14:paraId="01662E29" w14:textId="77777777" w:rsidR="00BE290C" w:rsidRDefault="00000000">
            <w:r>
              <w:rPr>
                <w:rStyle w:val="CodeChar"/>
              </w:rPr>
              <w:t>swot</w:t>
            </w:r>
          </w:p>
        </w:tc>
      </w:tr>
      <w:tr w:rsidR="00BE290C" w14:paraId="777D218C" w14:textId="77777777">
        <w:tc>
          <w:tcPr>
            <w:tcW w:w="4680" w:type="dxa"/>
          </w:tcPr>
          <w:p w14:paraId="16173C80" w14:textId="77777777" w:rsidR="00BE290C" w:rsidRDefault="00000000">
            <w:r>
              <w:t>A2.1 Mission, vision and objectives</w:t>
            </w:r>
          </w:p>
        </w:tc>
        <w:tc>
          <w:tcPr>
            <w:tcW w:w="4680" w:type="dxa"/>
          </w:tcPr>
          <w:p w14:paraId="1478C07C" w14:textId="77777777" w:rsidR="00BE290C" w:rsidRDefault="00000000">
            <w:r>
              <w:rPr>
                <w:rStyle w:val="CodeChar"/>
              </w:rPr>
              <w:t>mission</w:t>
            </w:r>
            <w:r>
              <w:t xml:space="preserve">, </w:t>
            </w:r>
            <w:r>
              <w:rPr>
                <w:rStyle w:val="CodeChar"/>
              </w:rPr>
              <w:t>vision</w:t>
            </w:r>
            <w:r>
              <w:t xml:space="preserve">, </w:t>
            </w:r>
            <w:r>
              <w:rPr>
                <w:rStyle w:val="CodeChar"/>
              </w:rPr>
              <w:t>smart-objectives</w:t>
            </w:r>
          </w:p>
        </w:tc>
      </w:tr>
      <w:tr w:rsidR="00BE290C" w14:paraId="7649B9F0" w14:textId="77777777">
        <w:tc>
          <w:tcPr>
            <w:tcW w:w="4680" w:type="dxa"/>
          </w:tcPr>
          <w:p w14:paraId="167CE329" w14:textId="77777777" w:rsidR="00BE290C" w:rsidRDefault="00000000">
            <w:r>
              <w:t>A2.2 Company-wide KPIs</w:t>
            </w:r>
          </w:p>
        </w:tc>
        <w:tc>
          <w:tcPr>
            <w:tcW w:w="4680" w:type="dxa"/>
          </w:tcPr>
          <w:p w14:paraId="50235391" w14:textId="77777777" w:rsidR="00BE290C" w:rsidRDefault="00000000">
            <w:r>
              <w:rPr>
                <w:rStyle w:val="CodeChar"/>
              </w:rPr>
              <w:t>kpis</w:t>
            </w:r>
          </w:p>
        </w:tc>
      </w:tr>
      <w:tr w:rsidR="00BE290C" w14:paraId="38A950CB" w14:textId="77777777">
        <w:tc>
          <w:tcPr>
            <w:tcW w:w="4680" w:type="dxa"/>
          </w:tcPr>
          <w:p w14:paraId="056F2B58" w14:textId="77777777" w:rsidR="00BE290C" w:rsidRDefault="00000000">
            <w:r>
              <w:t>A2.3 Long-term priorities</w:t>
            </w:r>
          </w:p>
        </w:tc>
        <w:tc>
          <w:tcPr>
            <w:tcW w:w="4680" w:type="dxa"/>
          </w:tcPr>
          <w:p w14:paraId="14DE8BE3" w14:textId="77777777" w:rsidR="00BE290C" w:rsidRDefault="00000000">
            <w:r>
              <w:rPr>
                <w:rStyle w:val="CodeChar"/>
              </w:rPr>
              <w:t>action-plan-100-day</w:t>
            </w:r>
            <w:r>
              <w:t xml:space="preserve">, </w:t>
            </w:r>
            <w:r>
              <w:rPr>
                <w:rStyle w:val="CodeChar"/>
              </w:rPr>
              <w:t>kpis</w:t>
            </w:r>
          </w:p>
        </w:tc>
      </w:tr>
      <w:tr w:rsidR="00BE290C" w14:paraId="2AE2AC43" w14:textId="77777777">
        <w:tc>
          <w:tcPr>
            <w:tcW w:w="4680" w:type="dxa"/>
          </w:tcPr>
          <w:p w14:paraId="528D409B" w14:textId="77777777" w:rsidR="00BE290C" w:rsidRDefault="00000000">
            <w:r>
              <w:t>A2.4 Sign-off</w:t>
            </w:r>
          </w:p>
        </w:tc>
        <w:tc>
          <w:tcPr>
            <w:tcW w:w="4680" w:type="dxa"/>
          </w:tcPr>
          <w:p w14:paraId="0FF45161" w14:textId="77777777" w:rsidR="00BE290C" w:rsidRDefault="00000000">
            <w:r>
              <w:rPr>
                <w:rStyle w:val="CodeChar"/>
              </w:rPr>
              <w:t>sign-off</w:t>
            </w:r>
          </w:p>
        </w:tc>
      </w:tr>
      <w:tr w:rsidR="00BE290C" w14:paraId="27292B12" w14:textId="77777777">
        <w:tc>
          <w:tcPr>
            <w:tcW w:w="4680" w:type="dxa"/>
          </w:tcPr>
          <w:p w14:paraId="54F75EC1" w14:textId="77777777" w:rsidR="00BE290C" w:rsidRDefault="00000000">
            <w:r>
              <w:t>A2.5 Owners per objective</w:t>
            </w:r>
          </w:p>
        </w:tc>
        <w:tc>
          <w:tcPr>
            <w:tcW w:w="4680" w:type="dxa"/>
          </w:tcPr>
          <w:p w14:paraId="30FAF8D7" w14:textId="77777777" w:rsidR="00BE290C" w:rsidRDefault="00000000">
            <w:r>
              <w:rPr>
                <w:rStyle w:val="CodeChar"/>
              </w:rPr>
              <w:t>objective-owners</w:t>
            </w:r>
          </w:p>
        </w:tc>
      </w:tr>
      <w:tr w:rsidR="00BE290C" w14:paraId="5EAED05E" w14:textId="77777777">
        <w:tc>
          <w:tcPr>
            <w:tcW w:w="4680" w:type="dxa"/>
          </w:tcPr>
          <w:p w14:paraId="716618A5" w14:textId="77777777" w:rsidR="00BE290C" w:rsidRDefault="00000000">
            <w:r>
              <w:t>A2.6 Initiatives</w:t>
            </w:r>
          </w:p>
        </w:tc>
        <w:tc>
          <w:tcPr>
            <w:tcW w:w="4680" w:type="dxa"/>
          </w:tcPr>
          <w:p w14:paraId="74CC5A3D" w14:textId="77777777" w:rsidR="00BE290C" w:rsidRDefault="00000000">
            <w:r>
              <w:rPr>
                <w:rStyle w:val="CodeChar"/>
              </w:rPr>
              <w:t>initiatives</w:t>
            </w:r>
          </w:p>
        </w:tc>
      </w:tr>
      <w:tr w:rsidR="00BE290C" w14:paraId="38246D3D" w14:textId="77777777">
        <w:tc>
          <w:tcPr>
            <w:tcW w:w="4680" w:type="dxa"/>
          </w:tcPr>
          <w:p w14:paraId="737C89E0" w14:textId="77777777" w:rsidR="00BE290C" w:rsidRDefault="00000000">
            <w:r>
              <w:t>A3.1 Project charters</w:t>
            </w:r>
          </w:p>
        </w:tc>
        <w:tc>
          <w:tcPr>
            <w:tcW w:w="4680" w:type="dxa"/>
          </w:tcPr>
          <w:p w14:paraId="0BC24D84" w14:textId="77777777" w:rsidR="00BE290C" w:rsidRDefault="00000000">
            <w:r>
              <w:rPr>
                <w:rStyle w:val="CodeChar"/>
              </w:rPr>
              <w:t>project-charters</w:t>
            </w:r>
          </w:p>
        </w:tc>
      </w:tr>
      <w:tr w:rsidR="00BE290C" w14:paraId="4BE55E48" w14:textId="77777777">
        <w:tc>
          <w:tcPr>
            <w:tcW w:w="4680" w:type="dxa"/>
          </w:tcPr>
          <w:p w14:paraId="687F7E0C" w14:textId="77777777" w:rsidR="00BE290C" w:rsidRDefault="00000000">
            <w:r>
              <w:t>A3.2 Financial forecast</w:t>
            </w:r>
          </w:p>
        </w:tc>
        <w:tc>
          <w:tcPr>
            <w:tcW w:w="4680" w:type="dxa"/>
          </w:tcPr>
          <w:p w14:paraId="7E1377BC" w14:textId="77777777" w:rsidR="00BE290C" w:rsidRDefault="00000000">
            <w:r>
              <w:rPr>
                <w:rStyle w:val="CodeChar"/>
              </w:rPr>
              <w:t>proforma-pl</w:t>
            </w:r>
            <w:r>
              <w:t xml:space="preserve">, </w:t>
            </w:r>
            <w:r>
              <w:rPr>
                <w:rStyle w:val="CodeChar"/>
              </w:rPr>
              <w:t>capital-investment-plan</w:t>
            </w:r>
          </w:p>
        </w:tc>
      </w:tr>
      <w:tr w:rsidR="00BE290C" w14:paraId="4359B829" w14:textId="77777777">
        <w:tc>
          <w:tcPr>
            <w:tcW w:w="4680" w:type="dxa"/>
          </w:tcPr>
          <w:p w14:paraId="395EDB14" w14:textId="77777777" w:rsidR="00BE290C" w:rsidRDefault="00000000">
            <w:r>
              <w:t>A3.3 Sensitivity analysis</w:t>
            </w:r>
          </w:p>
        </w:tc>
        <w:tc>
          <w:tcPr>
            <w:tcW w:w="4680" w:type="dxa"/>
          </w:tcPr>
          <w:p w14:paraId="07076FD3" w14:textId="77777777" w:rsidR="00BE290C" w:rsidRDefault="00000000">
            <w:r>
              <w:rPr>
                <w:rStyle w:val="CodeChar"/>
              </w:rPr>
              <w:t>sensitivity</w:t>
            </w:r>
          </w:p>
        </w:tc>
      </w:tr>
      <w:tr w:rsidR="00BE290C" w14:paraId="1BD9D0C0" w14:textId="77777777">
        <w:tc>
          <w:tcPr>
            <w:tcW w:w="4680" w:type="dxa"/>
          </w:tcPr>
          <w:p w14:paraId="63FAD3CF" w14:textId="77777777" w:rsidR="00BE290C" w:rsidRDefault="00000000">
            <w:r>
              <w:t>A3.4 Integrate business plan</w:t>
            </w:r>
          </w:p>
        </w:tc>
        <w:tc>
          <w:tcPr>
            <w:tcW w:w="4680" w:type="dxa"/>
          </w:tcPr>
          <w:p w14:paraId="289CA104" w14:textId="77777777" w:rsidR="00BE290C" w:rsidRDefault="00000000">
            <w:r>
              <w:rPr>
                <w:rStyle w:val="CodeChar"/>
              </w:rPr>
              <w:t>integrate-plan</w:t>
            </w:r>
          </w:p>
        </w:tc>
      </w:tr>
      <w:tr w:rsidR="00BE290C" w14:paraId="4A7A9FB3" w14:textId="77777777">
        <w:tc>
          <w:tcPr>
            <w:tcW w:w="4680" w:type="dxa"/>
          </w:tcPr>
          <w:p w14:paraId="0E2A155E" w14:textId="77777777" w:rsidR="00BE290C" w:rsidRDefault="00000000">
            <w:r>
              <w:t>A4.1 Tracking process</w:t>
            </w:r>
          </w:p>
        </w:tc>
        <w:tc>
          <w:tcPr>
            <w:tcW w:w="4680" w:type="dxa"/>
          </w:tcPr>
          <w:p w14:paraId="7F8272CA" w14:textId="77777777" w:rsidR="00BE290C" w:rsidRDefault="00000000">
            <w:r>
              <w:rPr>
                <w:rStyle w:val="CodeChar"/>
              </w:rPr>
              <w:t>tracking-process</w:t>
            </w:r>
          </w:p>
        </w:tc>
      </w:tr>
      <w:tr w:rsidR="00BE290C" w14:paraId="1775D870" w14:textId="77777777">
        <w:tc>
          <w:tcPr>
            <w:tcW w:w="4680" w:type="dxa"/>
          </w:tcPr>
          <w:p w14:paraId="5D4D7AA8" w14:textId="77777777" w:rsidR="00BE290C" w:rsidRDefault="00000000">
            <w:r>
              <w:t>A4.2 Tracking team and cadence</w:t>
            </w:r>
          </w:p>
        </w:tc>
        <w:tc>
          <w:tcPr>
            <w:tcW w:w="4680" w:type="dxa"/>
          </w:tcPr>
          <w:p w14:paraId="006756B4" w14:textId="77777777" w:rsidR="00BE290C" w:rsidRDefault="00000000">
            <w:r>
              <w:rPr>
                <w:rStyle w:val="CodeChar"/>
              </w:rPr>
              <w:t>tracking-process</w:t>
            </w:r>
          </w:p>
        </w:tc>
      </w:tr>
      <w:tr w:rsidR="00BE290C" w14:paraId="3EC45F47" w14:textId="77777777">
        <w:tc>
          <w:tcPr>
            <w:tcW w:w="4680" w:type="dxa"/>
          </w:tcPr>
          <w:p w14:paraId="1EFCF823" w14:textId="77777777" w:rsidR="00BE290C" w:rsidRDefault="00000000">
            <w:r>
              <w:t>A4.3 Dissemination</w:t>
            </w:r>
          </w:p>
        </w:tc>
        <w:tc>
          <w:tcPr>
            <w:tcW w:w="4680" w:type="dxa"/>
          </w:tcPr>
          <w:p w14:paraId="69C82871" w14:textId="77777777" w:rsidR="00BE290C" w:rsidRDefault="00000000">
            <w:r>
              <w:rPr>
                <w:rStyle w:val="CodeChar"/>
              </w:rPr>
              <w:t>dissemination</w:t>
            </w:r>
          </w:p>
        </w:tc>
      </w:tr>
    </w:tbl>
    <w:p w14:paraId="0E87F3AC" w14:textId="77777777" w:rsidR="00BE290C" w:rsidRDefault="00000000">
      <w:r>
        <w:lastRenderedPageBreak/>
        <w:t>That is 21 unique topic ids (</w:t>
      </w:r>
      <w:r>
        <w:rPr>
          <w:rStyle w:val="CodeChar"/>
        </w:rPr>
        <w:t>objective-owners</w:t>
      </w:r>
      <w:r>
        <w:t xml:space="preserve"> and </w:t>
      </w:r>
      <w:r>
        <w:rPr>
          <w:rStyle w:val="CodeChar"/>
        </w:rPr>
        <w:t>capital-investment-plan</w:t>
      </w:r>
      <w:r>
        <w:t xml:space="preserve"> included). Copy the text in Sections 4–6 verbatim into the file; it is already in final English.</w:t>
      </w:r>
    </w:p>
    <w:p w14:paraId="109BCEE6" w14:textId="77777777" w:rsidR="00BE290C" w:rsidRDefault="00000000">
      <w:pPr>
        <w:pStyle w:val="Heading2"/>
      </w:pPr>
      <w:r>
        <w:t>4. Guidance content — Phase 1: Create Baseline</w:t>
      </w:r>
    </w:p>
    <w:p w14:paraId="445D16FC" w14:textId="77777777" w:rsidR="00BE290C" w:rsidRDefault="00000000">
      <w:r>
        <w:t>Seven topics help the utility describe where it stands today, using its UoF results, demographic data and the external environment.</w:t>
      </w:r>
    </w:p>
    <w:p w14:paraId="42479BB0" w14:textId="77777777" w:rsidR="00BE290C" w:rsidRDefault="00000000">
      <w:pPr>
        <w:pStyle w:val="Heading3"/>
      </w:pPr>
      <w:r>
        <w:t xml:space="preserve">4.1 </w:t>
      </w:r>
      <w:r>
        <w:rPr>
          <w:rStyle w:val="CodeChar"/>
        </w:rPr>
        <w:t>project-team</w:t>
      </w:r>
      <w:r>
        <w:t xml:space="preserve"> — Stand-up the project team</w:t>
      </w:r>
    </w:p>
    <w:p w14:paraId="502C761E" w14:textId="77777777" w:rsidR="00BE290C" w:rsidRDefault="00000000">
      <w:r>
        <w:rPr>
          <w:b/>
        </w:rPr>
        <w:t>Definition:</w:t>
      </w:r>
      <w:r>
        <w:t xml:space="preserve"> The project team leads the development of the business plan. It is headed by a Utility Leader / Focal Point and includes staff for each UoF element: commercial management, technical operations, human resources, planning and strategy, and financial management.</w:t>
      </w:r>
    </w:p>
    <w:p w14:paraId="54BC4C2A" w14:textId="77777777" w:rsidR="00BE290C" w:rsidRDefault="00000000">
      <w:r>
        <w:rPr>
          <w:b/>
        </w:rPr>
        <w:t>Why it matters:</w:t>
      </w:r>
    </w:p>
    <w:p w14:paraId="56C2DD58" w14:textId="77777777" w:rsidR="00BE290C" w:rsidRDefault="00000000">
      <w:pPr>
        <w:pStyle w:val="ListParagraph"/>
        <w:numPr>
          <w:ilvl w:val="0"/>
          <w:numId w:val="5"/>
        </w:numPr>
      </w:pPr>
      <w:r>
        <w:t>A respected leader with direct access to the CEO builds trust and commitment across the utility.</w:t>
      </w:r>
    </w:p>
    <w:p w14:paraId="0CB25D00" w14:textId="77777777" w:rsidR="00BE290C" w:rsidRDefault="00000000">
      <w:pPr>
        <w:pStyle w:val="ListParagraph"/>
        <w:numPr>
          <w:ilvl w:val="0"/>
          <w:numId w:val="5"/>
        </w:numPr>
      </w:pPr>
      <w:r>
        <w:t>People who took part in the UoF program already understand its goals and methods.</w:t>
      </w:r>
    </w:p>
    <w:p w14:paraId="31A68F49" w14:textId="77777777" w:rsidR="00BE290C" w:rsidRDefault="00000000">
      <w:pPr>
        <w:pStyle w:val="ListParagraph"/>
        <w:numPr>
          <w:ilvl w:val="0"/>
          <w:numId w:val="5"/>
        </w:numPr>
      </w:pPr>
      <w:r>
        <w:t>A diverse team (age, gender, knowledge, hierarchy) produces a more realistic plan.</w:t>
      </w:r>
    </w:p>
    <w:p w14:paraId="5DD3A588" w14:textId="77777777" w:rsidR="00BE290C" w:rsidRDefault="00000000">
      <w:r>
        <w:rPr>
          <w:b/>
        </w:rPr>
        <w:t>Example:</w:t>
      </w:r>
      <w:r>
        <w:t xml:space="preserve"> Focal Point: Head of Strategic Planning (UoF focal point). Members: Commercial Manager, Operations Engineer, HR Specialist, Planning Analyst, Financial Controller, plus the local consultant.</w:t>
      </w:r>
    </w:p>
    <w:p w14:paraId="1B822D39" w14:textId="77777777" w:rsidR="00BE290C" w:rsidRDefault="00000000">
      <w:r>
        <w:rPr>
          <w:b/>
        </w:rPr>
        <w:t>Tips:</w:t>
      </w:r>
      <w:r>
        <w:t xml:space="preserve"> Do pick a leader such as the Head of Strategy or CFO. Do name one person per UoF element. Avoid a team made only of senior managers.</w:t>
      </w:r>
    </w:p>
    <w:p w14:paraId="6C0D9CE0" w14:textId="77777777" w:rsidR="00BE290C" w:rsidRDefault="00000000">
      <w:pPr>
        <w:pStyle w:val="Heading3"/>
      </w:pPr>
      <w:r>
        <w:t xml:space="preserve">4.2 </w:t>
      </w:r>
      <w:r>
        <w:rPr>
          <w:rStyle w:val="CodeChar"/>
        </w:rPr>
        <w:t>past-performance</w:t>
      </w:r>
      <w:r>
        <w:t xml:space="preserve"> — Document past performance</w:t>
      </w:r>
    </w:p>
    <w:p w14:paraId="61482DEA" w14:textId="77777777" w:rsidR="00BE290C" w:rsidRDefault="00000000">
      <w:r>
        <w:rPr>
          <w:b/>
        </w:rPr>
        <w:t>Definition:</w:t>
      </w:r>
      <w:r>
        <w:t xml:space="preserve"> A record of the utility's quantitative results in the five UoF elements (Commercial Management, Technical Operations, Financial Management, Human Talent, Organization &amp; Strategy), ideally for the last 3 years, with a short narrative explaining them.</w:t>
      </w:r>
    </w:p>
    <w:p w14:paraId="2916639E" w14:textId="77777777" w:rsidR="00BE290C" w:rsidRDefault="00000000">
      <w:r>
        <w:rPr>
          <w:b/>
        </w:rPr>
        <w:t>Why it matters:</w:t>
      </w:r>
    </w:p>
    <w:p w14:paraId="5AF876AB" w14:textId="77777777" w:rsidR="00BE290C" w:rsidRDefault="00000000">
      <w:pPr>
        <w:pStyle w:val="ListParagraph"/>
        <w:numPr>
          <w:ilvl w:val="0"/>
          <w:numId w:val="6"/>
        </w:numPr>
      </w:pPr>
      <w:r>
        <w:t>Trends show whether the utility is improving, stable or deteriorating.</w:t>
      </w:r>
    </w:p>
    <w:p w14:paraId="08ED68E6" w14:textId="77777777" w:rsidR="00BE290C" w:rsidRDefault="00000000">
      <w:pPr>
        <w:pStyle w:val="ListParagraph"/>
        <w:numPr>
          <w:ilvl w:val="0"/>
          <w:numId w:val="6"/>
        </w:numPr>
      </w:pPr>
      <w:r>
        <w:t>The narrative explains the numbers: recent investments, specific projects or external factors.</w:t>
      </w:r>
    </w:p>
    <w:p w14:paraId="16DDECD0" w14:textId="77777777" w:rsidR="00BE290C" w:rsidRDefault="00000000">
      <w:r>
        <w:rPr>
          <w:b/>
        </w:rPr>
        <w:t>Example:</w:t>
      </w:r>
      <w:r>
        <w:t xml:space="preserve"> "Collection rate rose from 78% (2022) to 86% (2024) after the billing system upgrade and a door-to-door campaign; metered connections grew from 61% to 74%."</w:t>
      </w:r>
    </w:p>
    <w:p w14:paraId="5AD2B650" w14:textId="77777777" w:rsidR="00BE290C" w:rsidRDefault="00000000">
      <w:r>
        <w:rPr>
          <w:b/>
        </w:rPr>
        <w:t>Tips:</w:t>
      </w:r>
      <w:r>
        <w:t xml:space="preserve"> Do add 3 years of data where possible. Do cite the source (UoF report, audited statements). Avoid listing numbers without explaining the trend.</w:t>
      </w:r>
    </w:p>
    <w:p w14:paraId="60A8F13A" w14:textId="77777777" w:rsidR="00BE290C" w:rsidRDefault="00000000">
      <w:pPr>
        <w:pStyle w:val="Heading3"/>
      </w:pPr>
      <w:r>
        <w:t xml:space="preserve">4.3 </w:t>
      </w:r>
      <w:r>
        <w:rPr>
          <w:rStyle w:val="CodeChar"/>
        </w:rPr>
        <w:t>uof-maturity</w:t>
      </w:r>
      <w:r>
        <w:t xml:space="preserve"> — Key strengths and weaknesses</w:t>
      </w:r>
    </w:p>
    <w:p w14:paraId="4C3B39ED" w14:textId="77777777" w:rsidR="00BE290C" w:rsidRDefault="00000000">
      <w:r>
        <w:rPr>
          <w:b/>
        </w:rPr>
        <w:t>Definition:</w:t>
      </w:r>
      <w:r>
        <w:t xml:space="preserve"> The strengths and weaknesses the management team identifies from the UoF radar (spider) graph and the comments for each of the five elements.</w:t>
      </w:r>
    </w:p>
    <w:p w14:paraId="172A1C9B" w14:textId="77777777" w:rsidR="00BE290C" w:rsidRDefault="00000000">
      <w:r>
        <w:rPr>
          <w:b/>
        </w:rPr>
        <w:t>Why it matters:</w:t>
      </w:r>
    </w:p>
    <w:p w14:paraId="4598222D" w14:textId="77777777" w:rsidR="00BE290C" w:rsidRDefault="00000000">
      <w:pPr>
        <w:pStyle w:val="ListParagraph"/>
        <w:numPr>
          <w:ilvl w:val="0"/>
          <w:numId w:val="7"/>
        </w:numPr>
      </w:pPr>
      <w:r>
        <w:t>They are the internal half of the SWOT analysis.</w:t>
      </w:r>
    </w:p>
    <w:p w14:paraId="7863F734" w14:textId="77777777" w:rsidR="00BE290C" w:rsidRDefault="00000000">
      <w:pPr>
        <w:pStyle w:val="ListParagraph"/>
        <w:numPr>
          <w:ilvl w:val="0"/>
          <w:numId w:val="7"/>
        </w:numPr>
      </w:pPr>
      <w:r>
        <w:t>The candid management discussion is as valuable as the written result.</w:t>
      </w:r>
    </w:p>
    <w:p w14:paraId="2E0F8472" w14:textId="77777777" w:rsidR="00BE290C" w:rsidRDefault="00000000">
      <w:r>
        <w:rPr>
          <w:b/>
        </w:rPr>
        <w:lastRenderedPageBreak/>
        <w:t>Example:</w:t>
      </w:r>
      <w:r>
        <w:t xml:space="preserve"> Strength: "Water quality processes rated advanced; compliance above 98%." Weakness: "Asset management rated elementary; no updated asset register."</w:t>
      </w:r>
    </w:p>
    <w:p w14:paraId="2458DB50" w14:textId="77777777" w:rsidR="00BE290C" w:rsidRDefault="00000000">
      <w:r>
        <w:rPr>
          <w:b/>
        </w:rPr>
        <w:t>Guiding questions:</w:t>
      </w:r>
      <w:r>
        <w:t xml:space="preserve"> Which processes are well performing or world-class? Which are elementary or basic? Why is each element at its current level? What recent changes explain it?</w:t>
      </w:r>
    </w:p>
    <w:p w14:paraId="7FE253FD" w14:textId="77777777" w:rsidR="00BE290C" w:rsidRDefault="00000000">
      <w:r>
        <w:rPr>
          <w:b/>
        </w:rPr>
        <w:t>Tips:</w:t>
      </w:r>
      <w:r>
        <w:t xml:space="preserve"> Do allow time for an open discussion before writing. Avoid copying the UoF report without interpretation.</w:t>
      </w:r>
    </w:p>
    <w:p w14:paraId="28BD1F80" w14:textId="77777777" w:rsidR="00BE290C" w:rsidRDefault="00000000">
      <w:pPr>
        <w:pStyle w:val="Heading3"/>
      </w:pPr>
      <w:r>
        <w:t xml:space="preserve">4.4 </w:t>
      </w:r>
      <w:r>
        <w:rPr>
          <w:rStyle w:val="CodeChar"/>
        </w:rPr>
        <w:t>action-plan-100-day</w:t>
      </w:r>
      <w:r>
        <w:t xml:space="preserve"> — Outputs of the UoF 100-day action plan</w:t>
      </w:r>
    </w:p>
    <w:p w14:paraId="7A6E3E73" w14:textId="77777777" w:rsidR="00BE290C" w:rsidRDefault="00000000">
      <w:r>
        <w:rPr>
          <w:b/>
        </w:rPr>
        <w:t>Definition:</w:t>
      </w:r>
      <w:r>
        <w:t xml:space="preserve"> A review of the 100-Day Impact Evaluation from the UoF: what changed, what worked, and who drove it.</w:t>
      </w:r>
    </w:p>
    <w:p w14:paraId="725EB085" w14:textId="77777777" w:rsidR="00BE290C" w:rsidRDefault="00000000">
      <w:r>
        <w:rPr>
          <w:b/>
        </w:rPr>
        <w:t>Why it matters:</w:t>
      </w:r>
    </w:p>
    <w:p w14:paraId="35A6CA24" w14:textId="77777777" w:rsidR="00BE290C" w:rsidRDefault="00000000">
      <w:pPr>
        <w:pStyle w:val="ListParagraph"/>
        <w:numPr>
          <w:ilvl w:val="0"/>
          <w:numId w:val="8"/>
        </w:numPr>
      </w:pPr>
      <w:r>
        <w:t>Success factors and lessons learned shape the business plan approach.</w:t>
      </w:r>
    </w:p>
    <w:p w14:paraId="5AA5893D" w14:textId="77777777" w:rsidR="00BE290C" w:rsidRDefault="00000000">
      <w:pPr>
        <w:pStyle w:val="ListParagraph"/>
        <w:numPr>
          <w:ilvl w:val="0"/>
          <w:numId w:val="8"/>
        </w:numPr>
      </w:pPr>
      <w:r>
        <w:t>High-performing staff and teams are candidates for the business plan team.</w:t>
      </w:r>
    </w:p>
    <w:p w14:paraId="1B8ED1EA" w14:textId="77777777" w:rsidR="00BE290C" w:rsidRDefault="00000000">
      <w:pPr>
        <w:pStyle w:val="ListParagraph"/>
        <w:numPr>
          <w:ilvl w:val="0"/>
          <w:numId w:val="8"/>
        </w:numPr>
      </w:pPr>
      <w:r>
        <w:t>Long-term priorities identified then feed the strategic objectives (A2.3).</w:t>
      </w:r>
    </w:p>
    <w:p w14:paraId="5117AEEF" w14:textId="77777777" w:rsidR="00BE290C" w:rsidRDefault="00000000">
      <w:r>
        <w:rPr>
          <w:b/>
        </w:rPr>
        <w:t>What to capture:</w:t>
      </w:r>
      <w:r>
        <w:t xml:space="preserve"> impact and changes during the 100 days; a case study of the most important change; staff engagement and change adoption; key success factors; lessons learned; high-performing staff; high-performing teams or departments.</w:t>
      </w:r>
    </w:p>
    <w:p w14:paraId="149EF81E" w14:textId="77777777" w:rsidR="00BE290C" w:rsidRDefault="00000000">
      <w:r>
        <w:rPr>
          <w:b/>
        </w:rPr>
        <w:t>Tips:</w:t>
      </w:r>
      <w:r>
        <w:t xml:space="preserve"> Do link each lesson to a later decision in the plan. Avoid treating the 100-day plan as finished history; it is the starting point.</w:t>
      </w:r>
    </w:p>
    <w:p w14:paraId="31A162F4" w14:textId="77777777" w:rsidR="00BE290C" w:rsidRDefault="00000000">
      <w:pPr>
        <w:pStyle w:val="Heading3"/>
      </w:pPr>
      <w:r>
        <w:t xml:space="preserve">4.5 </w:t>
      </w:r>
      <w:r>
        <w:rPr>
          <w:rStyle w:val="CodeChar"/>
        </w:rPr>
        <w:t>demographics</w:t>
      </w:r>
      <w:r>
        <w:t xml:space="preserve"> — Demographic analysis</w:t>
      </w:r>
    </w:p>
    <w:p w14:paraId="175DEC21" w14:textId="77777777" w:rsidR="00BE290C" w:rsidRDefault="00000000">
      <w:r>
        <w:rPr>
          <w:b/>
        </w:rPr>
        <w:t>Definition:</w:t>
      </w:r>
      <w:r>
        <w:t xml:space="preserve"> An analysis of population growth, household expansion, migration, age distribution, industrial dynamics and infrastructure development in the service area.</w:t>
      </w:r>
    </w:p>
    <w:p w14:paraId="09387E64" w14:textId="77777777" w:rsidR="00BE290C" w:rsidRDefault="00000000">
      <w:r>
        <w:rPr>
          <w:b/>
        </w:rPr>
        <w:t>Why it matters:</w:t>
      </w:r>
    </w:p>
    <w:p w14:paraId="575571FB" w14:textId="77777777" w:rsidR="00BE290C" w:rsidRDefault="00000000">
      <w:pPr>
        <w:pStyle w:val="ListParagraph"/>
        <w:numPr>
          <w:ilvl w:val="0"/>
          <w:numId w:val="9"/>
        </w:numPr>
      </w:pPr>
      <w:r>
        <w:t>It anticipates demand: more households mean more connections, even when population grows slower.</w:t>
      </w:r>
    </w:p>
    <w:p w14:paraId="0402981B" w14:textId="77777777" w:rsidR="00BE290C" w:rsidRDefault="00000000">
      <w:pPr>
        <w:pStyle w:val="ListParagraph"/>
        <w:numPr>
          <w:ilvl w:val="0"/>
          <w:numId w:val="9"/>
        </w:numPr>
      </w:pPr>
      <w:r>
        <w:t>It shows where the network must expand.</w:t>
      </w:r>
    </w:p>
    <w:p w14:paraId="72920930" w14:textId="77777777" w:rsidR="00BE290C" w:rsidRDefault="00000000">
      <w:pPr>
        <w:pStyle w:val="ListParagraph"/>
        <w:numPr>
          <w:ilvl w:val="0"/>
          <w:numId w:val="9"/>
        </w:numPr>
      </w:pPr>
      <w:r>
        <w:t>It should align with the region's urban development master plan.</w:t>
      </w:r>
    </w:p>
    <w:p w14:paraId="67777E48" w14:textId="77777777" w:rsidR="00BE290C" w:rsidRDefault="00000000">
      <w:r>
        <w:rPr>
          <w:b/>
        </w:rPr>
        <w:t>Example (Querétaro, Mexico, from the guide):</w:t>
      </w:r>
    </w:p>
    <w:tbl>
      <w:tblPr>
        <w:tblStyle w:val="TableGrid"/>
        <w:tblW w:w="0" w:type="auto"/>
        <w:tblLayout w:type="fixed"/>
        <w:tblLook w:val="0420" w:firstRow="1" w:lastRow="0" w:firstColumn="0" w:lastColumn="0" w:noHBand="0" w:noVBand="1"/>
      </w:tblPr>
      <w:tblGrid>
        <w:gridCol w:w="2340"/>
        <w:gridCol w:w="2340"/>
        <w:gridCol w:w="2340"/>
        <w:gridCol w:w="2340"/>
      </w:tblGrid>
      <w:tr w:rsidR="00BE290C" w14:paraId="08EF9A88" w14:textId="77777777">
        <w:trPr>
          <w:tblHeader/>
        </w:trPr>
        <w:tc>
          <w:tcPr>
            <w:tcW w:w="2340" w:type="dxa"/>
            <w:shd w:val="clear" w:color="auto" w:fill="F2F2F2"/>
          </w:tcPr>
          <w:p w14:paraId="6E347622" w14:textId="77777777" w:rsidR="00BE290C" w:rsidRDefault="00000000">
            <w:r>
              <w:t>Indicator</w:t>
            </w:r>
          </w:p>
        </w:tc>
        <w:tc>
          <w:tcPr>
            <w:tcW w:w="2340" w:type="dxa"/>
            <w:shd w:val="clear" w:color="auto" w:fill="F2F2F2"/>
          </w:tcPr>
          <w:p w14:paraId="6DA4D85B" w14:textId="77777777" w:rsidR="00BE290C" w:rsidRDefault="00000000">
            <w:r>
              <w:t>2010</w:t>
            </w:r>
          </w:p>
        </w:tc>
        <w:tc>
          <w:tcPr>
            <w:tcW w:w="2340" w:type="dxa"/>
            <w:shd w:val="clear" w:color="auto" w:fill="F2F2F2"/>
          </w:tcPr>
          <w:p w14:paraId="680D0B60" w14:textId="77777777" w:rsidR="00BE290C" w:rsidRDefault="00000000">
            <w:r>
              <w:t>2020</w:t>
            </w:r>
          </w:p>
        </w:tc>
        <w:tc>
          <w:tcPr>
            <w:tcW w:w="2340" w:type="dxa"/>
            <w:shd w:val="clear" w:color="auto" w:fill="F2F2F2"/>
          </w:tcPr>
          <w:p w14:paraId="577A4681" w14:textId="77777777" w:rsidR="00BE290C" w:rsidRDefault="00000000">
            <w:r>
              <w:t>Note</w:t>
            </w:r>
          </w:p>
        </w:tc>
      </w:tr>
      <w:tr w:rsidR="00BE290C" w14:paraId="1D06A383" w14:textId="77777777">
        <w:tc>
          <w:tcPr>
            <w:tcW w:w="2340" w:type="dxa"/>
          </w:tcPr>
          <w:p w14:paraId="6B081AD0" w14:textId="77777777" w:rsidR="00BE290C" w:rsidRDefault="00000000">
            <w:r>
              <w:t>Population</w:t>
            </w:r>
          </w:p>
        </w:tc>
        <w:tc>
          <w:tcPr>
            <w:tcW w:w="2340" w:type="dxa"/>
          </w:tcPr>
          <w:p w14:paraId="30F97B60" w14:textId="77777777" w:rsidR="00BE290C" w:rsidRDefault="00000000">
            <w:r>
              <w:t>789,566</w:t>
            </w:r>
          </w:p>
        </w:tc>
        <w:tc>
          <w:tcPr>
            <w:tcW w:w="2340" w:type="dxa"/>
          </w:tcPr>
          <w:p w14:paraId="6DFED53C" w14:textId="77777777" w:rsidR="00BE290C" w:rsidRDefault="00000000">
            <w:r>
              <w:t>1,045,631</w:t>
            </w:r>
          </w:p>
        </w:tc>
        <w:tc>
          <w:tcPr>
            <w:tcW w:w="2340" w:type="dxa"/>
          </w:tcPr>
          <w:p w14:paraId="644743F3" w14:textId="77777777" w:rsidR="00BE290C" w:rsidRDefault="00000000">
            <w:r>
              <w:t>+32.4% in 10 years</w:t>
            </w:r>
          </w:p>
        </w:tc>
      </w:tr>
      <w:tr w:rsidR="00BE290C" w14:paraId="4F84DD4C" w14:textId="77777777">
        <w:tc>
          <w:tcPr>
            <w:tcW w:w="2340" w:type="dxa"/>
          </w:tcPr>
          <w:p w14:paraId="22BB9117" w14:textId="77777777" w:rsidR="00BE290C" w:rsidRDefault="00000000">
            <w:r>
              <w:t>Households</w:t>
            </w:r>
          </w:p>
        </w:tc>
        <w:tc>
          <w:tcPr>
            <w:tcW w:w="2340" w:type="dxa"/>
          </w:tcPr>
          <w:p w14:paraId="10B9D130" w14:textId="77777777" w:rsidR="00BE290C" w:rsidRDefault="00000000">
            <w:r>
              <w:t>202,791</w:t>
            </w:r>
          </w:p>
        </w:tc>
        <w:tc>
          <w:tcPr>
            <w:tcW w:w="2340" w:type="dxa"/>
          </w:tcPr>
          <w:p w14:paraId="439AC9E5" w14:textId="77777777" w:rsidR="00BE290C" w:rsidRDefault="00000000">
            <w:r>
              <w:t>305,361</w:t>
            </w:r>
          </w:p>
        </w:tc>
        <w:tc>
          <w:tcPr>
            <w:tcW w:w="2340" w:type="dxa"/>
          </w:tcPr>
          <w:p w14:paraId="24403D85" w14:textId="77777777" w:rsidR="00BE290C" w:rsidRDefault="00000000">
            <w:r>
              <w:t>+50.6%; 698,046 forecast for 2030</w:t>
            </w:r>
          </w:p>
        </w:tc>
      </w:tr>
      <w:tr w:rsidR="00BE290C" w14:paraId="3BE034C6" w14:textId="77777777">
        <w:tc>
          <w:tcPr>
            <w:tcW w:w="2340" w:type="dxa"/>
          </w:tcPr>
          <w:p w14:paraId="372A9F7A" w14:textId="77777777" w:rsidR="00BE290C" w:rsidRDefault="00000000">
            <w:r>
              <w:t>Occupants per household</w:t>
            </w:r>
          </w:p>
        </w:tc>
        <w:tc>
          <w:tcPr>
            <w:tcW w:w="2340" w:type="dxa"/>
          </w:tcPr>
          <w:p w14:paraId="7934D040" w14:textId="77777777" w:rsidR="00BE290C" w:rsidRDefault="00000000">
            <w:r>
              <w:t>3.89</w:t>
            </w:r>
          </w:p>
        </w:tc>
        <w:tc>
          <w:tcPr>
            <w:tcW w:w="2340" w:type="dxa"/>
          </w:tcPr>
          <w:p w14:paraId="7A262BA5" w14:textId="77777777" w:rsidR="00BE290C" w:rsidRDefault="00000000">
            <w:r>
              <w:t>3.42</w:t>
            </w:r>
          </w:p>
        </w:tc>
        <w:tc>
          <w:tcPr>
            <w:tcW w:w="2340" w:type="dxa"/>
          </w:tcPr>
          <w:p w14:paraId="256557A6" w14:textId="77777777" w:rsidR="00BE290C" w:rsidRDefault="00000000">
            <w:r>
              <w:t>3.30 forecast for 2030</w:t>
            </w:r>
          </w:p>
        </w:tc>
      </w:tr>
      <w:tr w:rsidR="00BE290C" w14:paraId="22270CAE" w14:textId="77777777">
        <w:tc>
          <w:tcPr>
            <w:tcW w:w="2340" w:type="dxa"/>
          </w:tcPr>
          <w:p w14:paraId="235575FC" w14:textId="77777777" w:rsidR="00BE290C" w:rsidRDefault="00000000">
            <w:r>
              <w:lastRenderedPageBreak/>
              <w:t>Dwellings with piped water</w:t>
            </w:r>
          </w:p>
        </w:tc>
        <w:tc>
          <w:tcPr>
            <w:tcW w:w="2340" w:type="dxa"/>
          </w:tcPr>
          <w:p w14:paraId="209C0729" w14:textId="77777777" w:rsidR="00BE290C" w:rsidRDefault="00000000">
            <w:r>
              <w:t>90.56%</w:t>
            </w:r>
          </w:p>
        </w:tc>
        <w:tc>
          <w:tcPr>
            <w:tcW w:w="2340" w:type="dxa"/>
          </w:tcPr>
          <w:p w14:paraId="1CCB75BB" w14:textId="77777777" w:rsidR="00BE290C" w:rsidRDefault="00000000">
            <w:r>
              <w:t>95.36%</w:t>
            </w:r>
          </w:p>
        </w:tc>
        <w:tc>
          <w:tcPr>
            <w:tcW w:w="2340" w:type="dxa"/>
          </w:tcPr>
          <w:p w14:paraId="44704580" w14:textId="77777777" w:rsidR="00BE290C" w:rsidRDefault="00BE290C"/>
        </w:tc>
      </w:tr>
    </w:tbl>
    <w:p w14:paraId="4F1E2622" w14:textId="77777777" w:rsidR="00BE290C" w:rsidRDefault="00000000">
      <w:r>
        <w:t>Other data points: 195,760 people moved in between 2015 and 2020; largest age group 15–29 years (26.8%), median age 30.</w:t>
      </w:r>
    </w:p>
    <w:p w14:paraId="52A9C5A9" w14:textId="77777777" w:rsidR="00BE290C" w:rsidRDefault="00000000">
      <w:r>
        <w:rPr>
          <w:b/>
        </w:rPr>
        <w:t>Tips:</w:t>
      </w:r>
      <w:r>
        <w:t xml:space="preserve"> Do use official statistics (national census, statistics office) and cite them. Do translate each finding into a water implication. Avoid data older than the last census.</w:t>
      </w:r>
    </w:p>
    <w:p w14:paraId="5610C008" w14:textId="77777777" w:rsidR="00BE290C" w:rsidRDefault="00000000">
      <w:pPr>
        <w:pStyle w:val="Heading3"/>
      </w:pPr>
      <w:r>
        <w:t xml:space="preserve">4.6 </w:t>
      </w:r>
      <w:r>
        <w:rPr>
          <w:rStyle w:val="CodeChar"/>
        </w:rPr>
        <w:t>enablement-environment</w:t>
      </w:r>
      <w:r>
        <w:t xml:space="preserve"> — Enablement environment</w:t>
      </w:r>
    </w:p>
    <w:p w14:paraId="5BA3D25D" w14:textId="77777777" w:rsidR="00BE290C" w:rsidRDefault="00000000">
      <w:r>
        <w:rPr>
          <w:b/>
        </w:rPr>
        <w:t>Definition:</w:t>
      </w:r>
      <w:r>
        <w:t xml:space="preserve"> The external conditions the utility operates in, grouped in five pillars: Policy (legal and policy framework, decision-making processes), Sector Institutions (capacities, clear roles), Intergovernmental Relations (coordination, aligned long-term goals), Financing (sustainable mechanisms, effective tariff structures) and Regulation (clear standards, monitoring and compliance).</w:t>
      </w:r>
    </w:p>
    <w:p w14:paraId="36CA235C" w14:textId="77777777" w:rsidR="00BE290C" w:rsidRDefault="00000000">
      <w:r>
        <w:rPr>
          <w:b/>
        </w:rPr>
        <w:t>Why it matters:</w:t>
      </w:r>
    </w:p>
    <w:p w14:paraId="03BB57A4" w14:textId="77777777" w:rsidR="00BE290C" w:rsidRDefault="00000000">
      <w:pPr>
        <w:pStyle w:val="ListParagraph"/>
        <w:numPr>
          <w:ilvl w:val="0"/>
          <w:numId w:val="10"/>
        </w:numPr>
      </w:pPr>
      <w:r>
        <w:t>Many constraints (tariffs, transfers, regulation) are outside the utility's control but shape its plan.</w:t>
      </w:r>
    </w:p>
    <w:p w14:paraId="451DF28A" w14:textId="77777777" w:rsidR="00BE290C" w:rsidRDefault="00000000">
      <w:pPr>
        <w:pStyle w:val="ListParagraph"/>
        <w:numPr>
          <w:ilvl w:val="0"/>
          <w:numId w:val="10"/>
        </w:numPr>
      </w:pPr>
      <w:r>
        <w:t>It feeds the Opportunities and Threats of the SWOT.</w:t>
      </w:r>
    </w:p>
    <w:p w14:paraId="28EE684F" w14:textId="77777777" w:rsidR="00BE290C" w:rsidRDefault="00000000">
      <w:r>
        <w:rPr>
          <w:b/>
        </w:rPr>
        <w:t>Example:</w:t>
      </w:r>
      <w:r>
        <w:t xml:space="preserve"> Financing: "Tariffs are set by the municipal council and have not been adjusted since 2019; the national water fund offers concessional loans for NRW reduction."</w:t>
      </w:r>
    </w:p>
    <w:p w14:paraId="5D245FCF" w14:textId="77777777" w:rsidR="00BE290C" w:rsidRDefault="00000000">
      <w:r>
        <w:rPr>
          <w:b/>
        </w:rPr>
        <w:t>Tips:</w:t>
      </w:r>
      <w:r>
        <w:t xml:space="preserve"> Do rate each pillar and justify the rating. Avoid describing laws without saying how they affect the utility.</w:t>
      </w:r>
    </w:p>
    <w:p w14:paraId="577C827B" w14:textId="77777777" w:rsidR="00BE290C" w:rsidRDefault="00000000">
      <w:pPr>
        <w:pStyle w:val="Heading3"/>
      </w:pPr>
      <w:r>
        <w:t xml:space="preserve">4.7 </w:t>
      </w:r>
      <w:r>
        <w:rPr>
          <w:rStyle w:val="CodeChar"/>
        </w:rPr>
        <w:t>swot</w:t>
      </w:r>
      <w:r>
        <w:t xml:space="preserve"> — SWOT analysis</w:t>
      </w:r>
    </w:p>
    <w:p w14:paraId="5EA6934E" w14:textId="77777777" w:rsidR="00BE290C" w:rsidRDefault="00000000">
      <w:r>
        <w:rPr>
          <w:b/>
        </w:rPr>
        <w:t>Definition:</w:t>
      </w:r>
      <w:r>
        <w:t xml:space="preserve"> A matrix of internal Strengths and Weaknesses (attributes the utility controls) and external Opportunities and Threats (environmental factors that help or hinder it).</w:t>
      </w:r>
    </w:p>
    <w:p w14:paraId="376E0362" w14:textId="77777777" w:rsidR="00BE290C" w:rsidRDefault="00000000">
      <w:r>
        <w:rPr>
          <w:b/>
        </w:rPr>
        <w:t>Why it matters:</w:t>
      </w:r>
    </w:p>
    <w:p w14:paraId="12849D99" w14:textId="77777777" w:rsidR="00BE290C" w:rsidRDefault="00000000">
      <w:pPr>
        <w:pStyle w:val="ListParagraph"/>
        <w:numPr>
          <w:ilvl w:val="0"/>
          <w:numId w:val="11"/>
        </w:numPr>
      </w:pPr>
      <w:r>
        <w:t>It is the bridge between the diagnosis and the strategic objectives.</w:t>
      </w:r>
    </w:p>
    <w:p w14:paraId="049EA5A4" w14:textId="77777777" w:rsidR="00BE290C" w:rsidRDefault="00000000">
      <w:pPr>
        <w:pStyle w:val="ListParagraph"/>
        <w:numPr>
          <w:ilvl w:val="0"/>
          <w:numId w:val="11"/>
        </w:numPr>
      </w:pPr>
      <w:r>
        <w:t>Its real value is the actionable strategy it leads to, not the list itself.</w:t>
      </w:r>
    </w:p>
    <w:p w14:paraId="55453AC0" w14:textId="77777777" w:rsidR="00BE290C" w:rsidRDefault="00000000">
      <w:r>
        <w:rPr>
          <w:b/>
        </w:rPr>
        <w:t>Example (from the guide):</w:t>
      </w:r>
    </w:p>
    <w:tbl>
      <w:tblPr>
        <w:tblStyle w:val="TableGrid"/>
        <w:tblW w:w="0" w:type="auto"/>
        <w:tblLayout w:type="fixed"/>
        <w:tblLook w:val="0420" w:firstRow="1" w:lastRow="0" w:firstColumn="0" w:lastColumn="0" w:noHBand="0" w:noVBand="1"/>
      </w:tblPr>
      <w:tblGrid>
        <w:gridCol w:w="4680"/>
        <w:gridCol w:w="4680"/>
      </w:tblGrid>
      <w:tr w:rsidR="00BE290C" w14:paraId="66978B2C" w14:textId="77777777">
        <w:trPr>
          <w:tblHeader/>
        </w:trPr>
        <w:tc>
          <w:tcPr>
            <w:tcW w:w="4680" w:type="dxa"/>
            <w:shd w:val="clear" w:color="auto" w:fill="F2F2F2"/>
          </w:tcPr>
          <w:p w14:paraId="5BEBBE1A" w14:textId="77777777" w:rsidR="00BE290C" w:rsidRDefault="00000000">
            <w:r>
              <w:t>Strengths</w:t>
            </w:r>
          </w:p>
        </w:tc>
        <w:tc>
          <w:tcPr>
            <w:tcW w:w="4680" w:type="dxa"/>
            <w:shd w:val="clear" w:color="auto" w:fill="F2F2F2"/>
          </w:tcPr>
          <w:p w14:paraId="7DE8C9ED" w14:textId="77777777" w:rsidR="00BE290C" w:rsidRDefault="00000000">
            <w:r>
              <w:t>Weaknesses</w:t>
            </w:r>
          </w:p>
        </w:tc>
      </w:tr>
      <w:tr w:rsidR="00BE290C" w14:paraId="5351E72C" w14:textId="77777777">
        <w:tc>
          <w:tcPr>
            <w:tcW w:w="4680" w:type="dxa"/>
          </w:tcPr>
          <w:p w14:paraId="5EC2FD69" w14:textId="77777777" w:rsidR="00BE290C" w:rsidRDefault="00000000">
            <w:r>
              <w:t>Highly skilled and experienced workforce; modern, well-maintained distribution network; strong customer base and reputation; efficient water conservation practices</w:t>
            </w:r>
          </w:p>
        </w:tc>
        <w:tc>
          <w:tcPr>
            <w:tcW w:w="4680" w:type="dxa"/>
          </w:tcPr>
          <w:p w14:paraId="79808A98" w14:textId="77777777" w:rsidR="00BE290C" w:rsidRDefault="00000000">
            <w:r>
              <w:t>Aging infrastructure with high maintenance costs; limited adoption of modern technologies; high water leakage rate; dependence on a single water source</w:t>
            </w:r>
          </w:p>
        </w:tc>
      </w:tr>
      <w:tr w:rsidR="00BE290C" w14:paraId="747C2E84" w14:textId="77777777">
        <w:tc>
          <w:tcPr>
            <w:tcW w:w="4680" w:type="dxa"/>
          </w:tcPr>
          <w:p w14:paraId="081E69DD" w14:textId="77777777" w:rsidR="00BE290C" w:rsidRDefault="00000000">
            <w:r>
              <w:rPr>
                <w:b/>
              </w:rPr>
              <w:t>Opportunities</w:t>
            </w:r>
          </w:p>
        </w:tc>
        <w:tc>
          <w:tcPr>
            <w:tcW w:w="4680" w:type="dxa"/>
          </w:tcPr>
          <w:p w14:paraId="11D005D3" w14:textId="77777777" w:rsidR="00BE290C" w:rsidRDefault="00000000">
            <w:r>
              <w:rPr>
                <w:b/>
              </w:rPr>
              <w:t>Threats</w:t>
            </w:r>
          </w:p>
        </w:tc>
      </w:tr>
      <w:tr w:rsidR="00BE290C" w14:paraId="0D9411CF" w14:textId="77777777">
        <w:tc>
          <w:tcPr>
            <w:tcW w:w="4680" w:type="dxa"/>
          </w:tcPr>
          <w:p w14:paraId="5B116700" w14:textId="77777777" w:rsidR="00BE290C" w:rsidRDefault="00000000">
            <w:r>
              <w:t xml:space="preserve">Growing population in the service area; demand </w:t>
            </w:r>
            <w:r>
              <w:lastRenderedPageBreak/>
              <w:t>for water-efficient technologies; government incentives for infrastructure upgrades; expansion into neighboring regions</w:t>
            </w:r>
          </w:p>
        </w:tc>
        <w:tc>
          <w:tcPr>
            <w:tcW w:w="4680" w:type="dxa"/>
          </w:tcPr>
          <w:p w14:paraId="45A95E51" w14:textId="77777777" w:rsidR="00BE290C" w:rsidRDefault="00000000">
            <w:r>
              <w:lastRenderedPageBreak/>
              <w:t xml:space="preserve">Legal and regulatory changes; economic </w:t>
            </w:r>
            <w:r>
              <w:lastRenderedPageBreak/>
              <w:t>downturns affecting customers; increasing water scarcity; technological disruption of existing infrastructure</w:t>
            </w:r>
          </w:p>
        </w:tc>
      </w:tr>
    </w:tbl>
    <w:p w14:paraId="047BF783" w14:textId="77777777" w:rsidR="00BE290C" w:rsidRDefault="00000000">
      <w:r>
        <w:rPr>
          <w:b/>
        </w:rPr>
        <w:lastRenderedPageBreak/>
        <w:t>Tips:</w:t>
      </w:r>
      <w:r>
        <w:t xml:space="preserve"> Do start with external factors (Opportunities and Threats), as the guide recommends. Do prioritize: significance matters more than the number of items. Do treat it as a snapshot and update it. Avoid filling the quadrants without discussing implications with management.</w:t>
      </w:r>
    </w:p>
    <w:p w14:paraId="22D310BE" w14:textId="77777777" w:rsidR="00BE290C" w:rsidRDefault="00000000">
      <w:pPr>
        <w:pStyle w:val="Heading2"/>
      </w:pPr>
      <w:r>
        <w:t>5. Guidance content — Phase 2: Define Strategic Objectives</w:t>
      </w:r>
    </w:p>
    <w:p w14:paraId="16360CB0" w14:textId="77777777" w:rsidR="00BE290C" w:rsidRDefault="00000000">
      <w:r>
        <w:t>Seven topics take the utility from its purpose (mission and vision) to SMART objectives, KPIs, owners and initiatives.</w:t>
      </w:r>
    </w:p>
    <w:p w14:paraId="3291703D" w14:textId="77777777" w:rsidR="00BE290C" w:rsidRDefault="00000000">
      <w:pPr>
        <w:pStyle w:val="Heading3"/>
      </w:pPr>
      <w:r>
        <w:t xml:space="preserve">5.1 </w:t>
      </w:r>
      <w:r>
        <w:rPr>
          <w:rStyle w:val="CodeChar"/>
        </w:rPr>
        <w:t>mission</w:t>
      </w:r>
      <w:r>
        <w:t xml:space="preserve"> — Mission statement</w:t>
      </w:r>
    </w:p>
    <w:p w14:paraId="108BA5C3" w14:textId="77777777" w:rsidR="00BE290C" w:rsidRDefault="00000000">
      <w:r>
        <w:rPr>
          <w:b/>
        </w:rPr>
        <w:t>Definition:</w:t>
      </w:r>
      <w:r>
        <w:t xml:space="preserve"> The mission states why the utility exists: whom it serves and what it delivers. It is simple and inspirational. Start from the statement produced in the UoF toolkit and refine it with the SWOT insights.</w:t>
      </w:r>
    </w:p>
    <w:p w14:paraId="5862D5E6" w14:textId="77777777" w:rsidR="00BE290C" w:rsidRDefault="00000000">
      <w:r>
        <w:rPr>
          <w:b/>
        </w:rPr>
        <w:t>Why it matters:</w:t>
      </w:r>
    </w:p>
    <w:p w14:paraId="62B4AAE6" w14:textId="77777777" w:rsidR="00BE290C" w:rsidRDefault="00000000">
      <w:pPr>
        <w:pStyle w:val="ListParagraph"/>
        <w:numPr>
          <w:ilvl w:val="0"/>
          <w:numId w:val="12"/>
        </w:numPr>
      </w:pPr>
      <w:r>
        <w:t>It anchors every objective and initiative in the plan.</w:t>
      </w:r>
    </w:p>
    <w:p w14:paraId="480D2B4C" w14:textId="77777777" w:rsidR="00BE290C" w:rsidRDefault="00000000">
      <w:pPr>
        <w:pStyle w:val="ListParagraph"/>
        <w:numPr>
          <w:ilvl w:val="0"/>
          <w:numId w:val="12"/>
        </w:numPr>
      </w:pPr>
      <w:r>
        <w:t>Staff, customers and regulators understand the utility's purpose in one sentence.</w:t>
      </w:r>
    </w:p>
    <w:p w14:paraId="3C42D21C" w14:textId="77777777" w:rsidR="00BE290C" w:rsidRDefault="00000000">
      <w:r>
        <w:rPr>
          <w:b/>
        </w:rPr>
        <w:t>Examples (from the Master Guide):</w:t>
      </w:r>
    </w:p>
    <w:p w14:paraId="6A834B4B" w14:textId="77777777" w:rsidR="00BE290C" w:rsidRDefault="00000000">
      <w:pPr>
        <w:pStyle w:val="ListParagraph"/>
        <w:numPr>
          <w:ilvl w:val="0"/>
          <w:numId w:val="13"/>
        </w:numPr>
      </w:pPr>
      <w:r>
        <w:t>DHL Group: "Excellence. Simply delivered."</w:t>
      </w:r>
    </w:p>
    <w:p w14:paraId="49EC7541" w14:textId="77777777" w:rsidR="00BE290C" w:rsidRDefault="00000000">
      <w:pPr>
        <w:pStyle w:val="ListParagraph"/>
        <w:numPr>
          <w:ilvl w:val="0"/>
          <w:numId w:val="13"/>
        </w:numPr>
      </w:pPr>
      <w:r>
        <w:t>Danone: "Bringing health through food to as many people as possible."</w:t>
      </w:r>
    </w:p>
    <w:p w14:paraId="0F5B25DE" w14:textId="77777777" w:rsidR="00BE290C" w:rsidRDefault="00000000">
      <w:pPr>
        <w:pStyle w:val="ListParagraph"/>
        <w:numPr>
          <w:ilvl w:val="0"/>
          <w:numId w:val="13"/>
        </w:numPr>
      </w:pPr>
      <w:r>
        <w:t>Water utility (illustrative): "Safe, reliable water and sanitation for every household we serve, every day."</w:t>
      </w:r>
    </w:p>
    <w:p w14:paraId="36C874AA" w14:textId="77777777" w:rsidR="00BE290C" w:rsidRDefault="00000000">
      <w:r>
        <w:rPr>
          <w:b/>
        </w:rPr>
        <w:t>Guiding questions:</w:t>
      </w:r>
      <w:r>
        <w:t xml:space="preserve"> Whom do we serve? What service do we provide? What makes how we serve distinctive? What would be lost if the utility did not exist?</w:t>
      </w:r>
    </w:p>
    <w:p w14:paraId="43306E61" w14:textId="77777777" w:rsidR="00BE290C" w:rsidRDefault="00000000">
      <w:r>
        <w:rPr>
          <w:b/>
        </w:rPr>
        <w:t>Tips:</w:t>
      </w:r>
      <w:r>
        <w:t xml:space="preserve"> Do keep it under 25 words. Do use words staff would say. Avoid lists of activities or technical jargon.</w:t>
      </w:r>
    </w:p>
    <w:p w14:paraId="34076A29" w14:textId="77777777" w:rsidR="00BE290C" w:rsidRDefault="00000000">
      <w:pPr>
        <w:pStyle w:val="Heading3"/>
      </w:pPr>
      <w:r>
        <w:t xml:space="preserve">5.2 </w:t>
      </w:r>
      <w:r>
        <w:rPr>
          <w:rStyle w:val="CodeChar"/>
        </w:rPr>
        <w:t>vision</w:t>
      </w:r>
      <w:r>
        <w:t xml:space="preserve"> — Vision statement</w:t>
      </w:r>
    </w:p>
    <w:p w14:paraId="1B808874" w14:textId="77777777" w:rsidR="00BE290C" w:rsidRDefault="00000000">
      <w:r>
        <w:rPr>
          <w:b/>
        </w:rPr>
        <w:t>Definition:</w:t>
      </w:r>
      <w:r>
        <w:t xml:space="preserve"> The vision states what the utility wants to become: a north star for the next 5–10 years. It can be more elaborate than the mission.</w:t>
      </w:r>
    </w:p>
    <w:p w14:paraId="2CFF90A6" w14:textId="77777777" w:rsidR="00BE290C" w:rsidRDefault="00000000">
      <w:r>
        <w:rPr>
          <w:b/>
        </w:rPr>
        <w:t>Why it matters:</w:t>
      </w:r>
    </w:p>
    <w:p w14:paraId="635D0738" w14:textId="77777777" w:rsidR="00BE290C" w:rsidRDefault="00000000">
      <w:pPr>
        <w:pStyle w:val="ListParagraph"/>
        <w:numPr>
          <w:ilvl w:val="0"/>
          <w:numId w:val="14"/>
        </w:numPr>
      </w:pPr>
      <w:r>
        <w:t>It sets the direction that the strategic objectives must move toward.</w:t>
      </w:r>
    </w:p>
    <w:p w14:paraId="02EAE429" w14:textId="77777777" w:rsidR="00BE290C" w:rsidRDefault="00000000">
      <w:pPr>
        <w:pStyle w:val="ListParagraph"/>
        <w:numPr>
          <w:ilvl w:val="0"/>
          <w:numId w:val="14"/>
        </w:numPr>
      </w:pPr>
      <w:r>
        <w:t>It aligns the board, management and staff on ambition.</w:t>
      </w:r>
    </w:p>
    <w:p w14:paraId="083FB331" w14:textId="77777777" w:rsidR="00BE290C" w:rsidRDefault="00000000">
      <w:r>
        <w:rPr>
          <w:b/>
        </w:rPr>
        <w:t>Examples (from the Master Guide):</w:t>
      </w:r>
    </w:p>
    <w:p w14:paraId="0ECA1E6C" w14:textId="77777777" w:rsidR="00BE290C" w:rsidRDefault="00000000">
      <w:pPr>
        <w:pStyle w:val="ListParagraph"/>
        <w:numPr>
          <w:ilvl w:val="0"/>
          <w:numId w:val="15"/>
        </w:numPr>
      </w:pPr>
      <w:r>
        <w:t>DHL Group: "We are the logistics company for the world."</w:t>
      </w:r>
    </w:p>
    <w:p w14:paraId="7AFDC181" w14:textId="77777777" w:rsidR="00BE290C" w:rsidRDefault="00000000">
      <w:pPr>
        <w:pStyle w:val="ListParagraph"/>
        <w:numPr>
          <w:ilvl w:val="0"/>
          <w:numId w:val="15"/>
        </w:numPr>
      </w:pPr>
      <w:r>
        <w:t>Danone: "One Planet. One Health."</w:t>
      </w:r>
    </w:p>
    <w:p w14:paraId="73F5703A" w14:textId="77777777" w:rsidR="00BE290C" w:rsidRDefault="00000000">
      <w:pPr>
        <w:pStyle w:val="ListParagraph"/>
        <w:numPr>
          <w:ilvl w:val="0"/>
          <w:numId w:val="15"/>
        </w:numPr>
      </w:pPr>
      <w:r>
        <w:lastRenderedPageBreak/>
        <w:t>Water utility (illustrative): "To be the most trusted and efficient water utility in the region by 2035."</w:t>
      </w:r>
    </w:p>
    <w:p w14:paraId="29DF5B21" w14:textId="77777777" w:rsidR="00BE290C" w:rsidRDefault="00000000">
      <w:r>
        <w:rPr>
          <w:b/>
        </w:rPr>
        <w:t>Guiding questions:</w:t>
      </w:r>
      <w:r>
        <w:t xml:space="preserve"> Where do we want to be in 5–10 years? What will customers, staff and regulators say about us then? Which UoF maturity level do we aim for?</w:t>
      </w:r>
    </w:p>
    <w:p w14:paraId="78B7D6C7" w14:textId="77777777" w:rsidR="00BE290C" w:rsidRDefault="00000000">
      <w:r>
        <w:rPr>
          <w:b/>
        </w:rPr>
        <w:t>Tips:</w:t>
      </w:r>
      <w:r>
        <w:t xml:space="preserve"> Do make it ambitious and time-anchored. Avoid confusing it with the mission (purpose) or with a single objective.</w:t>
      </w:r>
    </w:p>
    <w:p w14:paraId="3FB78FAC" w14:textId="77777777" w:rsidR="00BE290C" w:rsidRDefault="00000000">
      <w:pPr>
        <w:pStyle w:val="Heading3"/>
      </w:pPr>
      <w:r>
        <w:t xml:space="preserve">5.3 </w:t>
      </w:r>
      <w:r>
        <w:rPr>
          <w:rStyle w:val="CodeChar"/>
        </w:rPr>
        <w:t>smart-objectives</w:t>
      </w:r>
      <w:r>
        <w:t xml:space="preserve"> — Strategic objectives (SMART)</w:t>
      </w:r>
    </w:p>
    <w:p w14:paraId="000F8B3C" w14:textId="77777777" w:rsidR="00BE290C" w:rsidRDefault="00000000">
      <w:r>
        <w:rPr>
          <w:b/>
        </w:rPr>
        <w:t>Definition:</w:t>
      </w:r>
      <w:r>
        <w:t xml:space="preserve"> Strategic objectives are the few outcomes the utility commits to, aligned with the mission and vision and grounded in the internal situation, the enablement environment and the SWOT. SMART checks that each is Specific, Measurable, Achievable, Relevant and Time-bound.</w:t>
      </w:r>
    </w:p>
    <w:p w14:paraId="6F5D36CA" w14:textId="77777777" w:rsidR="00BE290C" w:rsidRDefault="00000000">
      <w:r>
        <w:rPr>
          <w:b/>
        </w:rPr>
        <w:t>Why it matters:</w:t>
      </w:r>
    </w:p>
    <w:p w14:paraId="660BD3D9" w14:textId="77777777" w:rsidR="00BE290C" w:rsidRDefault="00000000">
      <w:pPr>
        <w:pStyle w:val="ListParagraph"/>
        <w:numPr>
          <w:ilvl w:val="0"/>
          <w:numId w:val="16"/>
        </w:numPr>
      </w:pPr>
      <w:r>
        <w:t>Vague objectives ("enhance operational efficiency") cannot be managed or tracked.</w:t>
      </w:r>
    </w:p>
    <w:p w14:paraId="6ECB2C08" w14:textId="77777777" w:rsidR="00BE290C" w:rsidRDefault="00000000">
      <w:pPr>
        <w:pStyle w:val="ListParagraph"/>
        <w:numPr>
          <w:ilvl w:val="0"/>
          <w:numId w:val="16"/>
        </w:numPr>
      </w:pPr>
      <w:r>
        <w:t>Well-written objectives translate directly into KPIs and initiatives.</w:t>
      </w:r>
    </w:p>
    <w:p w14:paraId="036526F2" w14:textId="77777777" w:rsidR="00BE290C" w:rsidRDefault="00000000">
      <w:r>
        <w:rPr>
          <w:b/>
        </w:rPr>
        <w:t>Examples (from the guide):</w:t>
      </w:r>
    </w:p>
    <w:tbl>
      <w:tblPr>
        <w:tblStyle w:val="TableGrid"/>
        <w:tblW w:w="0" w:type="auto"/>
        <w:tblLayout w:type="fixed"/>
        <w:tblLook w:val="0420" w:firstRow="1" w:lastRow="0" w:firstColumn="0" w:lastColumn="0" w:noHBand="0" w:noVBand="1"/>
      </w:tblPr>
      <w:tblGrid>
        <w:gridCol w:w="4680"/>
        <w:gridCol w:w="4680"/>
      </w:tblGrid>
      <w:tr w:rsidR="00BE290C" w14:paraId="0D17B4D5" w14:textId="77777777">
        <w:trPr>
          <w:tblHeader/>
        </w:trPr>
        <w:tc>
          <w:tcPr>
            <w:tcW w:w="4680" w:type="dxa"/>
            <w:shd w:val="clear" w:color="auto" w:fill="F2F2F2"/>
          </w:tcPr>
          <w:p w14:paraId="5A93C517" w14:textId="77777777" w:rsidR="00BE290C" w:rsidRDefault="00000000">
            <w:r>
              <w:t>Typical objective</w:t>
            </w:r>
          </w:p>
        </w:tc>
        <w:tc>
          <w:tcPr>
            <w:tcW w:w="4680" w:type="dxa"/>
            <w:shd w:val="clear" w:color="auto" w:fill="F2F2F2"/>
          </w:tcPr>
          <w:p w14:paraId="71FCDF84" w14:textId="77777777" w:rsidR="00BE290C" w:rsidRDefault="00000000">
            <w:r>
              <w:t>SMART objective</w:t>
            </w:r>
          </w:p>
        </w:tc>
      </w:tr>
      <w:tr w:rsidR="00BE290C" w14:paraId="17C480DA" w14:textId="77777777">
        <w:tc>
          <w:tcPr>
            <w:tcW w:w="4680" w:type="dxa"/>
          </w:tcPr>
          <w:p w14:paraId="6180F5D1" w14:textId="77777777" w:rsidR="00BE290C" w:rsidRDefault="00000000">
            <w:r>
              <w:t>Decrease overhead spending</w:t>
            </w:r>
          </w:p>
        </w:tc>
        <w:tc>
          <w:tcPr>
            <w:tcW w:w="4680" w:type="dxa"/>
          </w:tcPr>
          <w:p w14:paraId="2B6333BC" w14:textId="77777777" w:rsidR="00BE290C" w:rsidRDefault="00000000">
            <w:r>
              <w:t>Over the next fiscal year, reduce overhead spending by 15% by identifying and implementing cost-saving measures</w:t>
            </w:r>
          </w:p>
        </w:tc>
      </w:tr>
      <w:tr w:rsidR="00BE290C" w14:paraId="363CF408" w14:textId="77777777">
        <w:tc>
          <w:tcPr>
            <w:tcW w:w="4680" w:type="dxa"/>
          </w:tcPr>
          <w:p w14:paraId="688FDE98" w14:textId="77777777" w:rsidR="00BE290C" w:rsidRDefault="00000000">
            <w:r>
              <w:t>Reduce waste</w:t>
            </w:r>
          </w:p>
        </w:tc>
        <w:tc>
          <w:tcPr>
            <w:tcW w:w="4680" w:type="dxa"/>
          </w:tcPr>
          <w:p w14:paraId="725B5E48" w14:textId="77777777" w:rsidR="00BE290C" w:rsidRDefault="00000000">
            <w:r>
              <w:t>Reduce non-revenue water by 15% over the next year through efficient water distribution systems and leak detection technology</w:t>
            </w:r>
          </w:p>
        </w:tc>
      </w:tr>
      <w:tr w:rsidR="00BE290C" w14:paraId="0E952756" w14:textId="77777777">
        <w:tc>
          <w:tcPr>
            <w:tcW w:w="4680" w:type="dxa"/>
          </w:tcPr>
          <w:p w14:paraId="5B6AA4C1" w14:textId="77777777" w:rsidR="00BE290C" w:rsidRDefault="00000000">
            <w:r>
              <w:t>Increase market position</w:t>
            </w:r>
          </w:p>
        </w:tc>
        <w:tc>
          <w:tcPr>
            <w:tcW w:w="4680" w:type="dxa"/>
          </w:tcPr>
          <w:p w14:paraId="253F75C1" w14:textId="77777777" w:rsidR="00BE290C" w:rsidRDefault="00000000">
            <w:r>
              <w:t>In the next year, increase our market share by 5% through efficiency improvements and customer satisfaction initiatives</w:t>
            </w:r>
          </w:p>
        </w:tc>
      </w:tr>
    </w:tbl>
    <w:p w14:paraId="0B12C6E4" w14:textId="77777777" w:rsidR="00BE290C" w:rsidRDefault="00000000">
      <w:r>
        <w:rPr>
          <w:b/>
        </w:rPr>
        <w:t>Guiding questions (SMART check):</w:t>
      </w:r>
    </w:p>
    <w:p w14:paraId="6A64D897" w14:textId="77777777" w:rsidR="00BE290C" w:rsidRDefault="00000000">
      <w:pPr>
        <w:pStyle w:val="ListParagraph"/>
        <w:numPr>
          <w:ilvl w:val="0"/>
          <w:numId w:val="17"/>
        </w:numPr>
      </w:pPr>
      <w:r>
        <w:t>Specific: What needs to be accomplished? Who will be involved?</w:t>
      </w:r>
    </w:p>
    <w:p w14:paraId="39D608CD" w14:textId="77777777" w:rsidR="00BE290C" w:rsidRDefault="00000000">
      <w:pPr>
        <w:pStyle w:val="ListParagraph"/>
        <w:numPr>
          <w:ilvl w:val="0"/>
          <w:numId w:val="17"/>
        </w:numPr>
      </w:pPr>
      <w:r>
        <w:t>Measurable: How will we measure progress? How much must be achieved? Which indicators will we use?</w:t>
      </w:r>
    </w:p>
    <w:p w14:paraId="631C622F" w14:textId="77777777" w:rsidR="00BE290C" w:rsidRDefault="00000000">
      <w:pPr>
        <w:pStyle w:val="ListParagraph"/>
        <w:numPr>
          <w:ilvl w:val="0"/>
          <w:numId w:val="17"/>
        </w:numPr>
      </w:pPr>
      <w:r>
        <w:t>Achievable: Do we have the resources and capabilities? Is it realistic for the time available?</w:t>
      </w:r>
    </w:p>
    <w:p w14:paraId="52EF8A60" w14:textId="77777777" w:rsidR="00BE290C" w:rsidRDefault="00000000">
      <w:pPr>
        <w:pStyle w:val="ListParagraph"/>
        <w:numPr>
          <w:ilvl w:val="0"/>
          <w:numId w:val="17"/>
        </w:numPr>
      </w:pPr>
      <w:r>
        <w:t>Relevant: How does it relate to the mission and vision? Is it pertinent to current priorities?</w:t>
      </w:r>
    </w:p>
    <w:p w14:paraId="4A9C74E4" w14:textId="77777777" w:rsidR="00BE290C" w:rsidRDefault="00000000">
      <w:pPr>
        <w:pStyle w:val="ListParagraph"/>
        <w:numPr>
          <w:ilvl w:val="0"/>
          <w:numId w:val="17"/>
        </w:numPr>
      </w:pPr>
      <w:r>
        <w:t>Time-bound: When will it be accomplished? Is there a specific deadline?</w:t>
      </w:r>
    </w:p>
    <w:p w14:paraId="6F3D3DDF" w14:textId="77777777" w:rsidR="00BE290C" w:rsidRDefault="00000000">
      <w:r>
        <w:rPr>
          <w:b/>
        </w:rPr>
        <w:t>Tips:</w:t>
      </w:r>
      <w:r>
        <w:t xml:space="preserve"> Do set stretch objectives: specific, challenging goals with tight deadlines lead to better performance. Do use SMART only to test that an objective is well written, not to lower the ambition. Avoid more than 6–8 objectives.</w:t>
      </w:r>
    </w:p>
    <w:p w14:paraId="1B7B7532" w14:textId="77777777" w:rsidR="00BE290C" w:rsidRDefault="00000000">
      <w:pPr>
        <w:pStyle w:val="Heading3"/>
      </w:pPr>
      <w:r>
        <w:lastRenderedPageBreak/>
        <w:t xml:space="preserve">5.4 </w:t>
      </w:r>
      <w:r>
        <w:rPr>
          <w:rStyle w:val="CodeChar"/>
        </w:rPr>
        <w:t>kpis</w:t>
      </w:r>
      <w:r>
        <w:t xml:space="preserve"> — Company-wide KPIs</w:t>
      </w:r>
    </w:p>
    <w:p w14:paraId="6A4BC944" w14:textId="77777777" w:rsidR="00BE290C" w:rsidRDefault="00000000">
      <w:r>
        <w:rPr>
          <w:b/>
        </w:rPr>
        <w:t>Definition:</w:t>
      </w:r>
      <w:r>
        <w:t xml:space="preserve"> Key performance indicators are the few metrics that show progress toward the strategic objectives. Every utility tracks at least five quantitative KPIs, complemented by other quantitative and qualitative KPIs.</w:t>
      </w:r>
    </w:p>
    <w:p w14:paraId="78752831" w14:textId="77777777" w:rsidR="00BE290C" w:rsidRDefault="00000000">
      <w:r>
        <w:rPr>
          <w:b/>
        </w:rPr>
        <w:t>Core KPIs:</w:t>
      </w:r>
    </w:p>
    <w:tbl>
      <w:tblPr>
        <w:tblStyle w:val="TableGrid"/>
        <w:tblW w:w="0" w:type="auto"/>
        <w:tblLayout w:type="fixed"/>
        <w:tblLook w:val="0420" w:firstRow="1" w:lastRow="0" w:firstColumn="0" w:lastColumn="0" w:noHBand="0" w:noVBand="1"/>
      </w:tblPr>
      <w:tblGrid>
        <w:gridCol w:w="4680"/>
        <w:gridCol w:w="4680"/>
      </w:tblGrid>
      <w:tr w:rsidR="00BE290C" w14:paraId="354213E6" w14:textId="77777777">
        <w:trPr>
          <w:tblHeader/>
        </w:trPr>
        <w:tc>
          <w:tcPr>
            <w:tcW w:w="4680" w:type="dxa"/>
            <w:shd w:val="clear" w:color="auto" w:fill="F2F2F2"/>
          </w:tcPr>
          <w:p w14:paraId="4193CE9F" w14:textId="77777777" w:rsidR="00BE290C" w:rsidRDefault="00000000">
            <w:r>
              <w:t>KPI</w:t>
            </w:r>
          </w:p>
        </w:tc>
        <w:tc>
          <w:tcPr>
            <w:tcW w:w="4680" w:type="dxa"/>
            <w:shd w:val="clear" w:color="auto" w:fill="F2F2F2"/>
          </w:tcPr>
          <w:p w14:paraId="5E6A761D" w14:textId="77777777" w:rsidR="00BE290C" w:rsidRDefault="00000000">
            <w:r>
              <w:t>Formula</w:t>
            </w:r>
          </w:p>
        </w:tc>
      </w:tr>
      <w:tr w:rsidR="00BE290C" w14:paraId="17654702" w14:textId="77777777">
        <w:tc>
          <w:tcPr>
            <w:tcW w:w="4680" w:type="dxa"/>
          </w:tcPr>
          <w:p w14:paraId="43021E78" w14:textId="77777777" w:rsidR="00BE290C" w:rsidRDefault="00000000">
            <w:r>
              <w:t>Non-Revenue Water (%)</w:t>
            </w:r>
          </w:p>
        </w:tc>
        <w:tc>
          <w:tcPr>
            <w:tcW w:w="4680" w:type="dxa"/>
          </w:tcPr>
          <w:p w14:paraId="4357B91C" w14:textId="77777777" w:rsidR="00BE290C" w:rsidRDefault="00000000">
            <w:r>
              <w:t>(water produced or purchased − water billed) ÷ water produced or purchased</w:t>
            </w:r>
          </w:p>
        </w:tc>
      </w:tr>
      <w:tr w:rsidR="00BE290C" w14:paraId="2743E8E2" w14:textId="77777777">
        <w:tc>
          <w:tcPr>
            <w:tcW w:w="4680" w:type="dxa"/>
          </w:tcPr>
          <w:p w14:paraId="2361D76B" w14:textId="77777777" w:rsidR="00BE290C" w:rsidRDefault="00000000">
            <w:r>
              <w:t>Collection rate</w:t>
            </w:r>
          </w:p>
        </w:tc>
        <w:tc>
          <w:tcPr>
            <w:tcW w:w="4680" w:type="dxa"/>
          </w:tcPr>
          <w:p w14:paraId="7B91E67B" w14:textId="77777777" w:rsidR="00BE290C" w:rsidRDefault="00000000">
            <w:r>
              <w:t>collections from customers ÷ billed customer revenue</w:t>
            </w:r>
          </w:p>
        </w:tc>
      </w:tr>
      <w:tr w:rsidR="00BE290C" w14:paraId="5A93DE0B" w14:textId="77777777">
        <w:tc>
          <w:tcPr>
            <w:tcW w:w="4680" w:type="dxa"/>
          </w:tcPr>
          <w:p w14:paraId="7349E4AA" w14:textId="77777777" w:rsidR="00BE290C" w:rsidRDefault="00000000">
            <w:r>
              <w:t>Operating Cost Coverage Ratio</w:t>
            </w:r>
          </w:p>
        </w:tc>
        <w:tc>
          <w:tcPr>
            <w:tcW w:w="4680" w:type="dxa"/>
          </w:tcPr>
          <w:p w14:paraId="74D6414B" w14:textId="77777777" w:rsidR="00BE290C" w:rsidRDefault="00000000">
            <w:r>
              <w:t>operating revenues ÷ operating costs</w:t>
            </w:r>
          </w:p>
        </w:tc>
      </w:tr>
      <w:tr w:rsidR="00BE290C" w14:paraId="1B18CB9F" w14:textId="77777777">
        <w:tc>
          <w:tcPr>
            <w:tcW w:w="4680" w:type="dxa"/>
          </w:tcPr>
          <w:p w14:paraId="75BA3950" w14:textId="77777777" w:rsidR="00BE290C" w:rsidRDefault="00000000">
            <w:r>
              <w:t>EBITDA margin</w:t>
            </w:r>
          </w:p>
        </w:tc>
        <w:tc>
          <w:tcPr>
            <w:tcW w:w="4680" w:type="dxa"/>
          </w:tcPr>
          <w:p w14:paraId="0435B2CB" w14:textId="77777777" w:rsidR="00BE290C" w:rsidRDefault="00000000">
            <w:r>
              <w:t>EBITDA ÷ total revenue</w:t>
            </w:r>
          </w:p>
        </w:tc>
      </w:tr>
      <w:tr w:rsidR="00BE290C" w14:paraId="2A62B834" w14:textId="77777777">
        <w:tc>
          <w:tcPr>
            <w:tcW w:w="4680" w:type="dxa"/>
          </w:tcPr>
          <w:p w14:paraId="21485D3E" w14:textId="77777777" w:rsidR="00BE290C" w:rsidRDefault="00000000">
            <w:r>
              <w:t>Debt Service Coverage Ratio</w:t>
            </w:r>
          </w:p>
        </w:tc>
        <w:tc>
          <w:tcPr>
            <w:tcW w:w="4680" w:type="dxa"/>
          </w:tcPr>
          <w:p w14:paraId="702DDC20" w14:textId="77777777" w:rsidR="00BE290C" w:rsidRDefault="00000000">
            <w:r>
              <w:t>cash from operations ÷ principal and interest payments</w:t>
            </w:r>
          </w:p>
        </w:tc>
      </w:tr>
    </w:tbl>
    <w:p w14:paraId="2841710B" w14:textId="77777777" w:rsidR="00BE290C" w:rsidRDefault="00000000">
      <w:r>
        <w:rPr>
          <w:b/>
        </w:rPr>
        <w:t>Qualitative KPI examples (from the Master Guide):</w:t>
      </w:r>
      <w:r>
        <w:t xml:space="preserve"> create the Environmental Management Department; review procurement practices; launch customer satisfaction surveys; implement an ERP; strengthen dialogue with the regulator on sector policy and tariffs.</w:t>
      </w:r>
    </w:p>
    <w:p w14:paraId="719A77C7" w14:textId="77777777" w:rsidR="00BE290C" w:rsidRDefault="00000000">
      <w:r>
        <w:rPr>
          <w:b/>
        </w:rPr>
        <w:t>Why it matters:</w:t>
      </w:r>
      <w:r>
        <w:t xml:space="preserve"> KPIs let management compare actual results with targets every quarter and act early.</w:t>
      </w:r>
    </w:p>
    <w:p w14:paraId="4DF203C1" w14:textId="77777777" w:rsidR="00BE290C" w:rsidRDefault="00000000">
      <w:r>
        <w:rPr>
          <w:b/>
        </w:rPr>
        <w:t>Tips:</w:t>
      </w:r>
      <w:r>
        <w:t xml:space="preserve"> Do keep 8–12 measures, balanced across financial, customer, operational, strategic and human capital aspects. Do benchmark against peers (IBNET utility dashboard: newibnet.org/utility-dashboard). Avoid KPIs with no clear data source.</w:t>
      </w:r>
    </w:p>
    <w:p w14:paraId="5886E3B2" w14:textId="77777777" w:rsidR="00BE290C" w:rsidRDefault="00000000">
      <w:pPr>
        <w:pStyle w:val="Heading3"/>
      </w:pPr>
      <w:r>
        <w:t xml:space="preserve">5.5 </w:t>
      </w:r>
      <w:r>
        <w:rPr>
          <w:rStyle w:val="CodeChar"/>
        </w:rPr>
        <w:t>sign-off</w:t>
      </w:r>
      <w:r>
        <w:t xml:space="preserve"> — Sign-off on objectives and KPIs</w:t>
      </w:r>
    </w:p>
    <w:p w14:paraId="49DA02AC" w14:textId="77777777" w:rsidR="00BE290C" w:rsidRDefault="00000000">
      <w:r>
        <w:rPr>
          <w:b/>
        </w:rPr>
        <w:t>Definition:</w:t>
      </w:r>
      <w:r>
        <w:t xml:space="preserve"> The formal approval of the strategic objectives and KPIs by the responsible and management teams.</w:t>
      </w:r>
    </w:p>
    <w:p w14:paraId="4BA5669C" w14:textId="77777777" w:rsidR="00BE290C" w:rsidRDefault="00000000">
      <w:r>
        <w:rPr>
          <w:b/>
        </w:rPr>
        <w:t>Proposed agenda (from the Master Guide):</w:t>
      </w:r>
      <w:r>
        <w:t xml:space="preserve"> 1. Introduction and purpose. 2. Review of the current state. 3. Proposed strategic objectives, rationale and alignment with mission and vision. 4. Proposed KPIs. 5. Open discussion and feedback. 6. Formal sign-off.</w:t>
      </w:r>
    </w:p>
    <w:p w14:paraId="235E5E9E" w14:textId="77777777" w:rsidR="00BE290C" w:rsidRDefault="00000000">
      <w:r>
        <w:rPr>
          <w:b/>
        </w:rPr>
        <w:t>Tips:</w:t>
      </w:r>
      <w:r>
        <w:t xml:space="preserve"> Do upload the minutes and list who signed. Avoid moving to initiatives before sign-off.</w:t>
      </w:r>
    </w:p>
    <w:p w14:paraId="7660951C" w14:textId="77777777" w:rsidR="00BE290C" w:rsidRDefault="00000000">
      <w:pPr>
        <w:pStyle w:val="Heading3"/>
      </w:pPr>
      <w:r>
        <w:t xml:space="preserve">5.6 </w:t>
      </w:r>
      <w:r>
        <w:rPr>
          <w:rStyle w:val="CodeChar"/>
        </w:rPr>
        <w:t>objective-owners</w:t>
      </w:r>
      <w:r>
        <w:t xml:space="preserve"> — Owners per objective</w:t>
      </w:r>
    </w:p>
    <w:p w14:paraId="72453879" w14:textId="77777777" w:rsidR="00BE290C" w:rsidRDefault="00000000">
      <w:r>
        <w:rPr>
          <w:b/>
        </w:rPr>
        <w:t>Definition:</w:t>
      </w:r>
      <w:r>
        <w:t xml:space="preserve"> One accountable owner per strategic objective, who drives execution, monitors progress and removes obstacles.</w:t>
      </w:r>
    </w:p>
    <w:p w14:paraId="649469F9" w14:textId="77777777" w:rsidR="00BE290C" w:rsidRDefault="00000000">
      <w:r>
        <w:rPr>
          <w:b/>
        </w:rPr>
        <w:t>Example:</w:t>
      </w:r>
      <w:r>
        <w:t xml:space="preserve"> Objective 1 "Reduce NRW to 30% by 2030" → Owner: Technical Operations Director.</w:t>
      </w:r>
    </w:p>
    <w:p w14:paraId="2CB26494" w14:textId="77777777" w:rsidR="00BE290C" w:rsidRDefault="00000000">
      <w:r>
        <w:rPr>
          <w:b/>
        </w:rPr>
        <w:t>Tips:</w:t>
      </w:r>
      <w:r>
        <w:t xml:space="preserve"> Do assign one person, not a department. Do choose someone with authority over the needed resources.</w:t>
      </w:r>
    </w:p>
    <w:p w14:paraId="52C9438D" w14:textId="77777777" w:rsidR="00BE290C" w:rsidRDefault="00000000">
      <w:pPr>
        <w:pStyle w:val="Heading3"/>
      </w:pPr>
      <w:r>
        <w:lastRenderedPageBreak/>
        <w:t xml:space="preserve">5.7 </w:t>
      </w:r>
      <w:r>
        <w:rPr>
          <w:rStyle w:val="CodeChar"/>
        </w:rPr>
        <w:t>initiatives</w:t>
      </w:r>
      <w:r>
        <w:t xml:space="preserve"> — Initiatives to achieve the objectives</w:t>
      </w:r>
    </w:p>
    <w:p w14:paraId="0E31647F" w14:textId="77777777" w:rsidR="00BE290C" w:rsidRDefault="00000000">
      <w:r>
        <w:rPr>
          <w:b/>
        </w:rPr>
        <w:t>Definition:</w:t>
      </w:r>
      <w:r>
        <w:t xml:space="preserve"> Initiatives are actionable projects with tasks, resources and timelines that deliver each objective. Each initiative later gets a project charter.</w:t>
      </w:r>
    </w:p>
    <w:p w14:paraId="17E921AC" w14:textId="77777777" w:rsidR="00BE290C" w:rsidRDefault="00000000">
      <w:r>
        <w:rPr>
          <w:b/>
        </w:rPr>
        <w:t>How to run it:</w:t>
      </w:r>
      <w:r>
        <w:t xml:space="preserve"> the objective owner leads a session with the relevant staff, explains the objective and its background, and brainstorms and details the initiatives, reusing UoF best practices and long-term actions.</w:t>
      </w:r>
    </w:p>
    <w:p w14:paraId="65BD8C8A" w14:textId="77777777" w:rsidR="00BE290C" w:rsidRDefault="00000000">
      <w:r>
        <w:rPr>
          <w:b/>
        </w:rPr>
        <w:t>Example:</w:t>
      </w:r>
      <w:r>
        <w:t xml:space="preserve"> Objective "Reduce NRW" → Initiative 1: District metered areas. Initiative 2: Meter replacement program. Initiative 3: Active leak detection team.</w:t>
      </w:r>
    </w:p>
    <w:p w14:paraId="33C567CB" w14:textId="77777777" w:rsidR="00BE290C" w:rsidRDefault="00000000">
      <w:r>
        <w:rPr>
          <w:b/>
        </w:rPr>
        <w:t>Tips:</w:t>
      </w:r>
      <w:r>
        <w:t xml:space="preserve"> Do link every initiative to one objective. Avoid initiatives no one owns or funds.</w:t>
      </w:r>
    </w:p>
    <w:p w14:paraId="372BB289" w14:textId="77777777" w:rsidR="00BE290C" w:rsidRDefault="00000000">
      <w:pPr>
        <w:pStyle w:val="Heading2"/>
      </w:pPr>
      <w:r>
        <w:t>6. Guidance content — Phase 3: Develop Business Plan and Phase 4: Roadmap</w:t>
      </w:r>
    </w:p>
    <w:p w14:paraId="226CF8CE" w14:textId="77777777" w:rsidR="00BE290C" w:rsidRDefault="00000000">
      <w:r>
        <w:t>Seven topics cover turning initiatives into funded projects, projecting finances, testing assumptions, assembling the plan and keeping it alive.</w:t>
      </w:r>
    </w:p>
    <w:p w14:paraId="4991B1CE" w14:textId="77777777" w:rsidR="00BE290C" w:rsidRDefault="00000000">
      <w:pPr>
        <w:pStyle w:val="Heading3"/>
      </w:pPr>
      <w:r>
        <w:t xml:space="preserve">6.1 </w:t>
      </w:r>
      <w:r>
        <w:rPr>
          <w:rStyle w:val="CodeChar"/>
        </w:rPr>
        <w:t>project-charters</w:t>
      </w:r>
      <w:r>
        <w:t xml:space="preserve"> — Project charters</w:t>
      </w:r>
    </w:p>
    <w:p w14:paraId="755F03CC" w14:textId="77777777" w:rsidR="00BE290C" w:rsidRDefault="00000000">
      <w:r>
        <w:rPr>
          <w:b/>
        </w:rPr>
        <w:t>Definition:</w:t>
      </w:r>
      <w:r>
        <w:t xml:space="preserve"> A project charter formally authorizes an initiative and gives the project manager authority to use the organization's resources. It states the mission, goals, scope, dependencies, risks, assumptions, major milestones, sponsor and team, budget and completion date, and it is signed.</w:t>
      </w:r>
    </w:p>
    <w:p w14:paraId="5921B2C0" w14:textId="77777777" w:rsidR="00BE290C" w:rsidRDefault="00000000">
      <w:r>
        <w:rPr>
          <w:b/>
        </w:rPr>
        <w:t>Why it matters:</w:t>
      </w:r>
    </w:p>
    <w:p w14:paraId="7CD36383" w14:textId="77777777" w:rsidR="00BE290C" w:rsidRDefault="00000000">
      <w:pPr>
        <w:pStyle w:val="ListParagraph"/>
        <w:numPr>
          <w:ilvl w:val="0"/>
          <w:numId w:val="18"/>
        </w:numPr>
      </w:pPr>
      <w:r>
        <w:t>It sets clear boundaries and a formal record at the start of the project.</w:t>
      </w:r>
    </w:p>
    <w:p w14:paraId="549D8AC8" w14:textId="77777777" w:rsidR="00BE290C" w:rsidRDefault="00000000">
      <w:pPr>
        <w:pStyle w:val="ListParagraph"/>
        <w:numPr>
          <w:ilvl w:val="0"/>
          <w:numId w:val="18"/>
        </w:numPr>
      </w:pPr>
      <w:r>
        <w:t>It is how top management formally accepts and commits to the project.</w:t>
      </w:r>
    </w:p>
    <w:p w14:paraId="3AE1ED9A" w14:textId="77777777" w:rsidR="00BE290C" w:rsidRDefault="00000000">
      <w:r>
        <w:rPr>
          <w:b/>
        </w:rPr>
        <w:t>Example (from the guide):</w:t>
      </w:r>
      <w:r>
        <w:t xml:space="preserve"> "Upgrade and Modernization of Water Distribution System". Mission: enhance the efficiency, reliability and sustainability of the distribution system. Goals: increase system efficiency by 20% within 18 months; reduce leak losses by 15% within 12 months; cut maintenance response time by 25%. Scope: assessment, replacement of aging pipes, real-time monitoring and control system, staff training. Risks: unforeseen underground conditions, weather delays, budget overruns, resistance to change. Milestones: assessment complete → regulatory approvals → works start → monitoring live → training complete → testing complete. Budget: USD 5,000,000.</w:t>
      </w:r>
    </w:p>
    <w:p w14:paraId="086509B6" w14:textId="77777777" w:rsidR="00BE290C" w:rsidRDefault="00000000">
      <w:r>
        <w:rPr>
          <w:b/>
        </w:rPr>
        <w:t>Field hints:</w:t>
      </w:r>
      <w:r>
        <w:t xml:space="preserve"> Mission = what the project intends to accomplish and why. Goals = schedule, cost and quality targets, including what to preserve or avoid. Milestones = only the major ones. Approvals = at least sponsor, project manager and finance manager.</w:t>
      </w:r>
    </w:p>
    <w:p w14:paraId="273239A6" w14:textId="77777777" w:rsidR="00BE290C" w:rsidRDefault="00000000">
      <w:r>
        <w:rPr>
          <w:b/>
        </w:rPr>
        <w:t>Common mistakes (from the guide):</w:t>
      </w:r>
      <w:r>
        <w:t xml:space="preserve"> unclear objective; project manager's role not defined; key people not told the project has started; signatory without the authority or resources to help.</w:t>
      </w:r>
    </w:p>
    <w:p w14:paraId="4CDA676D" w14:textId="77777777" w:rsidR="00BE290C" w:rsidRDefault="00000000">
      <w:pPr>
        <w:pStyle w:val="Heading3"/>
      </w:pPr>
      <w:r>
        <w:t xml:space="preserve">6.2 </w:t>
      </w:r>
      <w:r>
        <w:rPr>
          <w:rStyle w:val="CodeChar"/>
        </w:rPr>
        <w:t>proforma-pl</w:t>
      </w:r>
      <w:r>
        <w:t xml:space="preserve"> — Proforma P&amp;L</w:t>
      </w:r>
    </w:p>
    <w:p w14:paraId="71BE9D6E" w14:textId="77777777" w:rsidR="00BE290C" w:rsidRDefault="00000000">
      <w:r>
        <w:rPr>
          <w:b/>
        </w:rPr>
        <w:t>Definition:</w:t>
      </w:r>
      <w:r>
        <w:t xml:space="preserve"> A forward-looking income statement (revenue, costs, EBITDA, depreciation, interest, taxes, net income) based on explicit assumptions. In the platform: 4 years of actuals plus 5 forecast years.</w:t>
      </w:r>
    </w:p>
    <w:p w14:paraId="38AA8730" w14:textId="77777777" w:rsidR="00BE290C" w:rsidRDefault="00000000">
      <w:r>
        <w:rPr>
          <w:b/>
        </w:rPr>
        <w:t>Why it matters:</w:t>
      </w:r>
    </w:p>
    <w:p w14:paraId="01110A98" w14:textId="77777777" w:rsidR="00BE290C" w:rsidRDefault="00000000">
      <w:pPr>
        <w:pStyle w:val="ListParagraph"/>
        <w:numPr>
          <w:ilvl w:val="0"/>
          <w:numId w:val="19"/>
        </w:numPr>
      </w:pPr>
      <w:r>
        <w:lastRenderedPageBreak/>
        <w:t>It shows whether the plan is financially sustainable.</w:t>
      </w:r>
    </w:p>
    <w:p w14:paraId="05D007A5" w14:textId="77777777" w:rsidR="00BE290C" w:rsidRDefault="00000000">
      <w:pPr>
        <w:pStyle w:val="ListParagraph"/>
        <w:numPr>
          <w:ilvl w:val="0"/>
          <w:numId w:val="19"/>
        </w:numPr>
      </w:pPr>
      <w:r>
        <w:t>It is the main tool to talk with creditors, banks and investors.</w:t>
      </w:r>
    </w:p>
    <w:p w14:paraId="18C1EEAE" w14:textId="77777777" w:rsidR="00BE290C" w:rsidRDefault="00000000">
      <w:r>
        <w:rPr>
          <w:b/>
        </w:rPr>
        <w:t>How each line is projected (from the guide):</w:t>
      </w:r>
      <w:r>
        <w:t xml:space="preserve"> Water and sewage charges = connections × average metered consumption × average tariff × collection rate. Production cost = m³ produced or purchased × average cost per m³. Distribution and other operating costs = % of revenue. Tax = constant % of taxable income. Interest = historical average (simplified).</w:t>
      </w:r>
    </w:p>
    <w:p w14:paraId="62EE4EDA" w14:textId="77777777" w:rsidR="00BE290C" w:rsidRDefault="00000000">
      <w:r>
        <w:rPr>
          <w:b/>
        </w:rPr>
        <w:t>Tips:</w:t>
      </w:r>
      <w:r>
        <w:t xml:space="preserve"> Do involve operational managers, not only finance. Do start from trend extrapolation as a base scenario and then reflect the strategic objectives and investments. Do compare projections with recent results and benchmarks. Avoid presenting goals as forecasts: plans tend to be optimistic. Enter expenses as positive numbers.</w:t>
      </w:r>
    </w:p>
    <w:p w14:paraId="6B53E042" w14:textId="77777777" w:rsidR="00BE290C" w:rsidRDefault="00000000">
      <w:pPr>
        <w:pStyle w:val="Heading3"/>
      </w:pPr>
      <w:r>
        <w:t xml:space="preserve">6.3 </w:t>
      </w:r>
      <w:r>
        <w:rPr>
          <w:rStyle w:val="CodeChar"/>
        </w:rPr>
        <w:t>capital-investment-plan</w:t>
      </w:r>
      <w:r>
        <w:t xml:space="preserve"> — Capital Investment Plan</w:t>
      </w:r>
    </w:p>
    <w:p w14:paraId="0BCF38F1" w14:textId="77777777" w:rsidR="00BE290C" w:rsidRDefault="00000000">
      <w:r>
        <w:rPr>
          <w:b/>
        </w:rPr>
        <w:t>Definition:</w:t>
      </w:r>
      <w:r>
        <w:t xml:space="preserve"> The investments needed for the initiatives (water, sanitation, other CAPEX), how they are financed (long- and short-term loans), the debt service, the incremental depreciation, and the resulting Debt Service Coverage Ratio.</w:t>
      </w:r>
    </w:p>
    <w:p w14:paraId="27C83DDC" w14:textId="77777777" w:rsidR="00BE290C" w:rsidRDefault="00000000">
      <w:r>
        <w:rPr>
          <w:b/>
        </w:rPr>
        <w:t>Key concept:</w:t>
      </w:r>
      <w:r>
        <w:t xml:space="preserve"> DSCR = net cash flow from operating activities ÷ (principal + interest). Above 1 means the utility generates enough cash to pay its debt; below 1 signals difficulty.</w:t>
      </w:r>
    </w:p>
    <w:p w14:paraId="47F9DF43" w14:textId="77777777" w:rsidR="00BE290C" w:rsidRDefault="00000000">
      <w:r>
        <w:rPr>
          <w:b/>
        </w:rPr>
        <w:t>Glossary:</w:t>
      </w:r>
      <w:r>
        <w:t xml:space="preserve"> CAPEX = funds invested in tangible assets (infrastructure, equipment) expected to generate long-term benefits.</w:t>
      </w:r>
    </w:p>
    <w:p w14:paraId="57F6EBF9" w14:textId="77777777" w:rsidR="00BE290C" w:rsidRDefault="00000000">
      <w:r>
        <w:rPr>
          <w:b/>
        </w:rPr>
        <w:t>Tips:</w:t>
      </w:r>
      <w:r>
        <w:t xml:space="preserve"> Do tie every investment to an initiative and its charter. Do plan cash outflows by milestone. Avoid financing that pushes DSCR below 1 without a mitigation.</w:t>
      </w:r>
    </w:p>
    <w:p w14:paraId="36C7991B" w14:textId="77777777" w:rsidR="00BE290C" w:rsidRDefault="00000000">
      <w:pPr>
        <w:pStyle w:val="Heading3"/>
      </w:pPr>
      <w:r>
        <w:t xml:space="preserve">6.4 </w:t>
      </w:r>
      <w:r>
        <w:rPr>
          <w:rStyle w:val="CodeChar"/>
        </w:rPr>
        <w:t>sensitivity</w:t>
      </w:r>
      <w:r>
        <w:t xml:space="preserve"> — Sensitivity analysis</w:t>
      </w:r>
    </w:p>
    <w:p w14:paraId="22497EFF" w14:textId="77777777" w:rsidR="00BE290C" w:rsidRDefault="00000000">
      <w:r>
        <w:rPr>
          <w:b/>
        </w:rPr>
        <w:t>Definition:</w:t>
      </w:r>
      <w:r>
        <w:t xml:space="preserve"> A test of how changes in key assumptions change the results (revenue, EBITDA, net income). For water utilities, tariffs are the most critical variable.</w:t>
      </w:r>
    </w:p>
    <w:p w14:paraId="7899BC79" w14:textId="77777777" w:rsidR="00BE290C" w:rsidRDefault="00000000">
      <w:r>
        <w:rPr>
          <w:b/>
        </w:rPr>
        <w:t>Example (from the guide):</w:t>
      </w:r>
      <w:r>
        <w:t xml:space="preserve"> a profit projection of USD 74 M in the plan falls to USD 62 M if a key cost rises 40%, and rises to USD 86 M if it falls 30%.</w:t>
      </w:r>
    </w:p>
    <w:p w14:paraId="3CE064DE" w14:textId="77777777" w:rsidR="00BE290C" w:rsidRDefault="00000000">
      <w:r>
        <w:rPr>
          <w:b/>
        </w:rPr>
        <w:t>Tips:</w:t>
      </w:r>
      <w:r>
        <w:t xml:space="preserve"> Do use realistic scenarios grounded in regulation, market and cost changes. Avoid arbitrary changes. Do record which assumptions are critical: they become early warning indicators.</w:t>
      </w:r>
    </w:p>
    <w:p w14:paraId="078A7CAE" w14:textId="77777777" w:rsidR="00BE290C" w:rsidRDefault="00000000">
      <w:pPr>
        <w:pStyle w:val="Heading3"/>
      </w:pPr>
      <w:r>
        <w:t xml:space="preserve">6.5 </w:t>
      </w:r>
      <w:r>
        <w:rPr>
          <w:rStyle w:val="CodeChar"/>
        </w:rPr>
        <w:t>integrate-plan</w:t>
      </w:r>
      <w:r>
        <w:t xml:space="preserve"> — Integrate the business plan</w:t>
      </w:r>
    </w:p>
    <w:p w14:paraId="66DDE57E" w14:textId="77777777" w:rsidR="00BE290C" w:rsidRDefault="00000000">
      <w:r>
        <w:rPr>
          <w:b/>
        </w:rPr>
        <w:t>Definition:</w:t>
      </w:r>
      <w:r>
        <w:t xml:space="preserve"> Assemble all components into the Business Plan Outline: 1 Executive Summary, 2 Internal Situation, 3 Enablement Environment, 4 Assessment, 5 Strategy, 6 Financial Plan, 7 Performance Management Framework, 8 Appendices.</w:t>
      </w:r>
    </w:p>
    <w:p w14:paraId="69B9FB25" w14:textId="77777777" w:rsidR="00BE290C" w:rsidRDefault="00000000">
      <w:r>
        <w:rPr>
          <w:b/>
        </w:rPr>
        <w:t>Executive summary hint:</w:t>
      </w:r>
      <w:r>
        <w:t xml:space="preserve"> current situation and performance, enablement environment, mission, vision and objectives, key initiatives, expected financial results and required investments.</w:t>
      </w:r>
    </w:p>
    <w:p w14:paraId="1EE4BB9F" w14:textId="77777777" w:rsidR="00BE290C" w:rsidRDefault="00000000">
      <w:r>
        <w:rPr>
          <w:b/>
        </w:rPr>
        <w:t>Tips:</w:t>
      </w:r>
      <w:r>
        <w:t xml:space="preserve"> Do write the executive summary last. Do explain the reasons behind trends, not only the numbers.</w:t>
      </w:r>
    </w:p>
    <w:p w14:paraId="47FE7BEF" w14:textId="77777777" w:rsidR="00BE290C" w:rsidRDefault="00000000">
      <w:pPr>
        <w:pStyle w:val="Heading3"/>
      </w:pPr>
      <w:r>
        <w:lastRenderedPageBreak/>
        <w:t xml:space="preserve">6.6 </w:t>
      </w:r>
      <w:r>
        <w:rPr>
          <w:rStyle w:val="CodeChar"/>
        </w:rPr>
        <w:t>tracking-process</w:t>
      </w:r>
      <w:r>
        <w:t xml:space="preserve"> — Tracking process, team and cadence</w:t>
      </w:r>
    </w:p>
    <w:p w14:paraId="08E54A02" w14:textId="77777777" w:rsidR="00BE290C" w:rsidRDefault="00000000">
      <w:r>
        <w:rPr>
          <w:b/>
        </w:rPr>
        <w:t>Definition:</w:t>
      </w:r>
      <w:r>
        <w:t xml:space="preserve"> Periodic meetings (recommended quarterly) where a tracking team of top managers reviews KPIs against targets using the dashboard and agrees on corrective actions.</w:t>
      </w:r>
    </w:p>
    <w:p w14:paraId="5F54DB75" w14:textId="77777777" w:rsidR="00BE290C" w:rsidRDefault="00000000">
      <w:r>
        <w:rPr>
          <w:b/>
        </w:rPr>
        <w:t>Agenda example (from the Master Guide):</w:t>
      </w:r>
      <w:r>
        <w:t xml:space="preserve"> 1. Previous quarter highlights and achievements. 2. KPI review against targets using the dashboard. 3. Optimization opportunities, with responsibilities. 4. Closing remarks and key takeaways.</w:t>
      </w:r>
    </w:p>
    <w:p w14:paraId="55740233" w14:textId="77777777" w:rsidR="00BE290C" w:rsidRDefault="00000000">
      <w:r>
        <w:rPr>
          <w:b/>
        </w:rPr>
        <w:t>Tips:</w:t>
      </w:r>
      <w:r>
        <w:t xml:space="preserve"> Do include finance, operations and strategy leaders. Do keep the corporate dashboard to 8–12 measures with high visual impact. Data supports, but does not replace, management judgment.</w:t>
      </w:r>
    </w:p>
    <w:p w14:paraId="5E85518A" w14:textId="77777777" w:rsidR="00BE290C" w:rsidRDefault="00000000">
      <w:pPr>
        <w:pStyle w:val="Heading3"/>
      </w:pPr>
      <w:r>
        <w:t xml:space="preserve">6.7 </w:t>
      </w:r>
      <w:r>
        <w:rPr>
          <w:rStyle w:val="CodeChar"/>
        </w:rPr>
        <w:t>dissemination</w:t>
      </w:r>
      <w:r>
        <w:t xml:space="preserve"> — Dissemination and communication</w:t>
      </w:r>
    </w:p>
    <w:p w14:paraId="3B96145E" w14:textId="77777777" w:rsidR="00BE290C" w:rsidRDefault="00000000">
      <w:r>
        <w:rPr>
          <w:b/>
        </w:rPr>
        <w:t>Definition:</w:t>
      </w:r>
      <w:r>
        <w:t xml:space="preserve"> Sharing the approved business plan inside the utility (staff, board) and outside (regulator, municipality, customers, financiers) through information sessions and workshops.</w:t>
      </w:r>
    </w:p>
    <w:p w14:paraId="07982FF2" w14:textId="77777777" w:rsidR="00BE290C" w:rsidRDefault="00000000">
      <w:r>
        <w:rPr>
          <w:b/>
        </w:rPr>
        <w:t>Example:</w:t>
      </w:r>
      <w:r>
        <w:t xml:space="preserve"> All-staff town hall; department workshops on initiatives; presentation to the regulator; summary on the utility website.</w:t>
      </w:r>
    </w:p>
    <w:p w14:paraId="74740990" w14:textId="77777777" w:rsidR="00BE290C" w:rsidRDefault="00000000">
      <w:r>
        <w:rPr>
          <w:b/>
        </w:rPr>
        <w:t>Tips:</w:t>
      </w:r>
      <w:r>
        <w:t xml:space="preserve"> Do tailor the message to each audience. Do complete the transfer of responsibilities from consultants to the internal team.</w:t>
      </w:r>
    </w:p>
    <w:p w14:paraId="229FD16D" w14:textId="77777777" w:rsidR="00BE290C" w:rsidRDefault="00000000">
      <w:pPr>
        <w:pStyle w:val="Heading2"/>
      </w:pPr>
      <w:r>
        <w:t>7. Prompt for Replit Agent and acceptance criteria</w:t>
      </w:r>
    </w:p>
    <w:p w14:paraId="6831FCAA" w14:textId="77777777" w:rsidR="00BE290C" w:rsidRDefault="00000000">
      <w:r>
        <w:t>Paste the prompt below into the existing Replit project, then attach or paste Sections 3–6 of this document so the Agent has the exact text to load.</w:t>
      </w:r>
    </w:p>
    <w:p w14:paraId="60B6FD31" w14:textId="77777777" w:rsidR="00BE290C" w:rsidRDefault="00000000">
      <w:pPr>
        <w:pStyle w:val="Code"/>
      </w:pPr>
      <w:bookmarkStart w:id="1" w:name="bongo_lang_markdown_2"/>
      <w:bookmarkEnd w:id="1"/>
      <w:r>
        <w:t>Change request: add a Guidance Content Library to the existing app. Do not change the database schema, progress calculation, permissions or the pptx export.</w:t>
      </w:r>
      <w:r>
        <w:br/>
      </w:r>
      <w:r>
        <w:br/>
        <w:t>1. Create shared/guidance.ts with the GuidanceTopic and GuidanceExample types and the ACTIVITY_GUIDANCE mapping exactly as specified in Section 3 of the attached document. Load all 21 topics with the text from Sections 4-6 verbatim (definition, whyItMatters, examples, tips, guidingQuestions, fieldHints). Example tables become { headers, rows }.</w:t>
      </w:r>
      <w:r>
        <w:br/>
        <w:t>2. Build a GuidancePanel component and render it on every activity page (/plans/:id/activities/:code):</w:t>
      </w:r>
      <w:r>
        <w:br/>
        <w:t xml:space="preserve">   - Desktop &gt;= 1280px: right column, 360px, sticky below the top bar, own scroll. Smaller screens: a "Guidance" button that opens a bottom sheet.</w:t>
      </w:r>
      <w:r>
        <w:br/>
        <w:t xml:space="preserve">   - Header: topic title, phase chip in the phase color, "From: {source}".</w:t>
      </w:r>
      <w:r>
        <w:br/>
        <w:t xml:space="preserve">   - Tabs: Definition, Why it matters, Examples, Tips. If an activity maps to several topics, show a topic switcher above the tabs.</w:t>
      </w:r>
      <w:r>
        <w:br/>
        <w:t xml:space="preserve">   - Examples render as cards on #E6F5FB with an "Example" label; examples with targetField show a "Use this example" button that fills that form field (confirm dialog if the field already has text).</w:t>
      </w:r>
      <w:r>
        <w:br/>
        <w:t xml:space="preserve">   - Footer: guiding questions as a non-persisted checklist + link "Open full guide" to /help/{topicId}.</w:t>
      </w:r>
      <w:r>
        <w:br/>
        <w:t xml:space="preserve">   - Collapse toggle; remember state in localStorage inside try/catch.</w:t>
      </w:r>
      <w:r>
        <w:br/>
        <w:t>3. Add "?" hint icons next to fields listed in fieldHints; clicking opens a popover with the hint.</w:t>
      </w:r>
      <w:r>
        <w:br/>
        <w:t>4. Add a /help page (top-bar help icon): search box, topics grouped by phase P1-P4, and /help/:topicId showing the full topic on one page.</w:t>
      </w:r>
      <w:r>
        <w:br/>
      </w:r>
      <w:r>
        <w:lastRenderedPageBreak/>
        <w:t>5. Use existing design tokens only (navy #002244, primary #009FDA, blue-50 #E6F5FB, border #E3E8EF, phase colors). Inter font, Lucide icons.</w:t>
      </w:r>
      <w:r>
        <w:br/>
        <w:t>6. Add a Vitest test that every activity code A1.1-A4.3 maps to at least one existing topic id and that every topic has a non-empty definition, whyItMatters, examples and tips.</w:t>
      </w:r>
      <w:r>
        <w:br/>
      </w:r>
      <w:r>
        <w:br/>
        <w:t>When done, show me activity A2.1 with the Mission topic open on the Examples tab.</w:t>
      </w:r>
    </w:p>
    <w:p w14:paraId="671C2F2B" w14:textId="77777777" w:rsidR="00BE290C" w:rsidRDefault="00000000">
      <w:r>
        <w:rPr>
          <w:b/>
        </w:rPr>
        <w:t>Acceptance criteria</w:t>
      </w:r>
    </w:p>
    <w:p w14:paraId="3F4A73D1" w14:textId="77777777" w:rsidR="00BE290C" w:rsidRDefault="00000000">
      <w:pPr>
        <w:pStyle w:val="ListParagraph"/>
        <w:numPr>
          <w:ilvl w:val="0"/>
          <w:numId w:val="20"/>
        </w:numPr>
      </w:pPr>
      <w:r>
        <w:t>☐ All 20 activity pages show the Guidance panel with the right topic(s).</w:t>
      </w:r>
    </w:p>
    <w:p w14:paraId="2649E1AF" w14:textId="77777777" w:rsidR="00BE290C" w:rsidRDefault="00000000">
      <w:pPr>
        <w:pStyle w:val="ListParagraph"/>
        <w:numPr>
          <w:ilvl w:val="0"/>
          <w:numId w:val="20"/>
        </w:numPr>
      </w:pPr>
      <w:r>
        <w:t>☐ 21 topics load; none has an empty tab.</w:t>
      </w:r>
    </w:p>
    <w:p w14:paraId="7B63B85C" w14:textId="77777777" w:rsidR="00BE290C" w:rsidRDefault="00000000">
      <w:pPr>
        <w:pStyle w:val="ListParagraph"/>
        <w:numPr>
          <w:ilvl w:val="0"/>
          <w:numId w:val="20"/>
        </w:numPr>
      </w:pPr>
      <w:r>
        <w:t>☐ "Use this example" fills the mission, vision and SMART objective fields and asks before overwriting.</w:t>
      </w:r>
    </w:p>
    <w:p w14:paraId="3BA48DB2" w14:textId="77777777" w:rsidR="00BE290C" w:rsidRDefault="00000000">
      <w:pPr>
        <w:pStyle w:val="ListParagraph"/>
        <w:numPr>
          <w:ilvl w:val="0"/>
          <w:numId w:val="20"/>
        </w:numPr>
      </w:pPr>
      <w:r>
        <w:t>☐ Field hints appear on the project charter, P&amp;L assumptions and KPI fields.</w:t>
      </w:r>
    </w:p>
    <w:p w14:paraId="32DCAB46" w14:textId="77777777" w:rsidR="00BE290C" w:rsidRDefault="00000000">
      <w:pPr>
        <w:pStyle w:val="ListParagraph"/>
        <w:numPr>
          <w:ilvl w:val="0"/>
          <w:numId w:val="20"/>
        </w:numPr>
      </w:pPr>
      <w:r>
        <w:t xml:space="preserve">☐ </w:t>
      </w:r>
      <w:r>
        <w:rPr>
          <w:rStyle w:val="CodeChar"/>
        </w:rPr>
        <w:t>/help</w:t>
      </w:r>
      <w:r>
        <w:t xml:space="preserve"> search finds "DSCR", "SWOT" and "mission".</w:t>
      </w:r>
    </w:p>
    <w:p w14:paraId="56A36C74" w14:textId="77777777" w:rsidR="00BE290C" w:rsidRDefault="00000000">
      <w:pPr>
        <w:pStyle w:val="ListParagraph"/>
        <w:numPr>
          <w:ilvl w:val="0"/>
          <w:numId w:val="20"/>
        </w:numPr>
      </w:pPr>
      <w:r>
        <w:t>☐ Panel works on a phone as a bottom sheet; no horizontal scroll.</w:t>
      </w:r>
    </w:p>
    <w:p w14:paraId="568477AE" w14:textId="77777777" w:rsidR="00BE290C" w:rsidRDefault="00000000">
      <w:pPr>
        <w:pStyle w:val="ListParagraph"/>
        <w:numPr>
          <w:ilvl w:val="0"/>
          <w:numId w:val="20"/>
        </w:numPr>
      </w:pPr>
      <w:r>
        <w:t>☐ NRW formula shown as (produced − billed) ÷ produced everywhere.</w:t>
      </w:r>
    </w:p>
    <w:p w14:paraId="32F02A60" w14:textId="77777777" w:rsidR="00BE290C" w:rsidRDefault="00000000">
      <w:pPr>
        <w:pStyle w:val="ListParagraph"/>
        <w:numPr>
          <w:ilvl w:val="0"/>
          <w:numId w:val="20"/>
        </w:numPr>
      </w:pPr>
      <w:r>
        <w:t>☐ Vitest mapping test passes.</w:t>
      </w:r>
    </w:p>
    <w:sectPr w:rsidR="00BE290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87208"/>
    <w:multiLevelType w:val="hybridMultilevel"/>
    <w:tmpl w:val="F7AC1650"/>
    <w:lvl w:ilvl="0" w:tplc="734228A8">
      <w:start w:val="1"/>
      <w:numFmt w:val="bullet"/>
      <w:lvlText w:val="•"/>
      <w:lvlJc w:val="left"/>
      <w:pPr>
        <w:ind w:left="720" w:hanging="360"/>
      </w:pPr>
    </w:lvl>
    <w:lvl w:ilvl="1" w:tplc="3E28F814">
      <w:start w:val="1"/>
      <w:numFmt w:val="bullet"/>
      <w:lvlText w:val="o"/>
      <w:lvlJc w:val="left"/>
      <w:pPr>
        <w:ind w:left="1440" w:hanging="360"/>
      </w:pPr>
    </w:lvl>
    <w:lvl w:ilvl="2" w:tplc="D9A048B2">
      <w:start w:val="1"/>
      <w:numFmt w:val="bullet"/>
      <w:lvlText w:val="▪"/>
      <w:lvlJc w:val="left"/>
      <w:pPr>
        <w:ind w:left="2160" w:hanging="360"/>
      </w:pPr>
    </w:lvl>
    <w:lvl w:ilvl="3" w:tplc="48401E5A">
      <w:start w:val="1"/>
      <w:numFmt w:val="bullet"/>
      <w:lvlText w:val="•"/>
      <w:lvlJc w:val="left"/>
      <w:pPr>
        <w:ind w:left="2880" w:hanging="360"/>
      </w:pPr>
    </w:lvl>
    <w:lvl w:ilvl="4" w:tplc="C762B08A">
      <w:start w:val="1"/>
      <w:numFmt w:val="bullet"/>
      <w:lvlText w:val="o"/>
      <w:lvlJc w:val="left"/>
      <w:pPr>
        <w:ind w:left="3600" w:hanging="360"/>
      </w:pPr>
    </w:lvl>
    <w:lvl w:ilvl="5" w:tplc="17848066">
      <w:start w:val="1"/>
      <w:numFmt w:val="bullet"/>
      <w:lvlText w:val="▪"/>
      <w:lvlJc w:val="left"/>
      <w:pPr>
        <w:ind w:left="4320" w:hanging="360"/>
      </w:pPr>
    </w:lvl>
    <w:lvl w:ilvl="6" w:tplc="6EDC5304">
      <w:start w:val="1"/>
      <w:numFmt w:val="bullet"/>
      <w:lvlText w:val="•"/>
      <w:lvlJc w:val="left"/>
      <w:pPr>
        <w:ind w:left="5040" w:hanging="360"/>
      </w:pPr>
    </w:lvl>
    <w:lvl w:ilvl="7" w:tplc="452AADCA">
      <w:start w:val="1"/>
      <w:numFmt w:val="bullet"/>
      <w:lvlText w:val="o"/>
      <w:lvlJc w:val="left"/>
      <w:pPr>
        <w:ind w:left="5760" w:hanging="360"/>
      </w:pPr>
    </w:lvl>
    <w:lvl w:ilvl="8" w:tplc="C9ECEF3E">
      <w:start w:val="1"/>
      <w:numFmt w:val="bullet"/>
      <w:lvlText w:val="▪"/>
      <w:lvlJc w:val="left"/>
      <w:pPr>
        <w:ind w:left="6480" w:hanging="360"/>
      </w:pPr>
    </w:lvl>
  </w:abstractNum>
  <w:abstractNum w:abstractNumId="1" w15:restartNumberingAfterBreak="0">
    <w:nsid w:val="7D493628"/>
    <w:multiLevelType w:val="hybridMultilevel"/>
    <w:tmpl w:val="9A96DFFA"/>
    <w:lvl w:ilvl="0" w:tplc="2E8053C4">
      <w:start w:val="1"/>
      <w:numFmt w:val="decimal"/>
      <w:lvlText w:val="%1."/>
      <w:lvlJc w:val="left"/>
      <w:pPr>
        <w:ind w:left="720" w:hanging="360"/>
      </w:pPr>
    </w:lvl>
    <w:lvl w:ilvl="1" w:tplc="091A8904">
      <w:start w:val="1"/>
      <w:numFmt w:val="lowerLetter"/>
      <w:lvlText w:val="%2."/>
      <w:lvlJc w:val="left"/>
      <w:pPr>
        <w:ind w:left="1440" w:hanging="360"/>
      </w:pPr>
    </w:lvl>
    <w:lvl w:ilvl="2" w:tplc="BE3EFB2C">
      <w:start w:val="1"/>
      <w:numFmt w:val="lowerRoman"/>
      <w:lvlText w:val="%3."/>
      <w:lvlJc w:val="left"/>
      <w:pPr>
        <w:ind w:left="2160" w:hanging="360"/>
      </w:pPr>
    </w:lvl>
    <w:lvl w:ilvl="3" w:tplc="59880A0E">
      <w:start w:val="1"/>
      <w:numFmt w:val="decimal"/>
      <w:lvlText w:val="%4."/>
      <w:lvlJc w:val="left"/>
      <w:pPr>
        <w:ind w:left="2880" w:hanging="360"/>
      </w:pPr>
    </w:lvl>
    <w:lvl w:ilvl="4" w:tplc="FA6E05C2">
      <w:start w:val="1"/>
      <w:numFmt w:val="lowerLetter"/>
      <w:lvlText w:val="%5."/>
      <w:lvlJc w:val="left"/>
      <w:pPr>
        <w:ind w:left="3600" w:hanging="360"/>
      </w:pPr>
    </w:lvl>
    <w:lvl w:ilvl="5" w:tplc="3D787248">
      <w:start w:val="1"/>
      <w:numFmt w:val="lowerRoman"/>
      <w:lvlText w:val="%6."/>
      <w:lvlJc w:val="left"/>
      <w:pPr>
        <w:ind w:left="4320" w:hanging="360"/>
      </w:pPr>
    </w:lvl>
    <w:lvl w:ilvl="6" w:tplc="BF64D924">
      <w:start w:val="1"/>
      <w:numFmt w:val="decimal"/>
      <w:lvlText w:val="%7."/>
      <w:lvlJc w:val="left"/>
      <w:pPr>
        <w:ind w:left="5040" w:hanging="360"/>
      </w:pPr>
    </w:lvl>
    <w:lvl w:ilvl="7" w:tplc="E698FE34">
      <w:start w:val="1"/>
      <w:numFmt w:val="lowerLetter"/>
      <w:lvlText w:val="%8."/>
      <w:lvlJc w:val="left"/>
      <w:pPr>
        <w:ind w:left="5760" w:hanging="360"/>
      </w:pPr>
    </w:lvl>
    <w:lvl w:ilvl="8" w:tplc="B97C3BB6">
      <w:start w:val="1"/>
      <w:numFmt w:val="lowerRoman"/>
      <w:lvlText w:val="%9."/>
      <w:lvlJc w:val="left"/>
      <w:pPr>
        <w:ind w:left="6480" w:hanging="360"/>
      </w:pPr>
    </w:lvl>
  </w:abstractNum>
  <w:num w:numId="1" w16cid:durableId="487481425">
    <w:abstractNumId w:val="0"/>
  </w:num>
  <w:num w:numId="2" w16cid:durableId="977606622">
    <w:abstractNumId w:val="1"/>
    <w:lvlOverride w:ilvl="0">
      <w:startOverride w:val="1"/>
    </w:lvlOverride>
  </w:num>
  <w:num w:numId="3" w16cid:durableId="754324820">
    <w:abstractNumId w:val="0"/>
  </w:num>
  <w:num w:numId="4" w16cid:durableId="1663393521">
    <w:abstractNumId w:val="0"/>
  </w:num>
  <w:num w:numId="5" w16cid:durableId="1862431958">
    <w:abstractNumId w:val="0"/>
  </w:num>
  <w:num w:numId="6" w16cid:durableId="179052440">
    <w:abstractNumId w:val="0"/>
  </w:num>
  <w:num w:numId="7" w16cid:durableId="1688210268">
    <w:abstractNumId w:val="0"/>
  </w:num>
  <w:num w:numId="8" w16cid:durableId="1549955728">
    <w:abstractNumId w:val="0"/>
  </w:num>
  <w:num w:numId="9" w16cid:durableId="428081304">
    <w:abstractNumId w:val="0"/>
  </w:num>
  <w:num w:numId="10" w16cid:durableId="1282109639">
    <w:abstractNumId w:val="0"/>
  </w:num>
  <w:num w:numId="11" w16cid:durableId="1019888333">
    <w:abstractNumId w:val="0"/>
  </w:num>
  <w:num w:numId="12" w16cid:durableId="839082731">
    <w:abstractNumId w:val="0"/>
  </w:num>
  <w:num w:numId="13" w16cid:durableId="1362710475">
    <w:abstractNumId w:val="0"/>
  </w:num>
  <w:num w:numId="14" w16cid:durableId="820149634">
    <w:abstractNumId w:val="0"/>
  </w:num>
  <w:num w:numId="15" w16cid:durableId="1747335682">
    <w:abstractNumId w:val="0"/>
  </w:num>
  <w:num w:numId="16" w16cid:durableId="558051021">
    <w:abstractNumId w:val="0"/>
  </w:num>
  <w:num w:numId="17" w16cid:durableId="1819225510">
    <w:abstractNumId w:val="0"/>
  </w:num>
  <w:num w:numId="18" w16cid:durableId="1207721051">
    <w:abstractNumId w:val="0"/>
  </w:num>
  <w:num w:numId="19" w16cid:durableId="1957054132">
    <w:abstractNumId w:val="0"/>
  </w:num>
  <w:num w:numId="20" w16cid:durableId="770397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E290C"/>
    <w:rsid w:val="007D66BE"/>
    <w:rsid w:val="00AA2470"/>
    <w:rsid w:val="00BE2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B860B"/>
  <w15:docId w15:val="{96EF4F39-2C5D-4AD0-9D1C-B59AB12E7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3966</Words>
  <Characters>22811</Characters>
  <Application>Microsoft Office Word</Application>
  <DocSecurity>0</DocSecurity>
  <Lines>1036</Lines>
  <Paragraphs>723</Paragraphs>
  <ScaleCrop>false</ScaleCrop>
  <Company>WBG</Company>
  <LinksUpToDate>false</LinksUpToDate>
  <CharactersWithSpaces>26054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 A — Replit Change Request Guidance Content Library</dc:title>
  <dc:description>Claude Docs node/8a2e0f7d-1827@10 docx-w6</dc:description>
  <cp:lastModifiedBy>Federico Perez Penalosa</cp:lastModifiedBy>
  <cp:revision>11</cp:revision>
  <dcterms:created xsi:type="dcterms:W3CDTF">2026-10-13T19:15:00Z</dcterms:created>
  <dcterms:modified xsi:type="dcterms:W3CDTF">2026-10-13T19:16:00Z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9608d83-f952-409d-b7c5-456515bbbf5a_Enabled">
    <vt:lpwstr>true</vt:lpwstr>
  </property>
  <property fmtid="{D5CDD505-2E9C-101B-9397-08002B2CF9AE}" pid="3" name="MSIP_Label_89608d83-f952-409d-b7c5-456515bbbf5a_SetDate">
    <vt:lpwstr>2026-10-13T19:15:58Z</vt:lpwstr>
  </property>
  <property fmtid="{D5CDD505-2E9C-101B-9397-08002B2CF9AE}" pid="4" name="MSIP_Label_89608d83-f952-409d-b7c5-456515bbbf5a_Method">
    <vt:lpwstr>Privileged</vt:lpwstr>
  </property>
  <property fmtid="{D5CDD505-2E9C-101B-9397-08002B2CF9AE}" pid="5" name="MSIP_Label_89608d83-f952-409d-b7c5-456515bbbf5a_Name">
    <vt:lpwstr>Public</vt:lpwstr>
  </property>
  <property fmtid="{D5CDD505-2E9C-101B-9397-08002B2CF9AE}" pid="6" name="MSIP_Label_89608d83-f952-409d-b7c5-456515bbbf5a_SiteId">
    <vt:lpwstr>31a2fec0-266b-4c67-b56e-2796d8f59c36</vt:lpwstr>
  </property>
  <property fmtid="{D5CDD505-2E9C-101B-9397-08002B2CF9AE}" pid="7" name="MSIP_Label_89608d83-f952-409d-b7c5-456515bbbf5a_ActionId">
    <vt:lpwstr>56b0151c-7498-49c7-94c8-584fd67f5e69</vt:lpwstr>
  </property>
  <property fmtid="{D5CDD505-2E9C-101B-9397-08002B2CF9AE}" pid="8" name="MSIP_Label_89608d83-f952-409d-b7c5-456515bbbf5a_ContentBits">
    <vt:lpwstr>0</vt:lpwstr>
  </property>
  <property fmtid="{D5CDD505-2E9C-101B-9397-08002B2CF9AE}" pid="9" name="MSIP_Label_89608d83-f952-409d-b7c5-456515bbbf5a_Tag">
    <vt:lpwstr>10, 0, 1, 1</vt:lpwstr>
  </property>
</Properties>
</file>