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Option A — Final Build Guide, Guided Mode and Demo Utility</w:t>
      </w:r>
    </w:p>
    <w:p>
      <w:pPr/>
      <w:r>
        <w:t xml:space="preserve">Oct 13, 2026</w:t>
      </w:r>
      <w:r>
        <w:t xml:space="preserve"> · </w:t>
      </w:r>
      <w:r>
        <w:t xml:space="preserve">@FedEx</w:t>
      </w:r>
    </w:p>
    <w:p>
      <w:pPr>
        <w:pStyle w:val="Heading2"/>
      </w:pPr>
      <w:r>
        <w:t xml:space="preserve">1. What this delivers and the order of the steps</w:t>
      </w:r>
    </w:p>
    <w:p>
      <w:pPr/>
      <w:r>
        <w:t xml:space="preserve">Eight prompts, pasted one at a time in order, take the Option A app from what exists today to a complete, working platform. A guided mode lets the team advance one activity at a time with an example on every screen, and a fully completed demo utility (the same fictional Valle Verde used in Option B) makes the two options comparable with identical numbers.</w:t>
      </w:r>
    </w:p>
    <w:p>
      <w:pPr/>
      <w:r>
        <w:t xml:space="preserve">The field-by-field form specifications are in </w:t>
      </w:r>
      <w:r>
        <w:t xml:space="preserve">Option A — Replit Change Request: Business Plan Workflow (Activities A1.1–A4.3)</w:t>
      </w:r>
      <w:r>
        <w:t xml:space="preserve">; the guidance texts are in </w:t>
      </w:r>
      <w:r>
        <w:t xml:space="preserve">Option A — Replit Change Request: Guidance Content Library</w:t>
      </w:r>
      <w:r>
        <w:t xml:space="preserve">. Attach both documents to Replit (export to Markdown) when you paste the prompts that cite them.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What it adds</w:t>
            </w:r>
          </w:p>
        </w:tc>
        <w:tc>
          <w:tcPr>
            <w:tcW w:w="2340" w:type="dxa"/>
            <w:shd w:val="clear" w:color="auto" w:fill="F2F2F2"/>
          </w:tcPr>
          <w:p>
            <w:pPr/>
            <w:r>
              <w:t xml:space="preserve">Depends on</w:t>
            </w:r>
          </w:p>
        </w:tc>
        <w:tc>
          <w:tcPr>
            <w:tcW w:w="2340" w:type="dxa"/>
            <w:shd w:val="clear" w:color="auto" w:fill="F2F2F2"/>
          </w:tcPr>
          <w:p>
            <w:pPr/>
            <w:r>
              <w:t xml:space="preserve">Test before moving on</w:t>
            </w:r>
          </w:p>
        </w:tc>
      </w:tr>
      <w:tr>
        <w:tc>
          <w:tcPr>
            <w:tcW w:w="2340" w:type="dxa"/>
          </w:tcPr>
          <w:p>
            <w:pPr/>
            <w:r>
              <w:t xml:space="preserve">0</w:t>
            </w:r>
          </w:p>
        </w:tc>
        <w:tc>
          <w:tcPr>
            <w:tcW w:w="2340" w:type="dxa"/>
          </w:tcPr>
          <w:p>
            <w:pPr/>
            <w:r>
              <w:t xml:space="preserve">Health check: create utility, open access, navigation fixes</w:t>
            </w:r>
          </w:p>
        </w:tc>
        <w:tc>
          <w:tcPr>
            <w:tcW w:w="2340" w:type="dxa"/>
          </w:tcPr>
          <w:p>
            <w:pPr/>
            <w:r>
              <w:t xml:space="preserve">—</w:t>
            </w:r>
          </w:p>
        </w:tc>
        <w:tc>
          <w:tcPr>
            <w:tcW w:w="2340" w:type="dxa"/>
          </w:tcPr>
          <w:p>
            <w:pPr/>
            <w:r>
              <w:t xml:space="preserve">A new utility appears in the registry and opens its workspace</w:t>
            </w:r>
          </w:p>
        </w:tc>
      </w:tr>
      <w:tr>
        <w:tc>
          <w:tcPr>
            <w:tcW w:w="2340" w:type="dxa"/>
          </w:tcPr>
          <w:p>
            <w:pPr/>
            <w:r>
              <w:t xml:space="preserve">1</w:t>
            </w:r>
          </w:p>
        </w:tc>
        <w:tc>
          <w:tcPr>
            <w:tcW w:w="2340" w:type="dxa"/>
          </w:tcPr>
          <w:p>
            <w:pPr/>
            <w:r>
              <w:t xml:space="preserve">Plan workspace, activity page, form engine, status flow, Phase 1 forms (A1.1–A1.7)</w:t>
            </w:r>
          </w:p>
        </w:tc>
        <w:tc>
          <w:tcPr>
            <w:tcW w:w="2340" w:type="dxa"/>
          </w:tcPr>
          <w:p>
            <w:pPr/>
            <w:r>
              <w:t xml:space="preserve">0</w:t>
            </w:r>
          </w:p>
        </w:tc>
        <w:tc>
          <w:tcPr>
            <w:tcW w:w="2340" w:type="dxa"/>
          </w:tcPr>
          <w:p>
            <w:pPr/>
            <w:r>
              <w:t xml:space="preserve">A1.1 can be saved, submitted and approved; progress moves</w:t>
            </w:r>
          </w:p>
        </w:tc>
      </w:tr>
      <w:tr>
        <w:tc>
          <w:tcPr>
            <w:tcW w:w="2340" w:type="dxa"/>
          </w:tcPr>
          <w:p>
            <w:pPr/>
            <w:r>
              <w:t xml:space="preserve">2</w:t>
            </w:r>
          </w:p>
        </w:tc>
        <w:tc>
          <w:tcPr>
            <w:tcW w:w="2340" w:type="dxa"/>
          </w:tcPr>
          <w:p>
            <w:pPr/>
            <w:r>
              <w:t xml:space="preserve">Phase 2 forms (A2.1–A2.6)</w:t>
            </w:r>
          </w:p>
        </w:tc>
        <w:tc>
          <w:tcPr>
            <w:tcW w:w="2340" w:type="dxa"/>
          </w:tcPr>
          <w:p>
            <w:pPr/>
            <w:r>
              <w:t xml:space="preserve">1</w:t>
            </w:r>
          </w:p>
        </w:tc>
        <w:tc>
          <w:tcPr>
            <w:tcW w:w="2340" w:type="dxa"/>
          </w:tcPr>
          <w:p>
            <w:pPr/>
            <w:r>
              <w:t xml:space="preserve">Objectives, KPIs and initiatives are created and reused</w:t>
            </w:r>
          </w:p>
        </w:tc>
      </w:tr>
      <w:tr>
        <w:tc>
          <w:tcPr>
            <w:tcW w:w="2340" w:type="dxa"/>
          </w:tcPr>
          <w:p>
            <w:pPr/>
            <w:r>
              <w:t xml:space="preserve">3</w:t>
            </w:r>
          </w:p>
        </w:tc>
        <w:tc>
          <w:tcPr>
            <w:tcW w:w="2340" w:type="dxa"/>
          </w:tcPr>
          <w:p>
            <w:pPr/>
            <w:r>
              <w:t xml:space="preserve">Phase 3: charters, financial model, sensitivity, integrated plan (A3.1–A3.4)</w:t>
            </w:r>
          </w:p>
        </w:tc>
        <w:tc>
          <w:tcPr>
            <w:tcW w:w="2340" w:type="dxa"/>
          </w:tcPr>
          <w:p>
            <w:pPr/>
            <w:r>
              <w:t xml:space="preserve">2</w:t>
            </w:r>
          </w:p>
        </w:tc>
        <w:tc>
          <w:tcPr>
            <w:tcW w:w="2340" w:type="dxa"/>
          </w:tcPr>
          <w:p>
            <w:pPr/>
            <w:r>
              <w:t xml:space="preserve">Forecast tab matches reference values</w:t>
            </w:r>
          </w:p>
        </w:tc>
      </w:tr>
      <w:tr>
        <w:tc>
          <w:tcPr>
            <w:tcW w:w="2340" w:type="dxa"/>
          </w:tcPr>
          <w:p>
            <w:pPr/>
            <w:r>
              <w:t xml:space="preserve">4</w:t>
            </w:r>
          </w:p>
        </w:tc>
        <w:tc>
          <w:tcPr>
            <w:tcW w:w="2340" w:type="dxa"/>
          </w:tcPr>
          <w:p>
            <w:pPr/>
            <w:r>
              <w:t xml:space="preserve">Phase 4 (A4.1–A4.3), plan completion, real deck and Word document</w:t>
            </w:r>
          </w:p>
        </w:tc>
        <w:tc>
          <w:tcPr>
            <w:tcW w:w="2340" w:type="dxa"/>
          </w:tcPr>
          <w:p>
            <w:pPr/>
            <w:r>
              <w:t xml:space="preserve">3</w:t>
            </w:r>
          </w:p>
        </w:tc>
        <w:tc>
          <w:tcPr>
            <w:tcW w:w="2340" w:type="dxa"/>
          </w:tcPr>
          <w:p>
            <w:pPr/>
            <w:r>
              <w:t xml:space="preserve">Deck has 20 slides or fewer with real data</w:t>
            </w:r>
          </w:p>
        </w:tc>
      </w:tr>
      <w:tr>
        <w:tc>
          <w:tcPr>
            <w:tcW w:w="2340" w:type="dxa"/>
          </w:tcPr>
          <w:p>
            <w:pPr/>
            <w:r>
              <w:t xml:space="preserve">5</w:t>
            </w:r>
          </w:p>
        </w:tc>
        <w:tc>
          <w:tcPr>
            <w:tcW w:w="2340" w:type="dxa"/>
          </w:tcPr>
          <w:p>
            <w:pPr/>
            <w:r>
              <w:t xml:space="preserve">Guidance panel and Help Center (21 topics)</w:t>
            </w:r>
          </w:p>
        </w:tc>
        <w:tc>
          <w:tcPr>
            <w:tcW w:w="2340" w:type="dxa"/>
          </w:tcPr>
          <w:p>
            <w:pPr/>
            <w:r>
              <w:t xml:space="preserve">1</w:t>
            </w:r>
          </w:p>
        </w:tc>
        <w:tc>
          <w:tcPr>
            <w:tcW w:w="2340" w:type="dxa"/>
          </w:tcPr>
          <w:p>
            <w:pPr/>
            <w:r>
              <w:t xml:space="preserve">Each activity shows definition, examples and tips</w:t>
            </w:r>
          </w:p>
        </w:tc>
      </w:tr>
      <w:tr>
        <w:tc>
          <w:tcPr>
            <w:tcW w:w="2340" w:type="dxa"/>
          </w:tcPr>
          <w:p>
            <w:pPr/>
            <w:r>
              <w:t xml:space="preserve">6</w:t>
            </w:r>
          </w:p>
        </w:tc>
        <w:tc>
          <w:tcPr>
            <w:tcW w:w="2340" w:type="dxa"/>
          </w:tcPr>
          <w:p>
            <w:pPr/>
            <w:r>
              <w:t xml:space="preserve">Guided mode: step-by-step navigation, "Fill with example", checklists</w:t>
            </w:r>
          </w:p>
        </w:tc>
        <w:tc>
          <w:tcPr>
            <w:tcW w:w="2340" w:type="dxa"/>
          </w:tcPr>
          <w:p>
            <w:pPr/>
            <w:r>
              <w:t xml:space="preserve">1–5</w:t>
            </w:r>
          </w:p>
        </w:tc>
        <w:tc>
          <w:tcPr>
            <w:tcW w:w="2340" w:type="dxa"/>
          </w:tcPr>
          <w:p>
            <w:pPr/>
            <w:r>
              <w:t xml:space="preserve">A user can go from A1.1 to A4.3 using only "Next step"</w:t>
            </w:r>
          </w:p>
        </w:tc>
      </w:tr>
      <w:tr>
        <w:tc>
          <w:tcPr>
            <w:tcW w:w="2340" w:type="dxa"/>
          </w:tcPr>
          <w:p>
            <w:pPr/>
            <w:r>
              <w:t xml:space="preserve">7</w:t>
            </w:r>
          </w:p>
        </w:tc>
        <w:tc>
          <w:tcPr>
            <w:tcW w:w="2340" w:type="dxa"/>
          </w:tcPr>
          <w:p>
            <w:pPr/>
            <w:r>
              <w:t xml:space="preserve">Demo utility import (complete and midway states)</w:t>
            </w:r>
          </w:p>
        </w:tc>
        <w:tc>
          <w:tcPr>
            <w:tcW w:w="2340" w:type="dxa"/>
          </w:tcPr>
          <w:p>
            <w:pPr/>
            <w:r>
              <w:t xml:space="preserve">1–4</w:t>
            </w:r>
          </w:p>
        </w:tc>
        <w:tc>
          <w:tcPr>
            <w:tcW w:w="2340" w:type="dxa"/>
          </w:tcPr>
          <w:p>
            <w:pPr/>
            <w:r>
              <w:t xml:space="preserve">Reference values in Section 5 match within 1%</w:t>
            </w:r>
          </w:p>
        </w:tc>
      </w:tr>
    </w:tbl>
    <w:p>
      <w:pPr/>
      <w:r>
        <w:t xml:space="preserve">If Replit already built part of a step, the Agent should keep what works and fill the gaps; every prompt says so.</w:t>
      </w:r>
    </w:p>
    <w:p>
      <w:pPr>
        <w:pStyle w:val="Heading2"/>
      </w:pPr>
      <w:r>
        <w:t xml:space="preserve">2. Guided mode: one activity at a time</w:t>
      </w:r>
    </w:p>
    <w:p>
      <w:pPr/>
      <w:r>
        <w:t xml:space="preserve">Guided mode turns the 20 activities into a path. A user always sees the next activity to do, what it needs, and a worked example from the demo utility. Activities unlock in playbook order, and an Admin can switch a plan to free order.</w:t>
      </w:r>
    </w:p>
    <w:p>
      <w:pPr/>
      <w:r>
        <w:rPr>
          <w:b/>
        </w:rPr>
        <w:t xml:space="preserve">Path rules</w:t>
      </w:r>
    </w:p>
    <w:p>
      <w:pPr>
        <w:pStyle w:val="ListParagraph"/>
        <w:numPr>
          <w:ilvl w:val="0"/>
          <w:numId w:val="2"/>
        </w:numPr>
      </w:pPr>
      <w:r>
        <w:t xml:space="preserve">Sequential unlocking (default): an activity opens for editing when the previous one is Submitted or Approved. Later activities are visible in read-only "preview" with their example. The Admin can set a plan to </w:t>
      </w:r>
      <w:r>
        <w:rPr>
          <w:b/>
        </w:rPr>
        <w:t xml:space="preserve">Free order</w:t>
      </w:r>
      <w:r>
        <w:t xml:space="preserve"> (Plan settings) for experienced teams.</w:t>
      </w:r>
    </w:p>
    <w:p>
      <w:pPr>
        <w:pStyle w:val="ListParagraph"/>
        <w:numPr>
          <w:ilvl w:val="0"/>
          <w:numId w:val="2"/>
        </w:numPr>
      </w:pPr>
      <w:r>
        <w:t xml:space="preserve">Phase gates: Phase 2 opens when every Phase 1 activity is at least Submitted; the same rule holds for Phases 3 and 4. The phase stepper shows a lock icon and the reason.</w:t>
      </w:r>
    </w:p>
    <w:p>
      <w:pPr>
        <w:pStyle w:val="ListParagraph"/>
        <w:numPr>
          <w:ilvl w:val="0"/>
          <w:numId w:val="2"/>
        </w:numPr>
      </w:pPr>
      <w:r>
        <w:t xml:space="preserve">Data dependencies are enforced: A2.1 needs the SWOT (A1.7), A2.2 needs objectives, A3.1 needs initiatives (A2.6), A3.2 can copy charter budgets, and A3.4 reads everything.</w:t>
      </w:r>
    </w:p>
    <w:p>
      <w:pPr/>
      <w:r>
        <w:rPr>
          <w:b/>
        </w:rPr>
        <w:t xml:space="preserve">On every activity page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What it does</w:t>
            </w:r>
          </w:p>
        </w:tc>
      </w:tr>
      <w:tr>
        <w:tc>
          <w:tcPr>
            <w:tcW w:w="4680" w:type="dxa"/>
          </w:tcPr>
          <w:p>
            <w:pPr/>
            <w:r>
              <w:t xml:space="preserve">Step header</w:t>
            </w:r>
          </w:p>
        </w:tc>
        <w:tc>
          <w:tcPr>
            <w:tcW w:w="4680" w:type="dxa"/>
          </w:tcPr>
          <w:p>
            <w:pPr/>
            <w:r>
              <w:t xml:space="preserve">"Step 5 of 20 · Phase 1 Baseline · about 10 working days" + a thin progress bar of the 20 steps</w:t>
            </w:r>
          </w:p>
        </w:tc>
      </w:tr>
      <w:tr>
        <w:tc>
          <w:tcPr>
            <w:tcW w:w="4680" w:type="dxa"/>
          </w:tcPr>
          <w:p>
            <w:pPr/>
            <w:r>
              <w:t xml:space="preserve">What you need</w:t>
            </w:r>
          </w:p>
        </w:tc>
        <w:tc>
          <w:tcPr>
            <w:tcW w:w="4680" w:type="dxa"/>
          </w:tcPr>
          <w:p>
            <w:pPr/>
            <w:r>
              <w:t xml:space="preserve">2–4 bullets: inputs from earlier activities, documents to have at hand (e.g. UoF report, last 3 years of financial statements)</w:t>
            </w:r>
          </w:p>
        </w:tc>
      </w:tr>
      <w:tr>
        <w:tc>
          <w:tcPr>
            <w:tcW w:w="4680" w:type="dxa"/>
          </w:tcPr>
          <w:p>
            <w:pPr/>
            <w:r>
              <w:t xml:space="preserve">Checklist</w:t>
            </w:r>
          </w:p>
        </w:tc>
        <w:tc>
          <w:tcPr>
            <w:tcW w:w="4680" w:type="dxa"/>
          </w:tcPr>
          <w:p>
            <w:pPr/>
            <w:r>
              <w:t xml:space="preserve">The required fields as ticks that complete automatically as fields are filled</w:t>
            </w:r>
          </w:p>
        </w:tc>
      </w:tr>
      <w:tr>
        <w:tc>
          <w:tcPr>
            <w:tcW w:w="4680" w:type="dxa"/>
          </w:tcPr>
          <w:p>
            <w:pPr/>
            <w:r>
              <w:t xml:space="preserve">Example tab</w:t>
            </w:r>
          </w:p>
        </w:tc>
        <w:tc>
          <w:tcPr>
            <w:tcW w:w="4680" w:type="dxa"/>
          </w:tcPr>
          <w:p>
            <w:pPr/>
            <w:r>
              <w:t xml:space="preserve">The same form filled with the Valle Verde demo data, read-only, side by side or as a tab</w:t>
            </w:r>
          </w:p>
        </w:tc>
      </w:tr>
      <w:tr>
        <w:tc>
          <w:tcPr>
            <w:tcW w:w="4680" w:type="dxa"/>
          </w:tcPr>
          <w:p>
            <w:pPr/>
            <w:r>
              <w:t xml:space="preserve">Fill with example</w:t>
            </w:r>
          </w:p>
        </w:tc>
        <w:tc>
          <w:tcPr>
            <w:tcW w:w="4680" w:type="dxa"/>
          </w:tcPr>
          <w:p>
            <w:pPr/>
            <w:r>
              <w:t xml:space="preserve">Copies the example into the form as an editable draft (confirm if fields have data), so testers can move fast</w:t>
            </w:r>
          </w:p>
        </w:tc>
      </w:tr>
      <w:tr>
        <w:tc>
          <w:tcPr>
            <w:tcW w:w="4680" w:type="dxa"/>
          </w:tcPr>
          <w:p>
            <w:pPr/>
            <w:r>
              <w:t xml:space="preserve">Guidance panel</w:t>
            </w:r>
          </w:p>
        </w:tc>
        <w:tc>
          <w:tcPr>
            <w:tcW w:w="4680" w:type="dxa"/>
          </w:tcPr>
          <w:p>
            <w:pPr/>
            <w:r>
              <w:t xml:space="preserve">Definition, why it matters, examples and tips (Step 5)</w:t>
            </w:r>
          </w:p>
        </w:tc>
      </w:tr>
      <w:tr>
        <w:tc>
          <w:tcPr>
            <w:tcW w:w="4680" w:type="dxa"/>
          </w:tcPr>
          <w:p>
            <w:pPr/>
            <w:r>
              <w:t xml:space="preserve">Next step</w:t>
            </w:r>
          </w:p>
        </w:tc>
        <w:tc>
          <w:tcPr>
            <w:tcW w:w="4680" w:type="dxa"/>
          </w:tcPr>
          <w:p>
            <w:pPr/>
            <w:r>
              <w:t xml:space="preserve">After Submit, a dialog: "Submitted. Next: A1.6 Finalize enablement environment" with </w:t>
            </w:r>
            <w:r>
              <w:rPr>
                <w:b/>
              </w:rPr>
              <w:t xml:space="preserve">Go to next step</w:t>
            </w:r>
          </w:p>
        </w:tc>
      </w:tr>
    </w:tbl>
    <w:p>
      <w:pPr/>
      <w:r>
        <w:rPr>
          <w:b/>
        </w:rPr>
        <w:t xml:space="preserve">Workspace additions:</w:t>
      </w:r>
      <w:r>
        <w:t xml:space="preserve"> a "Continue: A1.5 Demographic analysis" card at the top, and a "Your path" timeline of the 20 steps with status colors, planned days and due dates.</w:t>
      </w:r>
    </w:p>
    <w:p>
      <w:pPr>
        <w:pStyle w:val="Heading2"/>
      </w:pPr>
      <w:r>
        <w:t xml:space="preserve">3. The demo utility for Option A</w:t>
      </w:r>
    </w:p>
    <w:p>
      <w:pPr/>
      <w:r>
        <w:t xml:space="preserve">The file </w:t>
      </w:r>
      <w:r>
        <w:rPr>
          <w:rStyle w:val="CodeChar"/>
        </w:rPr>
        <w:t xml:space="preserve">demo_utility_valle_verde_optionA.json</w:t>
      </w:r>
      <w:r>
        <w:t xml:space="preserve"> (about 107 KB) contains the same fictional Valle Verde utility as Option B, organized by the 20 playbook activities. Option A has one plan instead of scenarios, so its plan equals Option B's Improvement scenario; every figure matches between the two options.</w:t>
      </w:r>
    </w:p>
    <w:p>
      <w:pPr/>
      <w:r>
        <w:t xml:space="preserve">The file loads in two states. </w:t>
      </w:r>
      <w:r>
        <w:rPr>
          <w:b/>
        </w:rPr>
        <w:t xml:space="preserve">Complete</w:t>
      </w:r>
      <w:r>
        <w:t xml:space="preserve"> has all 20 activities approved and the plan Completed, for testing outputs. </w:t>
      </w:r>
      <w:r>
        <w:rPr>
          <w:b/>
        </w:rPr>
        <w:t xml:space="preserve">Midway</w:t>
      </w:r>
      <w:r>
        <w:t xml:space="preserve"> has Phase 1 approved, A2.1–A2.3 submitted, A2.4 in progress and the rest not started, for testing the guided path. In both states, every activity's data is also available as the example behind "Fill with example".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Activity</w:t>
            </w:r>
          </w:p>
        </w:tc>
        <w:tc>
          <w:tcPr>
            <w:tcW w:w="4680" w:type="dxa"/>
            <w:shd w:val="clear" w:color="auto" w:fill="F2F2F2"/>
          </w:tcPr>
          <w:p>
            <w:pPr/>
            <w:r>
              <w:t xml:space="preserve">Example content in the file</w:t>
            </w:r>
          </w:p>
        </w:tc>
      </w:tr>
      <w:tr>
        <w:tc>
          <w:tcPr>
            <w:tcW w:w="4680" w:type="dxa"/>
          </w:tcPr>
          <w:p>
            <w:pPr/>
            <w:r>
              <w:t xml:space="preserve">Preparation</w:t>
            </w:r>
          </w:p>
        </w:tc>
        <w:tc>
          <w:tcPr>
            <w:tcW w:w="4680" w:type="dxa"/>
          </w:tcPr>
          <w:p>
            <w:pPr/>
            <w:r>
              <w:t xml:space="preserve">Implementation strategy, linked WB project (fictional), local consultant, UoF completion 28 Nov 2025</w:t>
            </w:r>
          </w:p>
        </w:tc>
      </w:tr>
      <w:tr>
        <w:tc>
          <w:tcPr>
            <w:tcW w:w="4680" w:type="dxa"/>
          </w:tcPr>
          <w:p>
            <w:pPr/>
            <w:r>
              <w:t xml:space="preserve">A1.1</w:t>
            </w:r>
          </w:p>
        </w:tc>
        <w:tc>
          <w:tcPr>
            <w:tcW w:w="4680" w:type="dxa"/>
          </w:tcPr>
          <w:p>
            <w:pPr/>
            <w:r>
              <w:t xml:space="preserve">Focal point (Head of Strategic Planning) + 5 members, one per UoF element; kick-off 12 Jan 2026</w:t>
            </w:r>
          </w:p>
        </w:tc>
      </w:tr>
      <w:tr>
        <w:tc>
          <w:tcPr>
            <w:tcW w:w="4680" w:type="dxa"/>
          </w:tcPr>
          <w:p>
            <w:pPr/>
            <w:r>
              <w:t xml:space="preserve">A1.2</w:t>
            </w:r>
          </w:p>
        </w:tc>
        <w:tc>
          <w:tcPr>
            <w:tcW w:w="4680" w:type="dxa"/>
          </w:tcPr>
          <w:p>
            <w:pPr/>
            <w:r>
              <w:t xml:space="preserve">17 indicators for 2023–2025 in 5 groups + narrative per UoF element</w:t>
            </w:r>
          </w:p>
        </w:tc>
      </w:tr>
      <w:tr>
        <w:tc>
          <w:tcPr>
            <w:tcW w:w="4680" w:type="dxa"/>
          </w:tcPr>
          <w:p>
            <w:pPr/>
            <w:r>
              <w:t xml:space="preserve">A1.3</w:t>
            </w:r>
          </w:p>
        </w:tc>
        <w:tc>
          <w:tcPr>
            <w:tcW w:w="4680" w:type="dxa"/>
          </w:tcPr>
          <w:p>
            <w:pPr/>
            <w:r>
              <w:t xml:space="preserve">Maturity scores (Commercial 42, Technical 48, Financial 55, Human Talent 39, Org &amp; Strategy 51), 3 strengths, 4 weaknesses</w:t>
            </w:r>
          </w:p>
        </w:tc>
      </w:tr>
      <w:tr>
        <w:tc>
          <w:tcPr>
            <w:tcW w:w="4680" w:type="dxa"/>
          </w:tcPr>
          <w:p>
            <w:pPr/>
            <w:r>
              <w:t xml:space="preserve">A1.4</w:t>
            </w:r>
          </w:p>
        </w:tc>
        <w:tc>
          <w:tcPr>
            <w:tcW w:w="4680" w:type="dxa"/>
          </w:tcPr>
          <w:p>
            <w:pPr/>
            <w:r>
              <w:t xml:space="preserve">100-day impact, door-to-door case study (1,200 illegal connections regularized), lessons, long-term priorities</w:t>
            </w:r>
          </w:p>
        </w:tc>
      </w:tr>
      <w:tr>
        <w:tc>
          <w:tcPr>
            <w:tcW w:w="4680" w:type="dxa"/>
          </w:tcPr>
          <w:p>
            <w:pPr/>
            <w:r>
              <w:t xml:space="preserve">A1.5</w:t>
            </w:r>
          </w:p>
        </w:tc>
        <w:tc>
          <w:tcPr>
            <w:tcW w:w="4680" w:type="dxa"/>
          </w:tcPr>
          <w:p>
            <w:pPr/>
            <w:r>
              <w:t xml:space="preserve">Population 2015–2030, households, occupants, piped water %, migration, age bands, implications</w:t>
            </w:r>
          </w:p>
        </w:tc>
      </w:tr>
      <w:tr>
        <w:tc>
          <w:tcPr>
            <w:tcW w:w="4680" w:type="dxa"/>
          </w:tcPr>
          <w:p>
            <w:pPr/>
            <w:r>
              <w:t xml:space="preserve">A1.6</w:t>
            </w:r>
          </w:p>
        </w:tc>
        <w:tc>
          <w:tcPr>
            <w:tcW w:w="4680" w:type="dxa"/>
          </w:tcPr>
          <w:p>
            <w:pPr/>
            <w:r>
              <w:t xml:space="preserve">5 pillars rated 2–3 with assessment, opportunities and threats</w:t>
            </w:r>
          </w:p>
        </w:tc>
      </w:tr>
      <w:tr>
        <w:tc>
          <w:tcPr>
            <w:tcW w:w="4680" w:type="dxa"/>
          </w:tcPr>
          <w:p>
            <w:pPr/>
            <w:r>
              <w:t xml:space="preserve">A1.7</w:t>
            </w:r>
          </w:p>
        </w:tc>
        <w:tc>
          <w:tcPr>
            <w:tcW w:w="4680" w:type="dxa"/>
          </w:tcPr>
          <w:p>
            <w:pPr/>
            <w:r>
              <w:t xml:space="preserve">SWOT with 3–4 prioritized items per quadrant + workshop notes</w:t>
            </w:r>
          </w:p>
        </w:tc>
      </w:tr>
      <w:tr>
        <w:tc>
          <w:tcPr>
            <w:tcW w:w="4680" w:type="dxa"/>
          </w:tcPr>
          <w:p>
            <w:pPr/>
            <w:r>
              <w:t xml:space="preserve">A2.1</w:t>
            </w:r>
          </w:p>
        </w:tc>
        <w:tc>
          <w:tcPr>
            <w:tcW w:w="4680" w:type="dxa"/>
          </w:tcPr>
          <w:p>
            <w:pPr/>
            <w:r>
              <w:t xml:space="preserve">Mission, vision, 5 objectives with all SMART fields</w:t>
            </w:r>
          </w:p>
        </w:tc>
      </w:tr>
      <w:tr>
        <w:tc>
          <w:tcPr>
            <w:tcW w:w="4680" w:type="dxa"/>
          </w:tcPr>
          <w:p>
            <w:pPr/>
            <w:r>
              <w:t xml:space="preserve">A2.2</w:t>
            </w:r>
          </w:p>
        </w:tc>
        <w:tc>
          <w:tcPr>
            <w:tcW w:w="4680" w:type="dxa"/>
          </w:tcPr>
          <w:p>
            <w:pPr/>
            <w:r>
              <w:t xml:space="preserve">7 KPIs (5 core + coverage + cost per m³) with baseline 2025 and quarterly targets 2026–2030</w:t>
            </w:r>
          </w:p>
        </w:tc>
      </w:tr>
      <w:tr>
        <w:tc>
          <w:tcPr>
            <w:tcW w:w="4680" w:type="dxa"/>
          </w:tcPr>
          <w:p>
            <w:pPr/>
            <w:r>
              <w:t xml:space="preserve">A2.3–A2.5</w:t>
            </w:r>
          </w:p>
        </w:tc>
        <w:tc>
          <w:tcPr>
            <w:tcW w:w="4680" w:type="dxa"/>
          </w:tcPr>
          <w:p>
            <w:pPr/>
            <w:r>
              <w:t xml:space="preserve">Decisions on 4 long-term priorities, sign-off on 20 May 2026, owners and backups</w:t>
            </w:r>
          </w:p>
        </w:tc>
      </w:tr>
      <w:tr>
        <w:tc>
          <w:tcPr>
            <w:tcW w:w="4680" w:type="dxa"/>
          </w:tcPr>
          <w:p>
            <w:pPr/>
            <w:r>
              <w:t xml:space="preserve">A2.6</w:t>
            </w:r>
          </w:p>
        </w:tc>
        <w:tc>
          <w:tcPr>
            <w:tcW w:w="4680" w:type="dxa"/>
          </w:tcPr>
          <w:p>
            <w:pPr/>
            <w:r>
              <w:t xml:space="preserve">7 initiatives linked to objectives</w:t>
            </w:r>
          </w:p>
        </w:tc>
      </w:tr>
      <w:tr>
        <w:tc>
          <w:tcPr>
            <w:tcW w:w="4680" w:type="dxa"/>
          </w:tcPr>
          <w:p>
            <w:pPr/>
            <w:r>
              <w:t xml:space="preserve">A3.1</w:t>
            </w:r>
          </w:p>
        </w:tc>
        <w:tc>
          <w:tcPr>
            <w:tcW w:w="4680" w:type="dxa"/>
          </w:tcPr>
          <w:p>
            <w:pPr/>
            <w:r>
              <w:t xml:space="preserve">7 complete project charters, budgets totalling USD 19.3 M (18.7 CAPEX + 0.6 training OPEX)</w:t>
            </w:r>
          </w:p>
        </w:tc>
      </w:tr>
      <w:tr>
        <w:tc>
          <w:tcPr>
            <w:tcW w:w="4680" w:type="dxa"/>
          </w:tcPr>
          <w:p>
            <w:pPr/>
            <w:r>
              <w:t xml:space="preserve">A3.2</w:t>
            </w:r>
          </w:p>
        </w:tc>
        <w:tc>
          <w:tcPr>
            <w:tcW w:w="4680" w:type="dxa"/>
          </w:tcPr>
          <w:p>
            <w:pPr/>
            <w:r>
              <w:t xml:space="preserve">Actuals 2022–2025, proforma assumptions and P&amp;L 2026–2030, Capital Investment Plan, World Bank loan</w:t>
            </w:r>
          </w:p>
        </w:tc>
      </w:tr>
      <w:tr>
        <w:tc>
          <w:tcPr>
            <w:tcW w:w="4680" w:type="dxa"/>
          </w:tcPr>
          <w:p>
            <w:pPr/>
            <w:r>
              <w:t xml:space="preserve">A3.3</w:t>
            </w:r>
          </w:p>
        </w:tc>
        <w:tc>
          <w:tcPr>
            <w:tcW w:w="4680" w:type="dxa"/>
          </w:tcPr>
          <w:p>
            <w:pPr/>
            <w:r>
              <w:t xml:space="preserve">4 tariff scenarios (Plan, −10%, −20%, +10%) with revenue, EBITDA, net income, DSCR + conclusions</w:t>
            </w:r>
          </w:p>
        </w:tc>
      </w:tr>
      <w:tr>
        <w:tc>
          <w:tcPr>
            <w:tcW w:w="4680" w:type="dxa"/>
          </w:tcPr>
          <w:p>
            <w:pPr/>
            <w:r>
              <w:t xml:space="preserve">A3.4</w:t>
            </w:r>
          </w:p>
        </w:tc>
        <w:tc>
          <w:tcPr>
            <w:tcW w:w="4680" w:type="dxa"/>
          </w:tcPr>
          <w:p>
            <w:pPr/>
            <w:r>
              <w:t xml:space="preserve">Executive summary, water balance discussion, asset management note</w:t>
            </w:r>
          </w:p>
        </w:tc>
      </w:tr>
      <w:tr>
        <w:tc>
          <w:tcPr>
            <w:tcW w:w="4680" w:type="dxa"/>
          </w:tcPr>
          <w:p>
            <w:pPr/>
            <w:r>
              <w:t xml:space="preserve">A4.1</w:t>
            </w:r>
          </w:p>
        </w:tc>
        <w:tc>
          <w:tcPr>
            <w:tcW w:w="4680" w:type="dxa"/>
          </w:tcPr>
          <w:p>
            <w:pPr/>
            <w:r>
              <w:t xml:space="preserve">Agenda, data rules, quarterly input variables and KPI actuals Q1–Q3 2026</w:t>
            </w:r>
          </w:p>
        </w:tc>
      </w:tr>
      <w:tr>
        <w:tc>
          <w:tcPr>
            <w:tcW w:w="4680" w:type="dxa"/>
          </w:tcPr>
          <w:p>
            <w:pPr/>
            <w:r>
              <w:t xml:space="preserve">A4.2–A4.3</w:t>
            </w:r>
          </w:p>
        </w:tc>
        <w:tc>
          <w:tcPr>
            <w:tcW w:w="4680" w:type="dxa"/>
          </w:tcPr>
          <w:p>
            <w:pPr/>
            <w:r>
              <w:t xml:space="preserve">Tracking team of 5, quarterly cadence, meeting log; 4 dissemination events</w:t>
            </w:r>
          </w:p>
        </w:tc>
      </w:tr>
    </w:tbl>
    <w:p>
      <w:pPr/>
      <w:r>
        <w:rPr>
          <w:b/>
        </w:rPr>
        <w:t xml:space="preserve">Sensitivity results built into A3.3 (DSCR):</w:t>
      </w:r>
      <w:r>
        <w:t xml:space="preserve"> Plan 1.63 in 2026 and 2.37 in 2030. A 10% tariff shortfall gives 1.28 and 1.99. A 20% shock gives 0.92 in 2026, so the deck's risk slide has a real story to show.</w:t>
      </w:r>
    </w:p>
    <w:p>
      <w:pPr>
        <w:pStyle w:val="Heading2"/>
      </w:pPr>
      <w:r>
        <w:t xml:space="preserve">4. Prompts for Replit Agent (Step 0 to Step 7)</w:t>
      </w:r>
    </w:p>
    <w:p>
      <w:pPr/>
      <w:r>
        <w:t xml:space="preserve">Paste one step, wait until the Agent finishes, run its test, then continue. Each prompt starts by telling the Agent to keep what already works, so it is safe to run a step that was partly built before.</w:t>
      </w:r>
    </w:p>
    <w:p>
      <w:pPr>
        <w:pStyle w:val="Heading3"/>
      </w:pPr>
      <w:r>
        <w:t xml:space="preserve">Step 0 — Health check and fixes</w:t>
      </w:r>
    </w:p>
    <w:p>
      <w:pPr>
        <w:pStyle w:val="Code"/>
      </w:pPr>
      <w:bookmarkStart w:id="1" w:name="bongo_lang_markdown_1"/>
      <w:bookmarkEnd w:id="1"/>
      <w:r>
        <w:t xml:space="preserve">Option A, Step 0 of 7: health check. Keep everything that already works; fix only what is missing.</w:t>
        <w:br/>
        <w:t xml:space="preserve">1. OPEN_ACCESS test mode (env OPEN_ACCESS=true): no login, every visitor is "Test Admin" (role admin), "View as" role switcher, amber test-mode banner. With OPEN_ACCESS=false, normal auth and permissions apply.</w:t>
        <w:br/>
        <w:t xml:space="preserve">2. /admin: "+ New utility" button opens the Create utility drawer (country, utility name, short name, city/service area, TTL, BP year, UoF completion date, WB project ID, currency, logo). Save creates the utility, its business plan (status not_started) and the 20 plan_activities rows from the seed (A1.1-A4.3 with days and milestones), adds the TTL as member and writes audit_log.</w:t>
        <w:br/>
        <w:t xml:space="preserve">3. Every row in the registry is clickable and opens /plans/:planId. The "Download deck" action works (placeholder is fine for now).</w:t>
        <w:br/>
        <w:t xml:space="preserve">4. Fix any console errors and broken routes you find. List what you changed.</w:t>
        <w:br/>
        <w:t xml:space="preserve">Test: create a utility called "Test Utility", see it in the registry at 0%, open it.</w:t>
      </w:r>
    </w:p>
    <w:p>
      <w:pPr>
        <w:pStyle w:val="Heading3"/>
      </w:pPr>
      <w:r>
        <w:t xml:space="preserve">Step 1 — Workspace, activity page, form engine, Phase 1</w:t>
      </w:r>
    </w:p>
    <w:p>
      <w:pPr>
        <w:pStyle w:val="Code"/>
      </w:pPr>
      <w:bookmarkStart w:id="2" w:name="bongo_lang_markdown_2"/>
      <w:bookmarkEnd w:id="2"/>
      <w:r>
        <w:t xml:space="preserve">Option A, Step 1 of 7. Keep what works. Build exactly Sections 2, 3, 4 and 5 of the attached "Business Plan Workflow" document:</w:t>
        <w:br/>
        <w:t xml:space="preserve">- /plans/:planId workspace (phase stepper, continue card, activity table with every row opening the activity), /plans/:planId/phase/:phaseCode, /plans/:planId/activities/:code.</w:t>
        <w:br/>
        <w:t xml:space="preserve">- Activity page layout: breadcrumb, header (status, owner, due date), form, right column reserved for the Guidance panel, comments and history, sticky bar (Save, Submit for review, Approve, Return for changes, Reopen, Previous/Next).</w:t>
        <w:br/>
        <w:t xml:space="preserve">- Status flow Not started -&gt; In progress -&gt; Submitted -&gt; Approved, Return (comment required) and Reopen; read-only when Submitted/Approved; audit_log; progress weighted by days with credits 0/25/75/100%.</w:t>
        <w:br/>
        <w:t xml:space="preserve">- Config-driven form engine (shared/activityForms.ts) with the field types listed, autosave 1.5 s, required fields gate Submit, Zod validation both sides, data in plan_activities.data.</w:t>
        <w:br/>
        <w:t xml:space="preserve">- Phase 1 forms A1.1-A1.7 field by field, with the radar chart (A1.3), demographic stats and chart (A1.5) and SWOT board with "Add from A1.3 / A1.6" (A1.7).</w:t>
        <w:br/>
        <w:t xml:space="preserve">Test: fill A1.1, submit, approve; Phase 1 progress increases.</w:t>
      </w:r>
    </w:p>
    <w:p>
      <w:pPr>
        <w:pStyle w:val="Heading3"/>
      </w:pPr>
      <w:r>
        <w:t xml:space="preserve">Step 2 — Phase 2</w:t>
      </w:r>
    </w:p>
    <w:p>
      <w:pPr>
        <w:pStyle w:val="Code"/>
      </w:pPr>
      <w:bookmarkStart w:id="3" w:name="bongo_lang_markdown_3"/>
      <w:bookmarkEnd w:id="3"/>
      <w:r>
        <w:t xml:space="preserve">Option A, Step 2 of 7. Keep what works. Build Section 6 of the "Business Plan Workflow" document: A2.1 (mission, vision, 3-8 SMART objective cards with live SMART check and SWOT links), A2.2 (KPI table with the 5 core KPIs preloaded, NRW = (produced - billed) / produced, up to 7 custom KPIs, baseline from A1.2, quarterly targets 5 years, chart), A2.3 (decision per long-term priority), A2.4 (sign-off with minutes upload; approval locks objectives and KPIs), A2.5 (owners), A2.6 (initiatives per objective, min 1). Store records in strategy, strategic_objectives, kpis, kpi_targets, initiatives.</w:t>
        <w:br/>
        <w:t xml:space="preserve">Test: objectives created in A2.1 appear in A2.2, A2.5 and A2.6.</w:t>
      </w:r>
    </w:p>
    <w:p>
      <w:pPr>
        <w:pStyle w:val="Heading3"/>
      </w:pPr>
      <w:r>
        <w:t xml:space="preserve">Step 3 — Phase 3</w:t>
      </w:r>
    </w:p>
    <w:p>
      <w:pPr>
        <w:pStyle w:val="Code"/>
      </w:pPr>
      <w:bookmarkStart w:id="4" w:name="bongo_lang_markdown_4"/>
      <w:bookmarkEnd w:id="4"/>
      <w:r>
        <w:t xml:space="preserve">Option A, Step 3 of 7. Keep what works. Build Section 7 of the "Business Plan Workflow" document: A3.1 charter per initiative (all template fields, budget breakdown must equal total, one-page .docx export); A3.2 financial model with tabs Baseline P&amp;L, Capital Investment Plan, Forecast (4 actual + 5 proforma years, formulas listed, DSCR red below 1.0, "Copy charter budgets to investments", Excel import with preview and export); A3.3 tariff sensitivity (sliders -30% to +30%, up to 3 saved scenarios, table and chart of revenue, EBITDA, net income, DSCR); A3.4 integrated Business Plan view with 8 outline sections auto-filled and "Generate Word document".</w:t>
        <w:br/>
        <w:t xml:space="preserve">Add Vitest tests for server/services/finance.ts.</w:t>
        <w:br/>
        <w:t xml:space="preserve">Test: enter the A3.2 sample from the demo file and compare with Section 5 reference values.</w:t>
      </w:r>
    </w:p>
    <w:p>
      <w:pPr>
        <w:pStyle w:val="Heading3"/>
      </w:pPr>
      <w:r>
        <w:t xml:space="preserve">Step 4 — Phase 4, completion and outputs</w:t>
      </w:r>
    </w:p>
    <w:p>
      <w:pPr>
        <w:pStyle w:val="Code"/>
      </w:pPr>
      <w:bookmarkStart w:id="5" w:name="bongo_lang_markdown_5"/>
      <w:bookmarkEnd w:id="5"/>
      <w:r>
        <w:t xml:space="preserve">Option A, Step 4 of 7. Keep what works. Build Section 8 of the "Business Plan Workflow" document: A4.1 KPI dashboard with quarterly input variables, automatic KPI calculation, on track / at risk / off track, actual vs target charts, agenda; A4.2 tracking team, cadence, transition notes, meeting log; A4.3 dissemination events. Plan completion when all 20 are approved (status Completed, 100%, banner). Replace the placeholder deck with the real summary deck (max 20 slides, skip slides without data) and generate the full Business Plan .docx.</w:t>
        <w:br/>
        <w:t xml:space="preserve">Test: a plan with all activities approved downloads a deck of 20 slides or fewer and a Word document.</w:t>
      </w:r>
    </w:p>
    <w:p>
      <w:pPr>
        <w:pStyle w:val="Heading3"/>
      </w:pPr>
      <w:r>
        <w:t xml:space="preserve">Step 5 — Guidance panel and Help Center</w:t>
      </w:r>
    </w:p>
    <w:p>
      <w:pPr>
        <w:pStyle w:val="Code"/>
      </w:pPr>
      <w:bookmarkStart w:id="6" w:name="bongo_lang_markdown_6"/>
      <w:bookmarkEnd w:id="6"/>
      <w:r>
        <w:t xml:space="preserve">Option A, Step 5 of 7. Keep what works. Implement the attached "Guidance Content Library" document: shared/guidance.ts with the 21 topics verbatim and the activity-to-topic mapping, GuidancePanel on every activity page (tabs Definition, Why it matters, Examples, Tips; "Use this example"; field hints; mobile bottom sheet), and the /help page with search.</w:t>
        <w:br/>
        <w:t xml:space="preserve">Test: A2.1 shows Mission, Vision and SMART topics with examples.</w:t>
      </w:r>
    </w:p>
    <w:p>
      <w:pPr>
        <w:pStyle w:val="Heading3"/>
      </w:pPr>
      <w:r>
        <w:t xml:space="preserve">Step 6 — Guided mode</w:t>
      </w:r>
    </w:p>
    <w:p>
      <w:pPr>
        <w:pStyle w:val="Code"/>
      </w:pPr>
      <w:bookmarkStart w:id="7" w:name="bongo_lang_markdown_7"/>
      <w:bookmarkEnd w:id="7"/>
      <w:r>
        <w:t xml:space="preserve">Option A, Step 6 of 7. Upload demo_utility_valle_verde_optionA.json to the project root first. Keep what works. Add Guided mode:</w:t>
        <w:br/>
        <w:t xml:space="preserve">1. Sequential unlocking by default: an activity is editable when the previous one is Submitted or Approved; later ones show a read-only preview. Phase gates: a phase opens when all activities of the previous phase are at least Submitted. Plan setting "Free order" (Admin) disables the locks.</w:t>
        <w:br/>
        <w:t xml:space="preserve">2. Activity page additions: step header "Step n of 20 · Phase · about x working days" with a 20-step progress bar; "What you need" box (inputs from earlier activities and documents to have at hand, defined per activity in shared/activityForms.ts); auto-ticking checklist of required fields; "Example" tab showing the form filled read-only with the demo utility data; "Fill with example" button that copies the example into the form as an editable draft (confirm if data exists).</w:t>
        <w:br/>
        <w:t xml:space="preserve">3. After Submit, a dialog "Submitted. Next: {code} {name}" with "Go to next step".</w:t>
        <w:br/>
        <w:t xml:space="preserve">4. Workspace: "Continue: {next activity}" card and a "Your path" timeline of the 20 steps with status colors, planned days and due dates (due dates computed from plan start + cumulative days).</w:t>
        <w:br/>
        <w:t xml:space="preserve">5. Examples come from /demo_utility_valle_verde_optionA.json (activities key), loaded once on the server and served by GET /api/examples/:activityCode.</w:t>
        <w:br/>
        <w:t xml:space="preserve">Test: a new utility can be completed from A1.1 to A4.3 using only "Fill with example", "Submit", "Approve" and "Go to next step".</w:t>
      </w:r>
    </w:p>
    <w:p>
      <w:pPr>
        <w:pStyle w:val="Heading3"/>
      </w:pPr>
      <w:r>
        <w:t xml:space="preserve">Step 7 — Import the demo utility</w:t>
      </w:r>
    </w:p>
    <w:p>
      <w:pPr>
        <w:pStyle w:val="Code"/>
      </w:pPr>
      <w:bookmarkStart w:id="8" w:name="bongo_lang_markdown_8"/>
      <w:bookmarkEnd w:id="8"/>
      <w:r>
        <w:t xml:space="preserve">Option A, Step 7 of 7. Upload demo_utility_valle_verde_optionA.json to the project root first. Then:</w:t>
        <w:br/>
        <w:t xml:space="preserve">1. server/seed/importDemoOptionA.ts loads the file: utility, plan, preparation checklist, and each activities[code] into plan_activities.data and the structured tables (team, indicators, maturity, SWOT, strategy, strategic_objectives, kpis, kpi_targets, kpi_actuals, initiatives, project_charters, pl_assumptions, pl_lines, capital_investment_plan, sensitivity_scenarios, tracking_setup). Do not change any number.</w:t>
        <w:br/>
        <w:t xml:space="preserve">2. Two modes: "complete" (all 20 Approved, plan Completed) and "midway" (A1.1-A1.7 Approved, A2.1-A2.3 Submitted, A2.4 In progress, rest Not started). Admin buttons "Load demo (complete)" and "Load demo (midway)" on /admin and npm scripts seed:demoA and seed:demoA:midway. Re-running replaces the demo, never duplicates it.</w:t>
        <w:br/>
        <w:t xml:space="preserve">3. After import, recompute the financial model, DSCR and KPIs with our services and compare with the file; list any difference above 1% in the console and an Admin toast.</w:t>
        <w:br/>
        <w:t xml:space="preserve">Test: both demos appear in the registry (100% and about 38%); the complete one downloads a full deck.</w:t>
      </w:r>
    </w:p>
    <w:p>
      <w:pPr>
        <w:pStyle w:val="Heading2"/>
      </w:pPr>
      <w:r>
        <w:t xml:space="preserve">5. Reference values and acceptance</w:t>
      </w:r>
    </w:p>
    <w:p>
      <w:pPr/>
      <w:r>
        <w:t xml:space="preserve">After Step 7, the app's own calculations for the complete demo must match these values within 1%. They are the same as Option B's Improvement scenario.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Check</w:t>
            </w:r>
          </w:p>
        </w:tc>
        <w:tc>
          <w:tcPr>
            <w:tcW w:w="4680" w:type="dxa"/>
            <w:shd w:val="clear" w:color="auto" w:fill="F2F2F2"/>
          </w:tcPr>
          <w:p>
            <w:pPr/>
            <w:r>
              <w:t xml:space="preserve">Expected value</w:t>
            </w:r>
          </w:p>
        </w:tc>
      </w:tr>
      <w:tr>
        <w:tc>
          <w:tcPr>
            <w:tcW w:w="4680" w:type="dxa"/>
          </w:tcPr>
          <w:p>
            <w:pPr/>
            <w:r>
              <w:t xml:space="preserve">Total revenue 2025 (actual) / 2030</w:t>
            </w:r>
          </w:p>
        </w:tc>
        <w:tc>
          <w:tcPr>
            <w:tcW w:w="4680" w:type="dxa"/>
          </w:tcPr>
          <w:p>
            <w:pPr/>
            <w:r>
              <w:t xml:space="preserve">USD 20.83 M / 32.91 M</w:t>
            </w:r>
          </w:p>
        </w:tc>
      </w:tr>
      <w:tr>
        <w:tc>
          <w:tcPr>
            <w:tcW w:w="4680" w:type="dxa"/>
          </w:tcPr>
          <w:p>
            <w:pPr/>
            <w:r>
              <w:t xml:space="preserve">EBITDA margin 2025 / 2030</w:t>
            </w:r>
          </w:p>
        </w:tc>
        <w:tc>
          <w:tcPr>
            <w:tcW w:w="4680" w:type="dxa"/>
          </w:tcPr>
          <w:p>
            <w:pPr/>
            <w:r>
              <w:t xml:space="preserve">18.2% / 23.8%</w:t>
            </w:r>
          </w:p>
        </w:tc>
      </w:tr>
      <w:tr>
        <w:tc>
          <w:tcPr>
            <w:tcW w:w="4680" w:type="dxa"/>
          </w:tcPr>
          <w:p>
            <w:pPr/>
            <w:r>
              <w:t xml:space="preserve">Net income 2030</w:t>
            </w:r>
          </w:p>
        </w:tc>
        <w:tc>
          <w:tcPr>
            <w:tcW w:w="4680" w:type="dxa"/>
          </w:tcPr>
          <w:p>
            <w:pPr/>
            <w:r>
              <w:t xml:space="preserve">USD 3.62 M</w:t>
            </w:r>
          </w:p>
        </w:tc>
      </w:tr>
      <w:tr>
        <w:tc>
          <w:tcPr>
            <w:tcW w:w="4680" w:type="dxa"/>
          </w:tcPr>
          <w:p>
            <w:pPr/>
            <w:r>
              <w:t xml:space="preserve">Total investment 2026–2030 (CIP)</w:t>
            </w:r>
          </w:p>
        </w:tc>
        <w:tc>
          <w:tcPr>
            <w:tcW w:w="4680" w:type="dxa"/>
          </w:tcPr>
          <w:p>
            <w:pPr/>
            <w:r>
              <w:t xml:space="preserve">USD 26.2 M (5.0 · 6.9 · 6.8 · 5.0 · 2.5)</w:t>
            </w:r>
          </w:p>
        </w:tc>
      </w:tr>
      <w:tr>
        <w:tc>
          <w:tcPr>
            <w:tcW w:w="4680" w:type="dxa"/>
          </w:tcPr>
          <w:p>
            <w:pPr/>
            <w:r>
              <w:t xml:space="preserve">Water / sanitation / other investment, 2026–2030 total</w:t>
            </w:r>
          </w:p>
        </w:tc>
        <w:tc>
          <w:tcPr>
            <w:tcW w:w="4680" w:type="dxa"/>
          </w:tcPr>
          <w:p>
            <w:pPr/>
            <w:r>
              <w:t xml:space="preserve">USD 13.0 M / 4.5 M / 8.7 M</w:t>
            </w:r>
          </w:p>
        </w:tc>
      </w:tr>
      <w:tr>
        <w:tc>
          <w:tcPr>
            <w:tcW w:w="4680" w:type="dxa"/>
          </w:tcPr>
          <w:p>
            <w:pPr/>
            <w:r>
              <w:t xml:space="preserve">Long-term loans received</w:t>
            </w:r>
          </w:p>
        </w:tc>
        <w:tc>
          <w:tcPr>
            <w:tcW w:w="4680" w:type="dxa"/>
          </w:tcPr>
          <w:p>
            <w:pPr/>
            <w:r>
              <w:t xml:space="preserve">USD 14.0 M (2.5 · 4.5 · 4.0 · 3.0)</w:t>
            </w:r>
          </w:p>
        </w:tc>
      </w:tr>
      <w:tr>
        <w:tc>
          <w:tcPr>
            <w:tcW w:w="4680" w:type="dxa"/>
          </w:tcPr>
          <w:p>
            <w:pPr/>
            <w:r>
              <w:t xml:space="preserve">DSCR 2026 · 2027 · 2028 · 2029 · 2030</w:t>
            </w:r>
          </w:p>
        </w:tc>
        <w:tc>
          <w:tcPr>
            <w:tcW w:w="4680" w:type="dxa"/>
          </w:tcPr>
          <w:p>
            <w:pPr/>
            <w:r>
              <w:t xml:space="preserve">1.63 · 1.93 · 2.43 · 2.04 · 2.37</w:t>
            </w:r>
          </w:p>
        </w:tc>
      </w:tr>
      <w:tr>
        <w:tc>
          <w:tcPr>
            <w:tcW w:w="4680" w:type="dxa"/>
          </w:tcPr>
          <w:p>
            <w:pPr/>
            <w:r>
              <w:t xml:space="preserve">DSCR with −10% / −20% tariffs, 2026</w:t>
            </w:r>
          </w:p>
        </w:tc>
        <w:tc>
          <w:tcPr>
            <w:tcW w:w="4680" w:type="dxa"/>
          </w:tcPr>
          <w:p>
            <w:pPr/>
            <w:r>
              <w:t xml:space="preserve">1.28 / 0.92</w:t>
            </w:r>
          </w:p>
        </w:tc>
      </w:tr>
      <w:tr>
        <w:tc>
          <w:tcPr>
            <w:tcW w:w="4680" w:type="dxa"/>
          </w:tcPr>
          <w:p>
            <w:pPr/>
            <w:r>
              <w:t xml:space="preserve">NRW target 2030 · collection target 2030</w:t>
            </w:r>
          </w:p>
        </w:tc>
        <w:tc>
          <w:tcPr>
            <w:tcW w:w="4680" w:type="dxa"/>
          </w:tcPr>
          <w:p>
            <w:pPr/>
            <w:r>
              <w:t xml:space="preserve">33.0% · 93.0%</w:t>
            </w:r>
          </w:p>
        </w:tc>
      </w:tr>
      <w:tr>
        <w:tc>
          <w:tcPr>
            <w:tcW w:w="4680" w:type="dxa"/>
          </w:tcPr>
          <w:p>
            <w:pPr/>
            <w:r>
              <w:t xml:space="preserve">Sum of the 7 charter budgets</w:t>
            </w:r>
          </w:p>
        </w:tc>
        <w:tc>
          <w:tcPr>
            <w:tcW w:w="4680" w:type="dxa"/>
          </w:tcPr>
          <w:p>
            <w:pPr/>
            <w:r>
              <w:t xml:space="preserve">USD 19.3 M</w:t>
            </w:r>
          </w:p>
        </w:tc>
      </w:tr>
      <w:tr>
        <w:tc>
          <w:tcPr>
            <w:tcW w:w="4680" w:type="dxa"/>
          </w:tcPr>
          <w:p>
            <w:pPr/>
            <w:r>
              <w:t xml:space="preserve">Plan progress, midway state</w:t>
            </w:r>
          </w:p>
        </w:tc>
        <w:tc>
          <w:tcPr>
            <w:tcW w:w="4680" w:type="dxa"/>
          </w:tcPr>
          <w:p>
            <w:pPr/>
            <w:r>
              <w:t xml:space="preserve">about 38% (41 of 108 weighted days)</w:t>
            </w:r>
          </w:p>
        </w:tc>
      </w:tr>
    </w:tbl>
    <w:p>
      <w:pPr/>
      <w:r>
        <w:t xml:space="preserve">The file was checked before delivery: water + sanitation + other investment equals total investment, loans + own funds equals total investment, DSCR equals cash from operations ÷ debt service, and every charter's budget breakdown adds up to its total.</w:t>
      </w:r>
    </w:p>
    <w:p>
      <w:pPr/>
      <w:r>
        <w:rPr>
          <w:b/>
        </w:rPr>
        <w:t xml:space="preserve">Acceptance checklist</w:t>
      </w:r>
    </w:p>
    <w:p>
      <w:pPr>
        <w:pStyle w:val="ListParagraph"/>
        <w:numPr>
          <w:ilvl w:val="0"/>
          <w:numId w:val="3"/>
        </w:numPr>
      </w:pPr>
      <w:r>
        <w:t xml:space="preserve">☐ Step 0: "+ New utility" works and every registry row opens its plan.</w:t>
      </w:r>
    </w:p>
    <w:p>
      <w:pPr>
        <w:pStyle w:val="ListParagraph"/>
        <w:numPr>
          <w:ilvl w:val="0"/>
          <w:numId w:val="3"/>
        </w:numPr>
      </w:pPr>
      <w:r>
        <w:t xml:space="preserve">☐ Every one of the 20 activities opens a working form; none is a dead link.</w:t>
      </w:r>
    </w:p>
    <w:p>
      <w:pPr>
        <w:pStyle w:val="ListParagraph"/>
        <w:numPr>
          <w:ilvl w:val="0"/>
          <w:numId w:val="3"/>
        </w:numPr>
      </w:pPr>
      <w:r>
        <w:t xml:space="preserve">☐ Save, Submit, Approve, Return and Reopen work; progress moves by weighted days.</w:t>
      </w:r>
    </w:p>
    <w:p>
      <w:pPr>
        <w:pStyle w:val="ListParagraph"/>
        <w:numPr>
          <w:ilvl w:val="0"/>
          <w:numId w:val="3"/>
        </w:numPr>
      </w:pPr>
      <w:r>
        <w:t xml:space="preserve">☐ Data flows forward: SWOT → objectives → KPIs and initiatives → charters → CIP → integrated plan.</w:t>
      </w:r>
    </w:p>
    <w:p>
      <w:pPr>
        <w:pStyle w:val="ListParagraph"/>
        <w:numPr>
          <w:ilvl w:val="0"/>
          <w:numId w:val="3"/>
        </w:numPr>
      </w:pPr>
      <w:r>
        <w:t xml:space="preserve">☐ Guidance panel shows definition, examples and tips on every activity.</w:t>
      </w:r>
    </w:p>
    <w:p>
      <w:pPr>
        <w:pStyle w:val="ListParagraph"/>
        <w:numPr>
          <w:ilvl w:val="0"/>
          <w:numId w:val="3"/>
        </w:numPr>
      </w:pPr>
      <w:r>
        <w:t xml:space="preserve">☐ Guided mode: locks, step header, "What you need", checklist, Example tab, "Fill with example", "Go to next step".</w:t>
      </w:r>
    </w:p>
    <w:p>
      <w:pPr>
        <w:pStyle w:val="ListParagraph"/>
        <w:numPr>
          <w:ilvl w:val="0"/>
          <w:numId w:val="3"/>
        </w:numPr>
      </w:pPr>
      <w:r>
        <w:t xml:space="preserve">☐ A new utility can be completed end to end with "Fill with example" in under 30 minutes.</w:t>
      </w:r>
    </w:p>
    <w:p>
      <w:pPr>
        <w:pStyle w:val="ListParagraph"/>
        <w:numPr>
          <w:ilvl w:val="0"/>
          <w:numId w:val="3"/>
        </w:numPr>
      </w:pPr>
      <w:r>
        <w:t xml:space="preserve">☐ Demo complete and midway load from /admin; reference values match within 1%.</w:t>
      </w:r>
    </w:p>
    <w:p>
      <w:pPr>
        <w:pStyle w:val="ListParagraph"/>
        <w:numPr>
          <w:ilvl w:val="0"/>
          <w:numId w:val="3"/>
        </w:numPr>
      </w:pPr>
      <w:r>
        <w:t xml:space="preserve">☐ The complete demo downloads a deck of 20 slides or fewer and a Word business plan.</w:t>
      </w:r>
    </w:p>
    <w:p>
      <w:pPr>
        <w:pStyle w:val="ListParagraph"/>
        <w:numPr>
          <w:ilvl w:val="0"/>
          <w:numId w:val="3"/>
        </w:numPr>
      </w:pPr>
      <w:r>
        <w:t xml:space="preserve">☐ Everything works in OPEN_ACCESS test mode.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Option A — Final Build Guide, Guided Mode and Demo Utility</dc:title>
  <dc:description>Claude Docs node/345bb317-fa7c@7 docx-w6</dc:description>
  <cp:revision>7</cp:revision>
</cp:coreProperties>
</file>