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40"/>
      </w:pPr>
    </w:p>
    <w:p>
      <w:pPr>
        <w:spacing w:after="360"/>
        <w:jc w:val="center"/>
      </w:pPr>
      <w:r>
        <w:rPr>
          <w:rFonts w:ascii="Calibri" w:hAnsi="Calibri"/>
          <w:b/>
          <w:color w:val="2E74B5"/>
          <w:sz w:val="21"/>
        </w:rPr>
        <w:t>CONCEPT NOTE</w:t>
      </w:r>
    </w:p>
    <w:p>
      <w:pPr>
        <w:spacing w:after="200"/>
        <w:jc w:val="center"/>
      </w:pPr>
      <w:r>
        <w:rPr>
          <w:rFonts w:ascii="Calibri" w:hAnsi="Calibri"/>
          <w:b/>
          <w:color w:val="0B2545"/>
          <w:sz w:val="56"/>
        </w:rPr>
        <w:t>Compact Review and Annotation Platform</w:t>
      </w:r>
    </w:p>
    <w:p>
      <w:pPr>
        <w:spacing w:after="120"/>
        <w:jc w:val="center"/>
      </w:pPr>
      <w:r>
        <w:rPr>
          <w:rFonts w:ascii="Calibri" w:hAnsi="Calibri"/>
          <w:b/>
          <w:color w:val="1F4D78"/>
          <w:sz w:val="34"/>
        </w:rPr>
        <w:t>for Reform Actions, Targets, and Challenges</w:t>
      </w:r>
    </w:p>
    <w:p>
      <w:pPr>
        <w:spacing w:after="680"/>
        <w:jc w:val="center"/>
      </w:pPr>
      <w:r>
        <w:rPr>
          <w:rFonts w:ascii="Calibri" w:hAnsi="Calibri"/>
          <w:i/>
          <w:color w:val="5C6670"/>
          <w:sz w:val="24"/>
        </w:rPr>
        <w:t>Working name: Compact SourceLink</w:t>
      </w:r>
    </w:p>
    <w:p>
      <w:pPr>
        <w:spacing w:after="120"/>
        <w:jc w:val="center"/>
      </w:pPr>
      <w:r>
        <w:rPr>
          <w:rFonts w:ascii="Calibri" w:hAnsi="Calibri"/>
          <w:b/>
          <w:color w:val="5C6670"/>
          <w:sz w:val="20"/>
        </w:rPr>
        <w:t>Pilot countries</w:t>
      </w:r>
    </w:p>
    <w:p>
      <w:pPr>
        <w:spacing w:after="1040"/>
        <w:jc w:val="center"/>
      </w:pPr>
      <w:r>
        <w:rPr>
          <w:rFonts w:ascii="Calibri" w:hAnsi="Calibri"/>
          <w:b/>
          <w:color w:val="0B2545"/>
          <w:sz w:val="24"/>
        </w:rPr>
        <w:t>Cambodia  |  Sierra Leone  |  Jamaica</w:t>
      </w:r>
    </w:p>
    <w:p>
      <w:pPr>
        <w:jc w:val="center"/>
      </w:pPr>
      <w:r>
        <w:rPr>
          <w:rFonts w:ascii="Calibri" w:hAnsi="Calibri"/>
          <w:color w:val="5C6670"/>
          <w:sz w:val="21"/>
        </w:rPr>
        <w:t>Draft for pilot application  |  August 2026</w:t>
      </w:r>
    </w:p>
    <w:p>
      <w:r>
        <w:br w:type="page"/>
      </w:r>
    </w:p>
    <w:p>
      <w:pPr>
        <w:pStyle w:val="Heading1"/>
        <w:keepNext/>
      </w:pPr>
      <w:r>
        <w:t>Executive summary</w:t>
      </w:r>
    </w:p>
    <w:p>
      <w:r>
        <w:t>Compact SourceLink is a proposed review and annotation application for validating reform actions identified by an LLM in country water compacts. It places each candidate beside its highlighted source passage, preserves the model's original evidence and classifications, and gives reviewers a controlled way to accept, correct, reject, split, merge, relate, and comment on records. The initial pilot covers Cambodia, Sierra Leone, and Jamaica.</w:t>
      </w:r>
    </w:p>
    <w:p>
      <w:r>
        <w:t>The application is designed to reduce both false inclusion and false exclusion. High-confidence reform actions and low-confidence or vague potential actions remain separate review queues, while both are visible to human reviewers. The first LLM layer should be as accurate as possible, but it is not treated as final: the database preserves uncertainty and supports traceable human judgment.</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9360"/>
      </w:tblGrid>
      <w:tr>
        <w:tc>
          <w:tcPr>
            <w:tcW w:type="dxa" w:w="9360"/>
            <w:tcMar>
              <w:top w:w="80" w:type="dxa"/>
              <w:start w:w="120" w:type="dxa"/>
              <w:bottom w:w="80" w:type="dxa"/>
              <w:end w:w="120" w:type="dxa"/>
            </w:tcMar>
            <w:vAlign w:val="center"/>
            <w:shd w:fill="E8EEF5"/>
          </w:tcPr>
          <w:p>
            <w:pPr>
              <w:spacing w:after="20"/>
            </w:pPr>
            <w:r>
              <w:rPr>
                <w:rFonts w:ascii="Calibri" w:hAnsi="Calibri"/>
                <w:b/>
                <w:color w:val="1F4D78"/>
                <w:sz w:val="20"/>
              </w:rPr>
              <w:t xml:space="preserve">Core proposition. </w:t>
            </w:r>
            <w:r>
              <w:rPr>
                <w:rFonts w:ascii="Calibri" w:hAnsi="Calibri"/>
                <w:color w:val="0B2545"/>
                <w:sz w:val="20"/>
              </w:rPr>
              <w:t>Every extracted item must remain traceable to the exact compact, page, text span, and highlight rectangle from which it was derived; every human decision must be attributable and reversible through an append-only history.</w:t>
            </w:r>
          </w:p>
        </w:tc>
      </w:tr>
    </w:tbl>
    <w:p>
      <w:pPr>
        <w:spacing w:after="0"/>
      </w:pPr>
    </w:p>
    <w:p>
      <w:pPr>
        <w:pStyle w:val="Heading2"/>
        <w:keepNext/>
      </w:pPr>
      <w:r>
        <w:t>Purpose of the concept note</w:t>
      </w:r>
    </w:p>
    <w:p>
      <w:pPr>
        <w:pStyle w:val="ListBullet"/>
      </w:pPr>
      <w:r>
        <w:t>Define the intended product, users, review workflow, and governance model.</w:t>
      </w:r>
    </w:p>
    <w:p>
      <w:pPr>
        <w:pStyle w:val="ListBullet"/>
      </w:pPr>
      <w:r>
        <w:t>Translate the reform-action methodology into application requirements without replacing the methodology itself.</w:t>
      </w:r>
    </w:p>
    <w:p>
      <w:pPr>
        <w:pStyle w:val="ListBullet"/>
      </w:pPr>
      <w:r>
        <w:t>Provide a foundation that can later support targets and challenges/problem statements through the same source-linked review architecture.</w:t>
      </w:r>
    </w:p>
    <w:p>
      <w:pPr>
        <w:pStyle w:val="Heading2"/>
        <w:keepNext/>
      </w:pPr>
      <w:r>
        <w:t>Pilot decision</w:t>
      </w:r>
    </w:p>
    <w:p>
      <w:r>
        <w:t>The immediate decision is whether to implement and test a minimum viable application using the three English-language compacts and the prepared candidate and source-anchor datasets. The pilot should test methodological accuracy, reviewer usability, evidence traceability, and the effort required for adjudication.</w:t>
      </w:r>
    </w:p>
    <w:p>
      <w:pPr>
        <w:pStyle w:val="Heading1"/>
        <w:keepNext/>
      </w:pPr>
      <w:r>
        <w:t>1. Background and problem statement</w:t>
      </w:r>
    </w:p>
    <w:p>
      <w:r>
        <w:t>Country compacts express reform content in varied ways. Some use explicit commitments with a named actor, mechanism, and implementation step; others rely on broad aspirations, strategic directions, narrative descriptions, targets, or actions dispersed across tables and prose. A reliable dataset therefore requires more than keyword extraction. It requires interpretation, classification, source verification, and a documented human-review process.</w:t>
      </w:r>
    </w:p>
    <w:p>
      <w:r>
        <w:t>A flat spreadsheet is useful for analysis but weak as a review interface. It separates records from their documentary context, makes source checking slow, encourages accidental alteration of model outputs, and provides limited support for split/merge decisions or linked aspiration–mechanism cases. Compact SourceLink addresses these limitations by making the source document and the structured record two synchronized views of the same evidence.</w:t>
      </w:r>
    </w:p>
    <w:p>
      <w:pPr>
        <w:pStyle w:val="Heading2"/>
        <w:keepNext/>
      </w:pPr>
      <w:r>
        <w:t>Design problem</w:t>
      </w:r>
    </w:p>
    <w:p>
      <w:pPr>
        <w:pStyle w:val="ListBullet"/>
      </w:pPr>
      <w:r>
        <w:t>How can reviewers verify a candidate quickly without losing the exact wording and page context?</w:t>
      </w:r>
    </w:p>
    <w:p>
      <w:pPr>
        <w:pStyle w:val="ListBullet"/>
      </w:pPr>
      <w:r>
        <w:t>How can uncertain or vague passages be retained for review without contaminating the high-confidence reform-action dataset?</w:t>
      </w:r>
    </w:p>
    <w:p>
      <w:pPr>
        <w:pStyle w:val="ListBullet"/>
      </w:pPr>
      <w:r>
        <w:t>How can original LLM outputs remain immutable while allowing corrected, validated records?</w:t>
      </w:r>
    </w:p>
    <w:p>
      <w:pPr>
        <w:pStyle w:val="ListBullet"/>
      </w:pPr>
      <w:r>
        <w:t>How can reform aspirations be handled consistently when they are linked to a concrete mechanism elsewhere in the compact?</w:t>
      </w:r>
    </w:p>
    <w:p>
      <w:pPr>
        <w:pStyle w:val="ListBullet"/>
      </w:pPr>
      <w:r>
        <w:t>How can the same platform later review targets and challenges without mixing their taxonomies or coding rules?</w:t>
      </w:r>
    </w:p>
    <w:p>
      <w:pPr>
        <w:pStyle w:val="Heading1"/>
        <w:keepNext/>
      </w:pPr>
      <w:r>
        <w:t>2. Objectives and scope</w:t>
      </w:r>
    </w:p>
    <w:p>
      <w:pPr>
        <w:pStyle w:val="Heading2"/>
        <w:keepNext/>
      </w:pPr>
      <w:r>
        <w:t>Primary objective</w:t>
      </w:r>
    </w:p>
    <w:p>
      <w:r>
        <w:t>Create a secure, source-linked review environment in which subject-matter reviewers can validate LLM-identified reform-action candidates consistently and produce an auditable final dataset.</w:t>
      </w:r>
    </w:p>
    <w:p>
      <w:pPr>
        <w:pStyle w:val="Heading2"/>
        <w:keepNext/>
      </w:pPr>
      <w:r>
        <w:t>Specific objectives</w:t>
      </w:r>
    </w:p>
    <w:p>
      <w:pPr>
        <w:pStyle w:val="ListBullet"/>
      </w:pPr>
      <w:r>
        <w:t>Display the correct compact page with the relevant source passage highlighted for each candidate.</w:t>
      </w:r>
    </w:p>
    <w:p>
      <w:pPr>
        <w:pStyle w:val="ListBullet"/>
      </w:pPr>
      <w:r>
        <w:t>Maintain distinct queues for high-confidence reform actions and low-confidence or vague potential reform actions.</w:t>
      </w:r>
    </w:p>
    <w:p>
      <w:pPr>
        <w:pStyle w:val="ListBullet"/>
      </w:pPr>
      <w:r>
        <w:t>Capture reviewer decisions, corrections, comments, relationships, and timestamps without overwriting original evidence.</w:t>
      </w:r>
    </w:p>
    <w:p>
      <w:pPr>
        <w:pStyle w:val="ListBullet"/>
      </w:pPr>
      <w:r>
        <w:t>Support adjudication where reviewers disagree or where inclusion, granularity, or aspiration treatment is uncertain.</w:t>
      </w:r>
    </w:p>
    <w:p>
      <w:pPr>
        <w:pStyle w:val="ListBullet"/>
      </w:pPr>
      <w:r>
        <w:t>Export validated data and review history for analysis, quality assurance, and methodological refinement.</w:t>
      </w:r>
    </w:p>
    <w:p>
      <w:pPr>
        <w:pStyle w:val="ListBullet"/>
      </w:pPr>
      <w:r>
        <w:t>Establish an extensible review-item model for future targets and challenges/problem statements.</w:t>
      </w:r>
    </w:p>
    <w:p>
      <w:pPr>
        <w:pStyle w:val="Heading2"/>
        <w:keepNext/>
      </w:pPr>
      <w:r>
        <w:t>Pilot scope</w:t>
      </w:r>
    </w:p>
    <w:p>
      <w:r>
        <w:rPr>
          <w:rFonts w:ascii="Calibri" w:hAnsi="Calibri"/>
          <w:b/>
          <w:color w:val="1F4D78"/>
          <w:sz w:val="22"/>
        </w:rPr>
        <w:t xml:space="preserve">Countries: </w:t>
      </w:r>
      <w:r>
        <w:rPr>
          <w:rFonts w:ascii="Calibri" w:hAnsi="Calibri"/>
          <w:color w:val="000000"/>
          <w:sz w:val="22"/>
        </w:rPr>
        <w:t>Cambodia, Sierra Leone, and Jamaica.</w:t>
      </w:r>
    </w:p>
    <w:p>
      <w:r>
        <w:rPr>
          <w:rFonts w:ascii="Calibri" w:hAnsi="Calibri"/>
          <w:b/>
          <w:color w:val="1F4D78"/>
          <w:sz w:val="22"/>
        </w:rPr>
        <w:t xml:space="preserve">Document language: </w:t>
      </w:r>
      <w:r>
        <w:rPr>
          <w:rFonts w:ascii="Calibri" w:hAnsi="Calibri"/>
          <w:color w:val="000000"/>
          <w:sz w:val="22"/>
        </w:rPr>
        <w:t>English.</w:t>
      </w:r>
    </w:p>
    <w:p>
      <w:r>
        <w:rPr>
          <w:rFonts w:ascii="Calibri" w:hAnsi="Calibri"/>
          <w:b/>
          <w:color w:val="1F4D78"/>
          <w:sz w:val="22"/>
        </w:rPr>
        <w:t xml:space="preserve">Primary item type: </w:t>
      </w:r>
      <w:r>
        <w:rPr>
          <w:rFonts w:ascii="Calibri" w:hAnsi="Calibri"/>
          <w:color w:val="000000"/>
          <w:sz w:val="22"/>
        </w:rPr>
        <w:t>Reform actions, including explicit treatment of reform aspirations.</w:t>
      </w:r>
    </w:p>
    <w:p>
      <w:r>
        <w:rPr>
          <w:rFonts w:ascii="Calibri" w:hAnsi="Calibri"/>
          <w:b/>
          <w:color w:val="1F4D78"/>
          <w:sz w:val="22"/>
        </w:rPr>
        <w:t xml:space="preserve">Evidence unit: </w:t>
      </w:r>
      <w:r>
        <w:rPr>
          <w:rFonts w:ascii="Calibri" w:hAnsi="Calibri"/>
          <w:color w:val="000000"/>
          <w:sz w:val="22"/>
        </w:rPr>
        <w:t>Candidate record linked to one or more source anchors and page rectangles.</w:t>
      </w:r>
    </w:p>
    <w:p>
      <w:r>
        <w:rPr>
          <w:rFonts w:ascii="Calibri" w:hAnsi="Calibri"/>
          <w:b/>
          <w:color w:val="1F4D78"/>
          <w:sz w:val="22"/>
        </w:rPr>
        <w:t xml:space="preserve">Out of scope for the first release: </w:t>
      </w:r>
      <w:r>
        <w:rPr>
          <w:rFonts w:ascii="Calibri" w:hAnsi="Calibri"/>
          <w:color w:val="000000"/>
          <w:sz w:val="22"/>
        </w:rPr>
        <w:t>Automated recoding after reviewer edits, public access, and full coding workflows for targets and challenges.</w:t>
      </w:r>
    </w:p>
    <w:p>
      <w:pPr>
        <w:pStyle w:val="Heading1"/>
        <w:keepNext/>
      </w:pPr>
      <w:r>
        <w:t>3. Users, roles, and responsibilities</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1800"/>
        <w:gridCol w:w="4500"/>
        <w:gridCol w:w="3060"/>
      </w:tblGrid>
      <w:tr>
        <w:trPr>
          <w:cantSplit/>
          <w:tblHeader w:val="true"/>
        </w:trPr>
        <w:tc>
          <w:tcPr>
            <w:tcW w:type="dxa" w:w="180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Role</w:t>
            </w:r>
          </w:p>
        </w:tc>
        <w:tc>
          <w:tcPr>
            <w:tcW w:type="dxa" w:w="450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Main responsibilities</w:t>
            </w:r>
          </w:p>
        </w:tc>
        <w:tc>
          <w:tcPr>
            <w:tcW w:type="dxa" w:w="306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Decision authority</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Reviewer</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8"/>
              </w:rPr>
              <w:t>Checks source evidence; accepts, corrects, rejects, splits, merges, relates, and comments on candidates.</w:t>
            </w:r>
          </w:p>
        </w:tc>
        <w:tc>
          <w:tcPr>
            <w:tcW w:type="dxa" w:w="3060"/>
            <w:tcMar>
              <w:top w:w="80" w:type="dxa"/>
              <w:start w:w="120" w:type="dxa"/>
              <w:bottom w:w="80" w:type="dxa"/>
              <w:end w:w="120" w:type="dxa"/>
            </w:tcMar>
            <w:vAlign w:val="center"/>
          </w:tcPr>
          <w:p>
            <w:pPr>
              <w:spacing w:before="0" w:after="40" w:line="252" w:lineRule="auto"/>
            </w:pPr>
            <w:r>
              <w:rPr>
                <w:rFonts w:ascii="Calibri" w:hAnsi="Calibri"/>
                <w:color w:val="000000"/>
                <w:sz w:val="18"/>
              </w:rPr>
              <w:t>Proposes or records a review decision within assigned items.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Adjudicator / methodology lead</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8"/>
              </w:rPr>
              <w:t>Resolves difficult or disputed cases; interprets coding rules; documents precedents.</w:t>
            </w:r>
          </w:p>
        </w:tc>
        <w:tc>
          <w:tcPr>
            <w:tcW w:type="dxa" w:w="3060"/>
            <w:tcMar>
              <w:top w:w="80" w:type="dxa"/>
              <w:start w:w="120" w:type="dxa"/>
              <w:bottom w:w="80" w:type="dxa"/>
              <w:end w:w="120" w:type="dxa"/>
            </w:tcMar>
            <w:vAlign w:val="center"/>
          </w:tcPr>
          <w:p>
            <w:pPr>
              <w:spacing w:before="0" w:after="40" w:line="252" w:lineRule="auto"/>
            </w:pPr>
            <w:r>
              <w:rPr>
                <w:rFonts w:ascii="Calibri" w:hAnsi="Calibri"/>
                <w:color w:val="000000"/>
                <w:sz w:val="18"/>
              </w:rPr>
              <w:t>Approves final inclusion, wording, granularity, and classifications.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Data administrator</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8"/>
              </w:rPr>
              <w:t>Loads documents and datasets; manages users; validates integrity; controls exports and backups.</w:t>
            </w:r>
          </w:p>
        </w:tc>
        <w:tc>
          <w:tcPr>
            <w:tcW w:type="dxa" w:w="3060"/>
            <w:tcMar>
              <w:top w:w="80" w:type="dxa"/>
              <w:start w:w="120" w:type="dxa"/>
              <w:bottom w:w="80" w:type="dxa"/>
              <w:end w:w="120" w:type="dxa"/>
            </w:tcMar>
            <w:vAlign w:val="center"/>
          </w:tcPr>
          <w:p>
            <w:pPr>
              <w:spacing w:before="0" w:after="40" w:line="252" w:lineRule="auto"/>
            </w:pPr>
            <w:r>
              <w:rPr>
                <w:rFonts w:ascii="Calibri" w:hAnsi="Calibri"/>
                <w:color w:val="000000"/>
                <w:sz w:val="18"/>
              </w:rPr>
              <w:t>Manages system configuration, not substantive coding judgments.</w:t>
            </w:r>
          </w:p>
        </w:tc>
      </w:tr>
      <w:tr>
        <w:trPr>
          <w:cantSplit/>
        </w:trPr>
        <w:tc>
          <w:tcPr>
            <w:tcW w:type="dxa" w:w="1800"/>
            <w:tcMar>
              <w:top w:w="80" w:type="dxa"/>
              <w:start w:w="120" w:type="dxa"/>
              <w:bottom w:w="80" w:type="dxa"/>
              <w:end w:w="120" w:type="dxa"/>
            </w:tcMar>
            <w:vAlign w:val="center"/>
          </w:tcPr>
          <w:p>
            <w:pPr>
              <w:spacing w:before="0" w:after="40" w:line="252" w:lineRule="auto"/>
            </w:pPr>
            <w:r>
              <w:rPr>
                <w:rFonts w:ascii="Calibri" w:hAnsi="Calibri"/>
                <w:color w:val="000000"/>
                <w:sz w:val="18"/>
              </w:rPr>
              <w:t>Read-only observer</w:t>
            </w:r>
          </w:p>
        </w:tc>
        <w:tc>
          <w:tcPr>
            <w:tcW w:type="dxa" w:w="4500"/>
            <w:tcMar>
              <w:top w:w="80" w:type="dxa"/>
              <w:start w:w="120" w:type="dxa"/>
              <w:bottom w:w="80" w:type="dxa"/>
              <w:end w:w="120" w:type="dxa"/>
            </w:tcMar>
            <w:vAlign w:val="center"/>
          </w:tcPr>
          <w:p>
            <w:pPr>
              <w:spacing w:before="0" w:after="40" w:line="252" w:lineRule="auto"/>
            </w:pPr>
            <w:r>
              <w:rPr>
                <w:rFonts w:ascii="Calibri" w:hAnsi="Calibri"/>
                <w:color w:val="000000"/>
                <w:sz w:val="18"/>
              </w:rPr>
              <w:t>Views source-linked records, progress, and validated outputs.</w:t>
            </w:r>
          </w:p>
        </w:tc>
        <w:tc>
          <w:tcPr>
            <w:tcW w:type="dxa" w:w="3060"/>
            <w:tcMar>
              <w:top w:w="80" w:type="dxa"/>
              <w:start w:w="120" w:type="dxa"/>
              <w:bottom w:w="80" w:type="dxa"/>
              <w:end w:w="120" w:type="dxa"/>
            </w:tcMar>
            <w:vAlign w:val="center"/>
          </w:tcPr>
          <w:p>
            <w:pPr>
              <w:spacing w:before="0" w:after="40" w:line="252" w:lineRule="auto"/>
            </w:pPr>
            <w:r>
              <w:rPr>
                <w:rFonts w:ascii="Calibri" w:hAnsi="Calibri"/>
                <w:color w:val="000000"/>
                <w:sz w:val="18"/>
              </w:rPr>
              <w:t>No editing or approval rights.</w:t>
            </w:r>
          </w:p>
        </w:tc>
      </w:tr>
    </w:tbl>
    <w:p>
      <w:pPr>
        <w:pStyle w:val="Heading2"/>
        <w:keepNext/>
      </w:pPr>
      <w:r>
        <w:t>Review governance</w:t>
      </w:r>
    </w:p>
    <w:p>
      <w:r>
        <w:t>Role permissions should be explicit. A reviewer cannot erase the LLM record; an adjudicator cannot silently replace earlier decisions; and an administrator cannot change substantive coding outcomes without creating a review event. The application should display who made each decision, when it was made, and what changed.</w:t>
      </w:r>
    </w:p>
    <w:p>
      <w:pPr>
        <w:pStyle w:val="Heading1"/>
        <w:keepNext/>
      </w:pPr>
      <w:r>
        <w:t>4. Conceptual data model</w:t>
      </w:r>
    </w:p>
    <w:p>
      <w:r>
        <w:t>The central application-layer object is an extracted item. Each item has a stable identifier and an item type. For the pilot, the active item type is reform action. The architecture reserves target and challenge/problem statement as future types that can reuse evidence, review, and audit services while applying their own definitions and classification schemes.</w:t>
      </w:r>
    </w:p>
    <w:p>
      <w:pPr>
        <w:pStyle w:val="Heading2"/>
        <w:keepNext/>
      </w:pPr>
      <w:r>
        <w:t>Core objects</w:t>
      </w:r>
    </w:p>
    <w:p>
      <w:r>
        <w:rPr>
          <w:rFonts w:ascii="Calibri" w:hAnsi="Calibri"/>
          <w:b/>
          <w:color w:val="1F4D78"/>
          <w:sz w:val="22"/>
        </w:rPr>
        <w:t xml:space="preserve">Document: </w:t>
      </w:r>
      <w:r>
        <w:rPr>
          <w:rFonts w:ascii="Calibri" w:hAnsi="Calibri"/>
          <w:color w:val="000000"/>
          <w:sz w:val="22"/>
        </w:rPr>
        <w:t>The authoritative compact PDF, with country, title, version, file hash, and page count.</w:t>
      </w:r>
    </w:p>
    <w:p>
      <w:r>
        <w:rPr>
          <w:rFonts w:ascii="Calibri" w:hAnsi="Calibri"/>
          <w:b/>
          <w:color w:val="1F4D78"/>
          <w:sz w:val="22"/>
        </w:rPr>
        <w:t xml:space="preserve">Extracted item: </w:t>
      </w:r>
      <w:r>
        <w:rPr>
          <w:rFonts w:ascii="Calibri" w:hAnsi="Calibri"/>
          <w:color w:val="000000"/>
          <w:sz w:val="22"/>
        </w:rPr>
        <w:t>The LLM candidate plus immutable original wording, confidence queue, classifications, and stable candidate ID.</w:t>
      </w:r>
    </w:p>
    <w:p>
      <w:r>
        <w:rPr>
          <w:rFonts w:ascii="Calibri" w:hAnsi="Calibri"/>
          <w:b/>
          <w:color w:val="1F4D78"/>
          <w:sz w:val="22"/>
        </w:rPr>
        <w:t xml:space="preserve">Source anchor: </w:t>
      </w:r>
      <w:r>
        <w:rPr>
          <w:rFonts w:ascii="Calibri" w:hAnsi="Calibri"/>
          <w:color w:val="000000"/>
          <w:sz w:val="22"/>
        </w:rPr>
        <w:t>The verbatim text span, page number, match metadata, and surrounding context supporting an item.</w:t>
      </w:r>
    </w:p>
    <w:p>
      <w:r>
        <w:rPr>
          <w:rFonts w:ascii="Calibri" w:hAnsi="Calibri"/>
          <w:b/>
          <w:color w:val="1F4D78"/>
          <w:sz w:val="22"/>
        </w:rPr>
        <w:t xml:space="preserve">Rectangle: </w:t>
      </w:r>
      <w:r>
        <w:rPr>
          <w:rFonts w:ascii="Calibri" w:hAnsi="Calibri"/>
          <w:color w:val="000000"/>
          <w:sz w:val="22"/>
        </w:rPr>
        <w:t>One or more page coordinates used to render the visual highlight over the PDF.</w:t>
      </w:r>
    </w:p>
    <w:p>
      <w:r>
        <w:rPr>
          <w:rFonts w:ascii="Calibri" w:hAnsi="Calibri"/>
          <w:b/>
          <w:color w:val="1F4D78"/>
          <w:sz w:val="22"/>
        </w:rPr>
        <w:t xml:space="preserve">Relationship: </w:t>
      </w:r>
      <w:r>
        <w:rPr>
          <w:rFonts w:ascii="Calibri" w:hAnsi="Calibri"/>
          <w:color w:val="000000"/>
          <w:sz w:val="22"/>
        </w:rPr>
        <w:t>A typed link between items or anchors, including aspiration-to-mechanism, duplicate, component-of, and consolidated-with.</w:t>
      </w:r>
    </w:p>
    <w:p>
      <w:r>
        <w:rPr>
          <w:rFonts w:ascii="Calibri" w:hAnsi="Calibri"/>
          <w:b/>
          <w:color w:val="1F4D78"/>
          <w:sz w:val="22"/>
        </w:rPr>
        <w:t xml:space="preserve">Review event: </w:t>
      </w:r>
      <w:r>
        <w:rPr>
          <w:rFonts w:ascii="Calibri" w:hAnsi="Calibri"/>
          <w:color w:val="000000"/>
          <w:sz w:val="22"/>
        </w:rPr>
        <w:t>An append-only record of a human decision, corrected value, comment, reviewer, timestamp, and prior state.</w:t>
      </w:r>
    </w:p>
    <w:p>
      <w:r>
        <w:rPr>
          <w:rFonts w:ascii="Calibri" w:hAnsi="Calibri"/>
          <w:b/>
          <w:color w:val="1F4D78"/>
          <w:sz w:val="22"/>
        </w:rPr>
        <w:t xml:space="preserve">Validated item: </w:t>
      </w:r>
      <w:r>
        <w:rPr>
          <w:rFonts w:ascii="Calibri" w:hAnsi="Calibri"/>
          <w:color w:val="000000"/>
          <w:sz w:val="22"/>
        </w:rPr>
        <w:t>The current adjudicated representation used for counting and export; it never replaces the original LLM record.</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9360"/>
      </w:tblGrid>
      <w:tr>
        <w:tc>
          <w:tcPr>
            <w:tcW w:type="dxa" w:w="9360"/>
            <w:tcMar>
              <w:top w:w="80" w:type="dxa"/>
              <w:start w:w="120" w:type="dxa"/>
              <w:bottom w:w="80" w:type="dxa"/>
              <w:end w:w="120" w:type="dxa"/>
            </w:tcMar>
            <w:vAlign w:val="center"/>
            <w:shd w:fill="FFF5D9"/>
          </w:tcPr>
          <w:p>
            <w:pPr>
              <w:spacing w:after="20"/>
            </w:pPr>
            <w:r>
              <w:rPr>
                <w:rFonts w:ascii="Calibri" w:hAnsi="Calibri"/>
                <w:b/>
                <w:color w:val="1F4D78"/>
                <w:sz w:val="20"/>
              </w:rPr>
              <w:t xml:space="preserve">Counting rule. </w:t>
            </w:r>
            <w:r>
              <w:rPr>
                <w:rFonts w:ascii="Calibri" w:hAnsi="Calibri"/>
                <w:color w:val="0B2545"/>
                <w:sz w:val="20"/>
              </w:rPr>
              <w:t>A record contributes to final reform-action counts only when the adjudicated decision is included, the count flag is yes, and the validated action represents the final unit of action. Aspirations do not count separately when they only frame a linked concrete mechanism.</w:t>
            </w:r>
          </w:p>
        </w:tc>
      </w:tr>
    </w:tbl>
    <w:p>
      <w:pPr>
        <w:spacing w:after="0"/>
      </w:pPr>
    </w:p>
    <w:p>
      <w:pPr>
        <w:pStyle w:val="Heading1"/>
        <w:keepNext/>
      </w:pPr>
      <w:r>
        <w:t>5. Reform-action review methodology in the application</w:t>
      </w:r>
    </w:p>
    <w:p>
      <w:pPr>
        <w:pStyle w:val="Heading2"/>
        <w:keepNext/>
      </w:pPr>
      <w:r>
        <w:t>Two candidate queues</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2500"/>
        <w:gridCol w:w="3430"/>
        <w:gridCol w:w="3430"/>
      </w:tblGrid>
      <w:tr>
        <w:trPr>
          <w:cantSplit/>
          <w:tblHeader w:val="true"/>
        </w:trPr>
        <w:tc>
          <w:tcPr>
            <w:tcW w:type="dxa" w:w="250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Queue</w:t>
            </w:r>
          </w:p>
        </w:tc>
        <w:tc>
          <w:tcPr>
            <w:tcW w:type="dxa" w:w="343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Purpose</w:t>
            </w:r>
          </w:p>
        </w:tc>
        <w:tc>
          <w:tcPr>
            <w:tcW w:type="dxa" w:w="343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Expected reviewer treatment</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High-confidence reform actions</w:t>
            </w:r>
          </w:p>
        </w:tc>
        <w:tc>
          <w:tcPr>
            <w:tcW w:type="dxa" w:w="3430"/>
            <w:tcMar>
              <w:top w:w="80" w:type="dxa"/>
              <w:start w:w="120" w:type="dxa"/>
              <w:bottom w:w="80" w:type="dxa"/>
              <w:end w:w="120" w:type="dxa"/>
            </w:tcMar>
            <w:vAlign w:val="center"/>
          </w:tcPr>
          <w:p>
            <w:pPr>
              <w:spacing w:before="0" w:after="40" w:line="252" w:lineRule="auto"/>
            </w:pPr>
            <w:r>
              <w:rPr>
                <w:rFonts w:ascii="Calibri" w:hAnsi="Calibri"/>
                <w:color w:val="000000"/>
                <w:sz w:val="18"/>
              </w:rPr>
              <w:t>Protect precision by surfacing candidates that clearly meet the reform-action definition.</w:t>
            </w:r>
          </w:p>
        </w:tc>
        <w:tc>
          <w:tcPr>
            <w:tcW w:type="dxa" w:w="3430"/>
            <w:tcMar>
              <w:top w:w="80" w:type="dxa"/>
              <w:start w:w="120" w:type="dxa"/>
              <w:bottom w:w="80" w:type="dxa"/>
              <w:end w:w="120" w:type="dxa"/>
            </w:tcMar>
            <w:vAlign w:val="center"/>
          </w:tcPr>
          <w:p>
            <w:pPr>
              <w:spacing w:before="0" w:after="40" w:line="252" w:lineRule="auto"/>
            </w:pPr>
            <w:r>
              <w:rPr>
                <w:rFonts w:ascii="Calibri" w:hAnsi="Calibri"/>
                <w:color w:val="000000"/>
                <w:sz w:val="18"/>
              </w:rPr>
              <w:t>Confirm evidence and classifications; correct only where needed.</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Potential / vague reform actions</w:t>
            </w:r>
          </w:p>
        </w:tc>
        <w:tc>
          <w:tcPr>
            <w:tcW w:type="dxa" w:w="3430"/>
            <w:tcMar>
              <w:top w:w="80" w:type="dxa"/>
              <w:start w:w="120" w:type="dxa"/>
              <w:bottom w:w="80" w:type="dxa"/>
              <w:end w:w="120" w:type="dxa"/>
            </w:tcMar>
            <w:vAlign w:val="center"/>
          </w:tcPr>
          <w:p>
            <w:pPr>
              <w:spacing w:before="0" w:after="40" w:line="252" w:lineRule="auto"/>
            </w:pPr>
            <w:r>
              <w:rPr>
                <w:rFonts w:ascii="Calibri" w:hAnsi="Calibri"/>
                <w:color w:val="000000"/>
                <w:sz w:val="18"/>
              </w:rPr>
              <w:t>Protect recall by retaining plausible but uncertain passages for human assessment.</w:t>
            </w:r>
          </w:p>
        </w:tc>
        <w:tc>
          <w:tcPr>
            <w:tcW w:type="dxa" w:w="3430"/>
            <w:tcMar>
              <w:top w:w="80" w:type="dxa"/>
              <w:start w:w="120" w:type="dxa"/>
              <w:bottom w:w="80" w:type="dxa"/>
              <w:end w:w="120" w:type="dxa"/>
            </w:tcMar>
            <w:vAlign w:val="center"/>
          </w:tcPr>
          <w:p>
            <w:pPr>
              <w:spacing w:before="0" w:after="40" w:line="252" w:lineRule="auto"/>
            </w:pPr>
            <w:r>
              <w:rPr>
                <w:rFonts w:ascii="Calibri" w:hAnsi="Calibri"/>
                <w:color w:val="000000"/>
                <w:sz w:val="18"/>
              </w:rPr>
              <w:t>Decide inclusion or exclusion explicitly; document the reason and any linked evidence.</w:t>
            </w:r>
          </w:p>
        </w:tc>
      </w:tr>
    </w:tbl>
    <w:p>
      <w:r>
        <w:t>The queues are separate analytical datasets or views, not separate evidence systems. Both use the same source anchoring, review history, and adjudication rules. Reviewers should be able to filter by queue, country, confidence, status, thematic classification, actor, instrument, and uncertainty reason.</w:t>
      </w:r>
    </w:p>
    <w:p>
      <w:pPr>
        <w:pStyle w:val="Heading2"/>
        <w:keepNext/>
      </w:pPr>
      <w:r>
        <w:t>Reform aspirations</w:t>
      </w:r>
    </w:p>
    <w:p>
      <w:r>
        <w:t>A reform aspiration states a desired direction or end state—such as improved governance, stronger resilience, or more sustainable financing—without itself specifying a sufficiently concrete mechanism or implementation change. Aspirations are methodologically important because they can explain intent and may be linked to a specific mechanism elsewhere in the compact.</w:t>
      </w:r>
    </w:p>
    <w:p>
      <w:pPr>
        <w:pStyle w:val="ListBullet"/>
      </w:pPr>
      <w:r>
        <w:t>Flag aspiration status explicitly rather than forcing the passage into the high-confidence action queue.</w:t>
      </w:r>
    </w:p>
    <w:p>
      <w:pPr>
        <w:pStyle w:val="ListBullet"/>
      </w:pPr>
      <w:r>
        <w:t>Create an aspiration-to-mechanism relationship when a concrete action operationalizes the aspiration.</w:t>
      </w:r>
    </w:p>
    <w:p>
      <w:pPr>
        <w:pStyle w:val="ListBullet"/>
      </w:pPr>
      <w:r>
        <w:t>Display aspiration and mechanism together for human review, including both source anchors.</w:t>
      </w:r>
    </w:p>
    <w:p>
      <w:pPr>
        <w:pStyle w:val="ListBullet"/>
      </w:pPr>
      <w:r>
        <w:t>Do not count the aspiration as a separate reform action when it merely frames the linked mechanism.</w:t>
      </w:r>
    </w:p>
    <w:p>
      <w:pPr>
        <w:pStyle w:val="ListBullet"/>
      </w:pPr>
      <w:r>
        <w:t>Allow inclusion only when the aspiration passage itself contains sufficient operational content under the methodology.</w:t>
      </w:r>
    </w:p>
    <w:p>
      <w:pPr>
        <w:pStyle w:val="Heading1"/>
        <w:keepNext/>
      </w:pPr>
      <w:r>
        <w:t>6. Review workspace and core functions</w:t>
      </w:r>
    </w:p>
    <w:p>
      <w:pPr>
        <w:pStyle w:val="Heading2"/>
        <w:keepNext/>
      </w:pPr>
      <w:r>
        <w:t>Synchronized evidence view</w:t>
      </w:r>
    </w:p>
    <w:p>
      <w:pPr>
        <w:keepLines/>
      </w:pPr>
      <w:r>
        <w:t>The primary screen should place the candidate record and review controls beside an embedded PDF viewer. Selecting a candidate opens the correct compact and page, scrolls to the source, and draws the stored rectangles. Selecting a highlight should identify the linked candidate or relationship. Tooltips can display anchor text, page, match quality, and anchor ID.</w:t>
      </w:r>
    </w:p>
    <w:p>
      <w:pPr>
        <w:pStyle w:val="Heading2"/>
        <w:keepNext/>
      </w:pPr>
      <w:r>
        <w:t>Required functions</w:t>
      </w:r>
    </w:p>
    <w:p>
      <w:pPr>
        <w:pStyle w:val="ListBullet"/>
      </w:pPr>
      <w:r>
        <w:t>Country and document selection, full-text search, filters, sorting, and next/previous item navigation.</w:t>
      </w:r>
    </w:p>
    <w:p>
      <w:pPr>
        <w:pStyle w:val="ListBullet"/>
      </w:pPr>
      <w:r>
        <w:t>Switching among multiple anchors for one candidate and among related aspiration–mechanism evidence.</w:t>
      </w:r>
    </w:p>
    <w:p>
      <w:pPr>
        <w:pStyle w:val="ListBullet"/>
      </w:pPr>
      <w:r>
        <w:t>Accept, correct, reject, defer, or send to adjudication.</w:t>
      </w:r>
    </w:p>
    <w:p>
      <w:pPr>
        <w:pStyle w:val="ListBullet"/>
      </w:pPr>
      <w:r>
        <w:t>Edit the validated action wording and classification fields while retaining the original LLM values side by side.</w:t>
      </w:r>
    </w:p>
    <w:p>
      <w:pPr>
        <w:pStyle w:val="ListBullet"/>
      </w:pPr>
      <w:r>
        <w:t>Split a compound candidate into multiple validated items or consolidate duplicates into one final item.</w:t>
      </w:r>
    </w:p>
    <w:p>
      <w:pPr>
        <w:pStyle w:val="ListBullet"/>
      </w:pPr>
      <w:r>
        <w:t>Add structured exclusion reasons, uncertainty reasons, reviewer comments, and relationship types.</w:t>
      </w:r>
    </w:p>
    <w:p>
      <w:pPr>
        <w:pStyle w:val="ListBullet"/>
      </w:pPr>
      <w:r>
        <w:t>Correct anchor text or rectangles through a new review event, retaining the original coordinates.</w:t>
      </w:r>
    </w:p>
    <w:p>
      <w:pPr>
        <w:pStyle w:val="ListBullet"/>
      </w:pPr>
      <w:r>
        <w:t>Show review history, current state, assignment, and progress by country, queue, and reviewer.</w:t>
      </w:r>
    </w:p>
    <w:p>
      <w:pPr>
        <w:pStyle w:val="ListBullet"/>
      </w:pPr>
      <w:r>
        <w:t>Export original candidates, validated items, anchors, rectangles, relationships, and audit events as separate linked datasets.</w:t>
      </w:r>
    </w:p>
    <w:p>
      <w:pPr>
        <w:pStyle w:val="Heading2"/>
        <w:keepNext/>
      </w:pPr>
      <w:r>
        <w:t>Review states</w:t>
      </w:r>
    </w:p>
    <w:p>
      <w:pPr>
        <w:pStyle w:val="ListBullet"/>
      </w:pPr>
      <w:r>
        <w:t>Unreviewed — loaded from the LLM output and awaiting human assessment.</w:t>
      </w:r>
    </w:p>
    <w:p>
      <w:pPr>
        <w:pStyle w:val="ListBullet"/>
      </w:pPr>
      <w:r>
        <w:t>In review — opened or assigned, with no completed decision.</w:t>
      </w:r>
    </w:p>
    <w:p>
      <w:pPr>
        <w:pStyle w:val="ListBullet"/>
      </w:pPr>
      <w:r>
        <w:t>Accepted — included without substantive correction.</w:t>
      </w:r>
    </w:p>
    <w:p>
      <w:pPr>
        <w:pStyle w:val="ListBullet"/>
      </w:pPr>
      <w:r>
        <w:t>Corrected — included with revised wording, classifications, count treatment, or source geometry.</w:t>
      </w:r>
    </w:p>
    <w:p>
      <w:pPr>
        <w:pStyle w:val="ListBullet"/>
      </w:pPr>
      <w:r>
        <w:t>Rejected — excluded with a structured reason.</w:t>
      </w:r>
    </w:p>
    <w:p>
      <w:pPr>
        <w:pStyle w:val="ListBullet"/>
      </w:pPr>
      <w:r>
        <w:t>Needs adjudication — methodological or reviewer disagreement requires resolution.</w:t>
      </w:r>
    </w:p>
    <w:p>
      <w:pPr>
        <w:pStyle w:val="ListBullet"/>
      </w:pPr>
      <w:r>
        <w:t>Validated — adjudication complete and eligible for final export and counting.</w:t>
      </w:r>
    </w:p>
    <w:p>
      <w:pPr>
        <w:pStyle w:val="Heading1"/>
        <w:keepNext/>
      </w:pPr>
      <w:r>
        <w:t>7. Auditability, integrity, and data protection</w:t>
      </w:r>
    </w:p>
    <w:p>
      <w:pPr>
        <w:pStyle w:val="Heading2"/>
        <w:keepNext/>
      </w:pPr>
      <w:r>
        <w:t>Immutable original layer</w:t>
      </w:r>
    </w:p>
    <w:p>
      <w:r>
        <w:t>The application must preserve the original LLM classifications, source anchors, rectangle coordinates, confidence assessment, and candidate wording. Human corrections belong in a review or validated layer. The interface should make the distinction visible so that users can compare model output with the latest human-approved state.</w:t>
      </w:r>
    </w:p>
    <w:p>
      <w:pPr>
        <w:pStyle w:val="Heading2"/>
        <w:keepNext/>
      </w:pPr>
      <w:r>
        <w:t>Minimum audit fields</w:t>
      </w:r>
    </w:p>
    <w:p>
      <w:pPr>
        <w:pStyle w:val="ListBullet"/>
      </w:pPr>
      <w:r>
        <w:t>Reviewer identity and role.</w:t>
      </w:r>
    </w:p>
    <w:p>
      <w:pPr>
        <w:pStyle w:val="ListBullet"/>
      </w:pPr>
      <w:r>
        <w:t>Review timestamp and event identifier.</w:t>
      </w:r>
    </w:p>
    <w:p>
      <w:pPr>
        <w:pStyle w:val="ListBullet"/>
      </w:pPr>
      <w:r>
        <w:t>Decision and structured reason.</w:t>
      </w:r>
    </w:p>
    <w:p>
      <w:pPr>
        <w:pStyle w:val="ListBullet"/>
      </w:pPr>
      <w:r>
        <w:t>Field-level prior and corrected values.</w:t>
      </w:r>
    </w:p>
    <w:p>
      <w:pPr>
        <w:pStyle w:val="ListBullet"/>
      </w:pPr>
      <w:r>
        <w:t>Corrected wording, anchor, or rectangle coordinates where applicable.</w:t>
      </w:r>
    </w:p>
    <w:p>
      <w:pPr>
        <w:pStyle w:val="ListBullet"/>
      </w:pPr>
      <w:r>
        <w:t>Reviewer comment and adjudication note.</w:t>
      </w:r>
    </w:p>
    <w:p>
      <w:pPr>
        <w:pStyle w:val="ListBullet"/>
      </w:pPr>
      <w:r>
        <w:t>Relationship created, changed, or retired.</w:t>
      </w:r>
    </w:p>
    <w:p>
      <w:pPr>
        <w:pStyle w:val="ListBullet"/>
      </w:pPr>
      <w:r>
        <w:t>Dataset and document version used for the decision.</w:t>
      </w:r>
    </w:p>
    <w:p>
      <w:pPr>
        <w:pStyle w:val="Heading2"/>
        <w:keepNext/>
      </w:pPr>
      <w:r>
        <w:t>Integrity controls</w:t>
      </w:r>
    </w:p>
    <w:p>
      <w:pPr>
        <w:pStyle w:val="ListBullet"/>
      </w:pPr>
      <w:r>
        <w:t>Validate candidate, anchor, rectangle, relationship, document, and page references on import.</w:t>
      </w:r>
    </w:p>
    <w:p>
      <w:pPr>
        <w:pStyle w:val="ListBullet"/>
      </w:pPr>
      <w:r>
        <w:t>Verify compact file hashes and page counts so stored coordinates are used only with the matching PDF version.</w:t>
      </w:r>
    </w:p>
    <w:p>
      <w:pPr>
        <w:pStyle w:val="ListBullet"/>
      </w:pPr>
      <w:r>
        <w:t>Use database constraints and server-side transactions for split, merge, and adjudication operations.</w:t>
      </w:r>
    </w:p>
    <w:p>
      <w:pPr>
        <w:pStyle w:val="ListBullet"/>
      </w:pPr>
      <w:r>
        <w:t>Keep credentials and database secrets server-side; apply role-based access and routine backups.</w:t>
      </w:r>
    </w:p>
    <w:p>
      <w:pPr>
        <w:pStyle w:val="ListBullet"/>
      </w:pPr>
      <w:r>
        <w:t>Generate integrity reports for unresolved anchors, orphan records, invalid coordinates, and inconsistent review states.</w:t>
      </w:r>
    </w:p>
    <w:p>
      <w:pPr>
        <w:pStyle w:val="Heading1"/>
        <w:keepNext/>
      </w:pPr>
      <w:r>
        <w:t>8. Future extensibility</w:t>
      </w:r>
    </w:p>
    <w:p>
      <w:r>
        <w:t>Compact SourceLink should be implemented around a generic review-item service, not a database table or interface hard-coded only for reform actions. Documents, anchors, rectangles, relationships, comments, assignments, decisions, filters, and navigation are reusable. Each item type then supplies its own variable definitions, decision rules, validation form, and export schema.</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2550"/>
        <w:gridCol w:w="3500"/>
        <w:gridCol w:w="3310"/>
      </w:tblGrid>
      <w:tr>
        <w:trPr>
          <w:cantSplit/>
          <w:tblHeader w:val="true"/>
        </w:trPr>
        <w:tc>
          <w:tcPr>
            <w:tcW w:type="dxa" w:w="255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Shared capability</w:t>
            </w:r>
          </w:p>
        </w:tc>
        <w:tc>
          <w:tcPr>
            <w:tcW w:type="dxa" w:w="350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Reused across item types</w:t>
            </w:r>
          </w:p>
        </w:tc>
        <w:tc>
          <w:tcPr>
            <w:tcW w:type="dxa" w:w="331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Item-specific layer</w:t>
            </w:r>
          </w:p>
        </w:tc>
      </w:tr>
      <w:tr>
        <w:trPr>
          <w:cantSplit/>
        </w:trPr>
        <w:tc>
          <w:tcPr>
            <w:tcW w:type="dxa" w:w="2550"/>
            <w:tcMar>
              <w:top w:w="80" w:type="dxa"/>
              <w:start w:w="120" w:type="dxa"/>
              <w:bottom w:w="80" w:type="dxa"/>
              <w:end w:w="120" w:type="dxa"/>
            </w:tcMar>
            <w:vAlign w:val="center"/>
          </w:tcPr>
          <w:p>
            <w:pPr>
              <w:spacing w:before="0" w:after="40" w:line="252" w:lineRule="auto"/>
            </w:pPr>
            <w:r>
              <w:rPr>
                <w:rFonts w:ascii="Calibri" w:hAnsi="Calibri"/>
                <w:color w:val="000000"/>
                <w:sz w:val="18"/>
              </w:rPr>
              <w:t>Evidence</w:t>
            </w:r>
          </w:p>
        </w:tc>
        <w:tc>
          <w:tcPr>
            <w:tcW w:type="dxa" w:w="3500"/>
            <w:tcMar>
              <w:top w:w="80" w:type="dxa"/>
              <w:start w:w="120" w:type="dxa"/>
              <w:bottom w:w="80" w:type="dxa"/>
              <w:end w:w="120" w:type="dxa"/>
            </w:tcMar>
            <w:vAlign w:val="center"/>
          </w:tcPr>
          <w:p>
            <w:pPr>
              <w:spacing w:before="0" w:after="40" w:line="252" w:lineRule="auto"/>
            </w:pPr>
            <w:r>
              <w:rPr>
                <w:rFonts w:ascii="Calibri" w:hAnsi="Calibri"/>
                <w:color w:val="000000"/>
                <w:sz w:val="18"/>
              </w:rPr>
              <w:t>Documents, pages, anchors, rectangles, context</w:t>
            </w:r>
          </w:p>
        </w:tc>
        <w:tc>
          <w:tcPr>
            <w:tcW w:type="dxa" w:w="3310"/>
            <w:tcMar>
              <w:top w:w="80" w:type="dxa"/>
              <w:start w:w="120" w:type="dxa"/>
              <w:bottom w:w="80" w:type="dxa"/>
              <w:end w:w="120" w:type="dxa"/>
            </w:tcMar>
            <w:vAlign w:val="center"/>
          </w:tcPr>
          <w:p>
            <w:pPr>
              <w:spacing w:before="0" w:after="40" w:line="252" w:lineRule="auto"/>
            </w:pPr>
            <w:r>
              <w:rPr>
                <w:rFonts w:ascii="Calibri" w:hAnsi="Calibri"/>
                <w:color w:val="000000"/>
                <w:sz w:val="18"/>
              </w:rPr>
              <w:t>What constitutes sufficient evidence</w:t>
            </w:r>
          </w:p>
        </w:tc>
      </w:tr>
      <w:tr>
        <w:trPr>
          <w:cantSplit/>
        </w:trPr>
        <w:tc>
          <w:tcPr>
            <w:tcW w:type="dxa" w:w="2550"/>
            <w:tcMar>
              <w:top w:w="80" w:type="dxa"/>
              <w:start w:w="120" w:type="dxa"/>
              <w:bottom w:w="80" w:type="dxa"/>
              <w:end w:w="120" w:type="dxa"/>
            </w:tcMar>
            <w:vAlign w:val="center"/>
          </w:tcPr>
          <w:p>
            <w:pPr>
              <w:spacing w:before="0" w:after="40" w:line="252" w:lineRule="auto"/>
            </w:pPr>
            <w:r>
              <w:rPr>
                <w:rFonts w:ascii="Calibri" w:hAnsi="Calibri"/>
                <w:color w:val="000000"/>
                <w:sz w:val="18"/>
              </w:rPr>
              <w:t>Review</w:t>
            </w:r>
          </w:p>
        </w:tc>
        <w:tc>
          <w:tcPr>
            <w:tcW w:type="dxa" w:w="3500"/>
            <w:tcMar>
              <w:top w:w="80" w:type="dxa"/>
              <w:start w:w="120" w:type="dxa"/>
              <w:bottom w:w="80" w:type="dxa"/>
              <w:end w:w="120" w:type="dxa"/>
            </w:tcMar>
            <w:vAlign w:val="center"/>
          </w:tcPr>
          <w:p>
            <w:pPr>
              <w:spacing w:before="0" w:after="40" w:line="252" w:lineRule="auto"/>
            </w:pPr>
            <w:r>
              <w:rPr>
                <w:rFonts w:ascii="Calibri" w:hAnsi="Calibri"/>
                <w:color w:val="000000"/>
                <w:sz w:val="18"/>
              </w:rPr>
              <w:t>Assignments, comments, decisions, audit history</w:t>
            </w:r>
          </w:p>
        </w:tc>
        <w:tc>
          <w:tcPr>
            <w:tcW w:type="dxa" w:w="3310"/>
            <w:tcMar>
              <w:top w:w="80" w:type="dxa"/>
              <w:start w:w="120" w:type="dxa"/>
              <w:bottom w:w="80" w:type="dxa"/>
              <w:end w:w="120" w:type="dxa"/>
            </w:tcMar>
            <w:vAlign w:val="center"/>
          </w:tcPr>
          <w:p>
            <w:pPr>
              <w:spacing w:before="0" w:after="40" w:line="252" w:lineRule="auto"/>
            </w:pPr>
            <w:r>
              <w:rPr>
                <w:rFonts w:ascii="Calibri" w:hAnsi="Calibri"/>
                <w:color w:val="000000"/>
                <w:sz w:val="18"/>
              </w:rPr>
              <w:t>Allowed decisions and structured reasons</w:t>
            </w:r>
          </w:p>
        </w:tc>
      </w:tr>
      <w:tr>
        <w:trPr>
          <w:cantSplit/>
        </w:trPr>
        <w:tc>
          <w:tcPr>
            <w:tcW w:type="dxa" w:w="2550"/>
            <w:tcMar>
              <w:top w:w="80" w:type="dxa"/>
              <w:start w:w="120" w:type="dxa"/>
              <w:bottom w:w="80" w:type="dxa"/>
              <w:end w:w="120" w:type="dxa"/>
            </w:tcMar>
            <w:vAlign w:val="center"/>
          </w:tcPr>
          <w:p>
            <w:pPr>
              <w:spacing w:before="0" w:after="40" w:line="252" w:lineRule="auto"/>
            </w:pPr>
            <w:r>
              <w:rPr>
                <w:rFonts w:ascii="Calibri" w:hAnsi="Calibri"/>
                <w:color w:val="000000"/>
                <w:sz w:val="18"/>
              </w:rPr>
              <w:t>Classification</w:t>
            </w:r>
          </w:p>
        </w:tc>
        <w:tc>
          <w:tcPr>
            <w:tcW w:type="dxa" w:w="3500"/>
            <w:tcMar>
              <w:top w:w="80" w:type="dxa"/>
              <w:start w:w="120" w:type="dxa"/>
              <w:bottom w:w="80" w:type="dxa"/>
              <w:end w:w="120" w:type="dxa"/>
            </w:tcMar>
            <w:vAlign w:val="center"/>
          </w:tcPr>
          <w:p>
            <w:pPr>
              <w:spacing w:before="0" w:after="40" w:line="252" w:lineRule="auto"/>
            </w:pPr>
            <w:r>
              <w:rPr>
                <w:rFonts w:ascii="Calibri" w:hAnsi="Calibri"/>
                <w:color w:val="000000"/>
                <w:sz w:val="18"/>
              </w:rPr>
              <w:t>Forms, controlled vocabularies, validation</w:t>
            </w:r>
          </w:p>
        </w:tc>
        <w:tc>
          <w:tcPr>
            <w:tcW w:type="dxa" w:w="3310"/>
            <w:tcMar>
              <w:top w:w="80" w:type="dxa"/>
              <w:start w:w="120" w:type="dxa"/>
              <w:bottom w:w="80" w:type="dxa"/>
              <w:end w:w="120" w:type="dxa"/>
            </w:tcMar>
            <w:vAlign w:val="center"/>
          </w:tcPr>
          <w:p>
            <w:pPr>
              <w:spacing w:before="0" w:after="40" w:line="252" w:lineRule="auto"/>
            </w:pPr>
            <w:r>
              <w:rPr>
                <w:rFonts w:ascii="Calibri" w:hAnsi="Calibri"/>
                <w:color w:val="000000"/>
                <w:sz w:val="18"/>
              </w:rPr>
              <w:t>Variables and taxonomies for actions, targets, or challenges</w:t>
            </w:r>
          </w:p>
        </w:tc>
      </w:tr>
      <w:tr>
        <w:trPr>
          <w:cantSplit/>
        </w:trPr>
        <w:tc>
          <w:tcPr>
            <w:tcW w:type="dxa" w:w="2550"/>
            <w:tcMar>
              <w:top w:w="80" w:type="dxa"/>
              <w:start w:w="120" w:type="dxa"/>
              <w:bottom w:w="80" w:type="dxa"/>
              <w:end w:w="120" w:type="dxa"/>
            </w:tcMar>
            <w:vAlign w:val="center"/>
          </w:tcPr>
          <w:p>
            <w:pPr>
              <w:spacing w:before="0" w:after="40" w:line="252" w:lineRule="auto"/>
            </w:pPr>
            <w:r>
              <w:rPr>
                <w:rFonts w:ascii="Calibri" w:hAnsi="Calibri"/>
                <w:color w:val="000000"/>
                <w:sz w:val="18"/>
              </w:rPr>
              <w:t>Relationships</w:t>
            </w:r>
          </w:p>
        </w:tc>
        <w:tc>
          <w:tcPr>
            <w:tcW w:type="dxa" w:w="3500"/>
            <w:tcMar>
              <w:top w:w="80" w:type="dxa"/>
              <w:start w:w="120" w:type="dxa"/>
              <w:bottom w:w="80" w:type="dxa"/>
              <w:end w:w="120" w:type="dxa"/>
            </w:tcMar>
            <w:vAlign w:val="center"/>
          </w:tcPr>
          <w:p>
            <w:pPr>
              <w:spacing w:before="0" w:after="40" w:line="252" w:lineRule="auto"/>
            </w:pPr>
            <w:r>
              <w:rPr>
                <w:rFonts w:ascii="Calibri" w:hAnsi="Calibri"/>
                <w:color w:val="000000"/>
                <w:sz w:val="18"/>
              </w:rPr>
              <w:t>Typed links and multi-anchor navigation</w:t>
            </w:r>
          </w:p>
        </w:tc>
        <w:tc>
          <w:tcPr>
            <w:tcW w:type="dxa" w:w="3310"/>
            <w:tcMar>
              <w:top w:w="80" w:type="dxa"/>
              <w:start w:w="120" w:type="dxa"/>
              <w:bottom w:w="80" w:type="dxa"/>
              <w:end w:w="120" w:type="dxa"/>
            </w:tcMar>
            <w:vAlign w:val="center"/>
          </w:tcPr>
          <w:p>
            <w:pPr>
              <w:spacing w:before="0" w:after="40" w:line="252" w:lineRule="auto"/>
            </w:pPr>
            <w:r>
              <w:rPr>
                <w:rFonts w:ascii="Calibri" w:hAnsi="Calibri"/>
                <w:color w:val="000000"/>
                <w:sz w:val="18"/>
              </w:rPr>
              <w:t>Permitted relationship types and counting implications</w:t>
            </w:r>
          </w:p>
        </w:tc>
      </w:tr>
      <w:tr>
        <w:trPr>
          <w:cantSplit/>
        </w:trPr>
        <w:tc>
          <w:tcPr>
            <w:tcW w:type="dxa" w:w="2550"/>
            <w:tcMar>
              <w:top w:w="80" w:type="dxa"/>
              <w:start w:w="120" w:type="dxa"/>
              <w:bottom w:w="80" w:type="dxa"/>
              <w:end w:w="120" w:type="dxa"/>
            </w:tcMar>
            <w:vAlign w:val="center"/>
          </w:tcPr>
          <w:p>
            <w:pPr>
              <w:spacing w:before="0" w:after="40" w:line="252" w:lineRule="auto"/>
            </w:pPr>
            <w:r>
              <w:rPr>
                <w:rFonts w:ascii="Calibri" w:hAnsi="Calibri"/>
                <w:color w:val="000000"/>
                <w:sz w:val="18"/>
              </w:rPr>
              <w:t>Outputs</w:t>
            </w:r>
          </w:p>
        </w:tc>
        <w:tc>
          <w:tcPr>
            <w:tcW w:type="dxa" w:w="3500"/>
            <w:tcMar>
              <w:top w:w="80" w:type="dxa"/>
              <w:start w:w="120" w:type="dxa"/>
              <w:bottom w:w="80" w:type="dxa"/>
              <w:end w:w="120" w:type="dxa"/>
            </w:tcMar>
            <w:vAlign w:val="center"/>
          </w:tcPr>
          <w:p>
            <w:pPr>
              <w:spacing w:before="0" w:after="40" w:line="252" w:lineRule="auto"/>
            </w:pPr>
            <w:r>
              <w:rPr>
                <w:rFonts w:ascii="Calibri" w:hAnsi="Calibri"/>
                <w:color w:val="000000"/>
                <w:sz w:val="18"/>
              </w:rPr>
              <w:t>Linked exports and progress summaries</w:t>
            </w:r>
          </w:p>
        </w:tc>
        <w:tc>
          <w:tcPr>
            <w:tcW w:type="dxa" w:w="3310"/>
            <w:tcMar>
              <w:top w:w="80" w:type="dxa"/>
              <w:start w:w="120" w:type="dxa"/>
              <w:bottom w:w="80" w:type="dxa"/>
              <w:end w:w="120" w:type="dxa"/>
            </w:tcMar>
            <w:vAlign w:val="center"/>
          </w:tcPr>
          <w:p>
            <w:pPr>
              <w:spacing w:before="0" w:after="40" w:line="252" w:lineRule="auto"/>
            </w:pPr>
            <w:r>
              <w:rPr>
                <w:rFonts w:ascii="Calibri" w:hAnsi="Calibri"/>
                <w:color w:val="000000"/>
                <w:sz w:val="18"/>
              </w:rPr>
              <w:t>Final analytical schema and counting rules</w:t>
            </w:r>
          </w:p>
        </w:tc>
      </w:tr>
    </w:tbl>
    <w:p>
      <w:pPr>
        <w:spacing w:after="0"/>
      </w:pP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9360"/>
      </w:tblGrid>
      <w:tr>
        <w:tc>
          <w:tcPr>
            <w:tcW w:type="dxa" w:w="9360"/>
            <w:tcMar>
              <w:top w:w="80" w:type="dxa"/>
              <w:start w:w="120" w:type="dxa"/>
              <w:bottom w:w="80" w:type="dxa"/>
              <w:end w:w="120" w:type="dxa"/>
            </w:tcMar>
            <w:vAlign w:val="center"/>
            <w:shd w:fill="E8EEF5"/>
          </w:tcPr>
          <w:p>
            <w:pPr>
              <w:spacing w:after="20"/>
            </w:pPr>
            <w:r>
              <w:rPr>
                <w:rFonts w:ascii="Calibri" w:hAnsi="Calibri"/>
                <w:b/>
                <w:color w:val="1F4D78"/>
                <w:sz w:val="20"/>
              </w:rPr>
              <w:t xml:space="preserve">Boundary for the pilot. </w:t>
            </w:r>
            <w:r>
              <w:rPr>
                <w:rFonts w:ascii="Calibri" w:hAnsi="Calibri"/>
                <w:color w:val="0B2545"/>
                <w:sz w:val="20"/>
              </w:rPr>
              <w:t>Targets and challenges should be represented in the architecture but not coded through reform-action rules. Their detailed forms and taxonomies should be activated only after their methodologies are approved.</w:t>
            </w:r>
          </w:p>
        </w:tc>
      </w:tr>
    </w:tbl>
    <w:p>
      <w:pPr>
        <w:spacing w:after="0"/>
      </w:pPr>
    </w:p>
    <w:p>
      <w:pPr>
        <w:pStyle w:val="Heading1"/>
        <w:keepNext/>
      </w:pPr>
      <w:r>
        <w:t>9. Implementation approach</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1500"/>
        <w:gridCol w:w="2900"/>
        <w:gridCol w:w="2700"/>
        <w:gridCol w:w="2260"/>
      </w:tblGrid>
      <w:tr>
        <w:trPr>
          <w:cantSplit/>
          <w:tblHeader w:val="true"/>
        </w:trPr>
        <w:tc>
          <w:tcPr>
            <w:tcW w:type="dxa" w:w="150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Phase</w:t>
            </w:r>
          </w:p>
        </w:tc>
        <w:tc>
          <w:tcPr>
            <w:tcW w:type="dxa" w:w="290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Focus</w:t>
            </w:r>
          </w:p>
        </w:tc>
        <w:tc>
          <w:tcPr>
            <w:tcW w:type="dxa" w:w="270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Main outputs</w:t>
            </w:r>
          </w:p>
        </w:tc>
        <w:tc>
          <w:tcPr>
            <w:tcW w:type="dxa" w:w="226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Exit criterion</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7"/>
              </w:rPr>
              <w:t>1. Foundation</w:t>
            </w:r>
          </w:p>
        </w:tc>
        <w:tc>
          <w:tcPr>
            <w:tcW w:type="dxa" w:w="2900"/>
            <w:tcMar>
              <w:top w:w="80" w:type="dxa"/>
              <w:start w:w="120" w:type="dxa"/>
              <w:bottom w:w="80" w:type="dxa"/>
              <w:end w:w="120" w:type="dxa"/>
            </w:tcMar>
            <w:vAlign w:val="center"/>
          </w:tcPr>
          <w:p>
            <w:pPr>
              <w:spacing w:before="0" w:after="40" w:line="252" w:lineRule="auto"/>
            </w:pPr>
            <w:r>
              <w:rPr>
                <w:rFonts w:ascii="Calibri" w:hAnsi="Calibri"/>
                <w:color w:val="000000"/>
                <w:sz w:val="17"/>
              </w:rPr>
              <w:t>Load three PDFs and source-linked datasets; establish users and immutable source layer.</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Database, document viewer, imports, integrity checks.</w:t>
            </w:r>
          </w:p>
        </w:tc>
        <w:tc>
          <w:tcPr>
            <w:tcW w:type="dxa" w:w="2260"/>
            <w:tcMar>
              <w:top w:w="80" w:type="dxa"/>
              <w:start w:w="120" w:type="dxa"/>
              <w:bottom w:w="80" w:type="dxa"/>
              <w:end w:w="120" w:type="dxa"/>
            </w:tcMar>
            <w:vAlign w:val="center"/>
          </w:tcPr>
          <w:p>
            <w:pPr>
              <w:spacing w:before="0" w:after="40" w:line="252" w:lineRule="auto"/>
            </w:pPr>
            <w:r>
              <w:rPr>
                <w:rFonts w:ascii="Calibri" w:hAnsi="Calibri"/>
                <w:color w:val="000000"/>
                <w:sz w:val="17"/>
              </w:rPr>
              <w:t>All candidates open on the correct page with valid evidence links.</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7"/>
              </w:rPr>
              <w:t>2. Review MVP</w:t>
            </w:r>
          </w:p>
        </w:tc>
        <w:tc>
          <w:tcPr>
            <w:tcW w:type="dxa" w:w="2900"/>
            <w:tcMar>
              <w:top w:w="80" w:type="dxa"/>
              <w:start w:w="120" w:type="dxa"/>
              <w:bottom w:w="80" w:type="dxa"/>
              <w:end w:w="120" w:type="dxa"/>
            </w:tcMar>
            <w:vAlign w:val="center"/>
          </w:tcPr>
          <w:p>
            <w:pPr>
              <w:spacing w:before="0" w:after="40" w:line="252" w:lineRule="auto"/>
            </w:pPr>
            <w:r>
              <w:rPr>
                <w:rFonts w:ascii="Calibri" w:hAnsi="Calibri"/>
                <w:color w:val="000000"/>
                <w:sz w:val="17"/>
              </w:rPr>
              <w:t>Enable decisions, corrections, comments, filters, relationships, and audit history.</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Usable reviewer workspace and linked exports.</w:t>
            </w:r>
          </w:p>
        </w:tc>
        <w:tc>
          <w:tcPr>
            <w:tcW w:type="dxa" w:w="2260"/>
            <w:tcMar>
              <w:top w:w="80" w:type="dxa"/>
              <w:start w:w="120" w:type="dxa"/>
              <w:bottom w:w="80" w:type="dxa"/>
              <w:end w:w="120" w:type="dxa"/>
            </w:tcMar>
            <w:vAlign w:val="center"/>
          </w:tcPr>
          <w:p>
            <w:pPr>
              <w:spacing w:before="0" w:after="40" w:line="252" w:lineRule="auto"/>
            </w:pPr>
            <w:r>
              <w:rPr>
                <w:rFonts w:ascii="Calibri" w:hAnsi="Calibri"/>
                <w:color w:val="000000"/>
                <w:sz w:val="17"/>
              </w:rPr>
              <w:t>Reviewers can complete end-to-end validation without external editing.</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7"/>
              </w:rPr>
              <w:t>3. Pilot review</w:t>
            </w:r>
          </w:p>
        </w:tc>
        <w:tc>
          <w:tcPr>
            <w:tcW w:type="dxa" w:w="2900"/>
            <w:tcMar>
              <w:top w:w="80" w:type="dxa"/>
              <w:start w:w="120" w:type="dxa"/>
              <w:bottom w:w="80" w:type="dxa"/>
              <w:end w:w="120" w:type="dxa"/>
            </w:tcMar>
            <w:vAlign w:val="center"/>
          </w:tcPr>
          <w:p>
            <w:pPr>
              <w:spacing w:before="0" w:after="40" w:line="252" w:lineRule="auto"/>
            </w:pPr>
            <w:r>
              <w:rPr>
                <w:rFonts w:ascii="Calibri" w:hAnsi="Calibri"/>
                <w:color w:val="000000"/>
                <w:sz w:val="17"/>
              </w:rPr>
              <w:t>Run structured review across the three compacts; calibrate rules and adjudicate difficult cases.</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Validated pilot dataset, issue log, reviewer metrics.</w:t>
            </w:r>
          </w:p>
        </w:tc>
        <w:tc>
          <w:tcPr>
            <w:tcW w:type="dxa" w:w="2260"/>
            <w:tcMar>
              <w:top w:w="80" w:type="dxa"/>
              <w:start w:w="120" w:type="dxa"/>
              <w:bottom w:w="80" w:type="dxa"/>
              <w:end w:w="120" w:type="dxa"/>
            </w:tcMar>
            <w:vAlign w:val="center"/>
          </w:tcPr>
          <w:p>
            <w:pPr>
              <w:spacing w:before="0" w:after="40" w:line="252" w:lineRule="auto"/>
            </w:pPr>
            <w:r>
              <w:rPr>
                <w:rFonts w:ascii="Calibri" w:hAnsi="Calibri"/>
                <w:color w:val="000000"/>
                <w:sz w:val="17"/>
              </w:rPr>
              <w:t>Sampling confirms traceability and acceptable agreement/accuracy.</w:t>
            </w:r>
          </w:p>
        </w:tc>
      </w:tr>
      <w:tr>
        <w:trPr>
          <w:cantSplit/>
        </w:trPr>
        <w:tc>
          <w:tcPr>
            <w:tcW w:type="dxa" w:w="1500"/>
            <w:tcMar>
              <w:top w:w="80" w:type="dxa"/>
              <w:start w:w="120" w:type="dxa"/>
              <w:bottom w:w="80" w:type="dxa"/>
              <w:end w:w="120" w:type="dxa"/>
            </w:tcMar>
            <w:vAlign w:val="center"/>
          </w:tcPr>
          <w:p>
            <w:pPr>
              <w:spacing w:before="0" w:after="40" w:line="252" w:lineRule="auto"/>
            </w:pPr>
            <w:r>
              <w:rPr>
                <w:rFonts w:ascii="Calibri" w:hAnsi="Calibri"/>
                <w:color w:val="000000"/>
                <w:sz w:val="17"/>
              </w:rPr>
              <w:t>4. Refinement</w:t>
            </w:r>
          </w:p>
        </w:tc>
        <w:tc>
          <w:tcPr>
            <w:tcW w:type="dxa" w:w="2900"/>
            <w:tcMar>
              <w:top w:w="80" w:type="dxa"/>
              <w:start w:w="120" w:type="dxa"/>
              <w:bottom w:w="80" w:type="dxa"/>
              <w:end w:w="120" w:type="dxa"/>
            </w:tcMar>
            <w:vAlign w:val="center"/>
          </w:tcPr>
          <w:p>
            <w:pPr>
              <w:spacing w:before="0" w:after="40" w:line="252" w:lineRule="auto"/>
            </w:pPr>
            <w:r>
              <w:rPr>
                <w:rFonts w:ascii="Calibri" w:hAnsi="Calibri"/>
                <w:color w:val="000000"/>
                <w:sz w:val="17"/>
              </w:rPr>
              <w:t>Improve interface and methodology based on pilot evidence; prepare additional item types.</w:t>
            </w:r>
          </w:p>
        </w:tc>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Revised specifications, backlog, scale-up plan.</w:t>
            </w:r>
          </w:p>
        </w:tc>
        <w:tc>
          <w:tcPr>
            <w:tcW w:type="dxa" w:w="2260"/>
            <w:tcMar>
              <w:top w:w="80" w:type="dxa"/>
              <w:start w:w="120" w:type="dxa"/>
              <w:bottom w:w="80" w:type="dxa"/>
              <w:end w:w="120" w:type="dxa"/>
            </w:tcMar>
            <w:vAlign w:val="center"/>
          </w:tcPr>
          <w:p>
            <w:pPr>
              <w:spacing w:before="0" w:after="40" w:line="252" w:lineRule="auto"/>
            </w:pPr>
            <w:r>
              <w:rPr>
                <w:rFonts w:ascii="Calibri" w:hAnsi="Calibri"/>
                <w:color w:val="000000"/>
                <w:sz w:val="17"/>
              </w:rPr>
              <w:t>Governance approves production pathway and next compact set.</w:t>
            </w:r>
          </w:p>
        </w:tc>
      </w:tr>
    </w:tbl>
    <w:p>
      <w:pPr>
        <w:pStyle w:val="Heading2"/>
        <w:keepNext/>
      </w:pPr>
      <w:r>
        <w:t>Pilot review protocol</w:t>
      </w:r>
    </w:p>
    <w:p>
      <w:pPr>
        <w:pStyle w:val="ListNumber"/>
        <w:numPr>
          <w:ilvl w:val="0"/>
          <w:numId w:val="10"/>
        </w:numPr>
      </w:pPr>
      <w:r>
        <w:t>Train reviewers on the reform-action methodology, aspiration treatment, and interface using a common calibration set.</w:t>
      </w:r>
    </w:p>
    <w:p>
      <w:pPr>
        <w:pStyle w:val="ListNumber"/>
        <w:numPr>
          <w:ilvl w:val="0"/>
          <w:numId w:val="10"/>
        </w:numPr>
      </w:pPr>
      <w:r>
        <w:t>Double-review a defined sample from both confidence queues and all three countries.</w:t>
      </w:r>
    </w:p>
    <w:p>
      <w:pPr>
        <w:pStyle w:val="ListNumber"/>
        <w:numPr>
          <w:ilvl w:val="0"/>
          <w:numId w:val="10"/>
        </w:numPr>
      </w:pPr>
      <w:r>
        <w:t>Adjudicate disagreements and record reusable precedents in a decision log.</w:t>
      </w:r>
    </w:p>
    <w:p>
      <w:pPr>
        <w:pStyle w:val="ListNumber"/>
        <w:numPr>
          <w:ilvl w:val="0"/>
          <w:numId w:val="10"/>
        </w:numPr>
      </w:pPr>
      <w:r>
        <w:t>Review false-inclusion and false-exclusion indicators separately; do not rely only on aggregate agreement.</w:t>
      </w:r>
    </w:p>
    <w:p>
      <w:pPr>
        <w:pStyle w:val="ListNumber"/>
        <w:numPr>
          <w:ilvl w:val="0"/>
          <w:numId w:val="10"/>
        </w:numPr>
      </w:pPr>
      <w:r>
        <w:t>Revise prompts, variable guidance, and application controls only through versioned changes.</w:t>
      </w:r>
    </w:p>
    <w:p>
      <w:pPr>
        <w:pStyle w:val="ListNumber"/>
        <w:numPr>
          <w:ilvl w:val="0"/>
          <w:numId w:val="10"/>
        </w:numPr>
      </w:pPr>
      <w:r>
        <w:t>Approve the validated dataset and document lessons before expanding the corpus or activating new item types.</w:t>
      </w:r>
    </w:p>
    <w:p>
      <w:pPr>
        <w:pStyle w:val="Heading1"/>
        <w:keepNext/>
      </w:pPr>
      <w:r>
        <w:t>10. Risks and mitigations</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2400"/>
        <w:gridCol w:w="2940"/>
        <w:gridCol w:w="4020"/>
      </w:tblGrid>
      <w:tr>
        <w:trPr>
          <w:cantSplit/>
          <w:tblHeader w:val="true"/>
        </w:trPr>
        <w:tc>
          <w:tcPr>
            <w:tcW w:type="dxa" w:w="240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Risk</w:t>
            </w:r>
          </w:p>
        </w:tc>
        <w:tc>
          <w:tcPr>
            <w:tcW w:type="dxa" w:w="294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Consequence</w:t>
            </w:r>
          </w:p>
        </w:tc>
        <w:tc>
          <w:tcPr>
            <w:tcW w:type="dxa" w:w="4020"/>
            <w:tcMar>
              <w:top w:w="80" w:type="dxa"/>
              <w:start w:w="120" w:type="dxa"/>
              <w:bottom w:w="80" w:type="dxa"/>
              <w:end w:w="120" w:type="dxa"/>
            </w:tcMar>
            <w:vAlign w:val="center"/>
            <w:shd w:fill="F2F4F7"/>
          </w:tcPr>
          <w:p>
            <w:pPr>
              <w:spacing w:before="0" w:after="40" w:line="252" w:lineRule="auto"/>
            </w:pPr>
            <w:r>
              <w:rPr>
                <w:rFonts w:ascii="Calibri" w:hAnsi="Calibri"/>
                <w:b/>
                <w:color w:val="0B2545"/>
                <w:sz w:val="18"/>
              </w:rPr>
              <w:t>Mitigation</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color w:val="000000"/>
                <w:sz w:val="17"/>
              </w:rPr>
              <w:t>PDF version mismatch</w:t>
            </w:r>
          </w:p>
        </w:tc>
        <w:tc>
          <w:tcPr>
            <w:tcW w:type="dxa" w:w="2940"/>
            <w:tcMar>
              <w:top w:w="80" w:type="dxa"/>
              <w:start w:w="120" w:type="dxa"/>
              <w:bottom w:w="80" w:type="dxa"/>
              <w:end w:w="120" w:type="dxa"/>
            </w:tcMar>
            <w:vAlign w:val="center"/>
          </w:tcPr>
          <w:p>
            <w:pPr>
              <w:spacing w:before="0" w:after="40" w:line="252" w:lineRule="auto"/>
            </w:pPr>
            <w:r>
              <w:rPr>
                <w:rFonts w:ascii="Calibri" w:hAnsi="Calibri"/>
                <w:color w:val="000000"/>
                <w:sz w:val="17"/>
              </w:rPr>
              <w:t>Highlights appear on the wrong text or page.</w:t>
            </w:r>
          </w:p>
        </w:tc>
        <w:tc>
          <w:tcPr>
            <w:tcW w:type="dxa" w:w="4020"/>
            <w:tcMar>
              <w:top w:w="80" w:type="dxa"/>
              <w:start w:w="120" w:type="dxa"/>
              <w:bottom w:w="80" w:type="dxa"/>
              <w:end w:w="120" w:type="dxa"/>
            </w:tcMar>
            <w:vAlign w:val="center"/>
          </w:tcPr>
          <w:p>
            <w:pPr>
              <w:spacing w:before="0" w:after="40" w:line="252" w:lineRule="auto"/>
            </w:pPr>
            <w:r>
              <w:rPr>
                <w:rFonts w:ascii="Calibri" w:hAnsi="Calibri"/>
                <w:color w:val="000000"/>
                <w:sz w:val="17"/>
              </w:rPr>
              <w:t>Verify hash, title, page count, and document ID before activation.</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color w:val="000000"/>
                <w:sz w:val="17"/>
              </w:rPr>
              <w:t>Anchor drift or weak matches</w:t>
            </w:r>
          </w:p>
        </w:tc>
        <w:tc>
          <w:tcPr>
            <w:tcW w:type="dxa" w:w="2940"/>
            <w:tcMar>
              <w:top w:w="80" w:type="dxa"/>
              <w:start w:w="120" w:type="dxa"/>
              <w:bottom w:w="80" w:type="dxa"/>
              <w:end w:w="120" w:type="dxa"/>
            </w:tcMar>
            <w:vAlign w:val="center"/>
          </w:tcPr>
          <w:p>
            <w:pPr>
              <w:spacing w:before="0" w:after="40" w:line="252" w:lineRule="auto"/>
            </w:pPr>
            <w:r>
              <w:rPr>
                <w:rFonts w:ascii="Calibri" w:hAnsi="Calibri"/>
                <w:color w:val="000000"/>
                <w:sz w:val="17"/>
              </w:rPr>
              <w:t>Reviewers assess the wrong evidence.</w:t>
            </w:r>
          </w:p>
        </w:tc>
        <w:tc>
          <w:tcPr>
            <w:tcW w:type="dxa" w:w="4020"/>
            <w:tcMar>
              <w:top w:w="80" w:type="dxa"/>
              <w:start w:w="120" w:type="dxa"/>
              <w:bottom w:w="80" w:type="dxa"/>
              <w:end w:w="120" w:type="dxa"/>
            </w:tcMar>
            <w:vAlign w:val="center"/>
          </w:tcPr>
          <w:p>
            <w:pPr>
              <w:spacing w:before="0" w:after="40" w:line="252" w:lineRule="auto"/>
            </w:pPr>
            <w:r>
              <w:rPr>
                <w:rFonts w:ascii="Calibri" w:hAnsi="Calibri"/>
                <w:color w:val="000000"/>
                <w:sz w:val="17"/>
              </w:rPr>
              <w:t>Flag match quality; show context; allow corrected anchors without deleting originals.</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color w:val="000000"/>
                <w:sz w:val="17"/>
              </w:rPr>
              <w:t>Reviewer inconsistency</w:t>
            </w:r>
          </w:p>
        </w:tc>
        <w:tc>
          <w:tcPr>
            <w:tcW w:type="dxa" w:w="2940"/>
            <w:tcMar>
              <w:top w:w="80" w:type="dxa"/>
              <w:start w:w="120" w:type="dxa"/>
              <w:bottom w:w="80" w:type="dxa"/>
              <w:end w:w="120" w:type="dxa"/>
            </w:tcMar>
            <w:vAlign w:val="center"/>
          </w:tcPr>
          <w:p>
            <w:pPr>
              <w:spacing w:before="0" w:after="40" w:line="252" w:lineRule="auto"/>
            </w:pPr>
            <w:r>
              <w:rPr>
                <w:rFonts w:ascii="Calibri" w:hAnsi="Calibri"/>
                <w:color w:val="000000"/>
                <w:sz w:val="17"/>
              </w:rPr>
              <w:t>Country or reviewer effects reduce comparability.</w:t>
            </w:r>
          </w:p>
        </w:tc>
        <w:tc>
          <w:tcPr>
            <w:tcW w:type="dxa" w:w="4020"/>
            <w:tcMar>
              <w:top w:w="80" w:type="dxa"/>
              <w:start w:w="120" w:type="dxa"/>
              <w:bottom w:w="80" w:type="dxa"/>
              <w:end w:w="120" w:type="dxa"/>
            </w:tcMar>
            <w:vAlign w:val="center"/>
          </w:tcPr>
          <w:p>
            <w:pPr>
              <w:spacing w:before="0" w:after="40" w:line="252" w:lineRule="auto"/>
            </w:pPr>
            <w:r>
              <w:rPr>
                <w:rFonts w:ascii="Calibri" w:hAnsi="Calibri"/>
                <w:color w:val="000000"/>
                <w:sz w:val="17"/>
              </w:rPr>
              <w:t>Calibration, double-coding, structured reasons, adjudication, and a precedent log.</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color w:val="000000"/>
                <w:sz w:val="17"/>
              </w:rPr>
              <w:t>False precision</w:t>
            </w:r>
          </w:p>
        </w:tc>
        <w:tc>
          <w:tcPr>
            <w:tcW w:type="dxa" w:w="2940"/>
            <w:tcMar>
              <w:top w:w="80" w:type="dxa"/>
              <w:start w:w="120" w:type="dxa"/>
              <w:bottom w:w="80" w:type="dxa"/>
              <w:end w:w="120" w:type="dxa"/>
            </w:tcMar>
            <w:vAlign w:val="center"/>
          </w:tcPr>
          <w:p>
            <w:pPr>
              <w:spacing w:before="0" w:after="40" w:line="252" w:lineRule="auto"/>
            </w:pPr>
            <w:r>
              <w:rPr>
                <w:rFonts w:ascii="Calibri" w:hAnsi="Calibri"/>
                <w:color w:val="000000"/>
                <w:sz w:val="17"/>
              </w:rPr>
              <w:t>Vague aspirations are counted as actions.</w:t>
            </w:r>
          </w:p>
        </w:tc>
        <w:tc>
          <w:tcPr>
            <w:tcW w:type="dxa" w:w="4020"/>
            <w:tcMar>
              <w:top w:w="80" w:type="dxa"/>
              <w:start w:w="120" w:type="dxa"/>
              <w:bottom w:w="80" w:type="dxa"/>
              <w:end w:w="120" w:type="dxa"/>
            </w:tcMar>
            <w:vAlign w:val="center"/>
          </w:tcPr>
          <w:p>
            <w:pPr>
              <w:spacing w:before="0" w:after="40" w:line="252" w:lineRule="auto"/>
            </w:pPr>
            <w:r>
              <w:rPr>
                <w:rFonts w:ascii="Calibri" w:hAnsi="Calibri"/>
                <w:color w:val="000000"/>
                <w:sz w:val="17"/>
              </w:rPr>
              <w:t>Separate queues, aspiration flag, mechanism links, and explicit count validation.</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color w:val="000000"/>
                <w:sz w:val="17"/>
              </w:rPr>
              <w:t>Loss of provenance</w:t>
            </w:r>
          </w:p>
        </w:tc>
        <w:tc>
          <w:tcPr>
            <w:tcW w:type="dxa" w:w="2940"/>
            <w:tcMar>
              <w:top w:w="80" w:type="dxa"/>
              <w:start w:w="120" w:type="dxa"/>
              <w:bottom w:w="80" w:type="dxa"/>
              <w:end w:w="120" w:type="dxa"/>
            </w:tcMar>
            <w:vAlign w:val="center"/>
          </w:tcPr>
          <w:p>
            <w:pPr>
              <w:spacing w:before="0" w:after="40" w:line="252" w:lineRule="auto"/>
            </w:pPr>
            <w:r>
              <w:rPr>
                <w:rFonts w:ascii="Calibri" w:hAnsi="Calibri"/>
                <w:color w:val="000000"/>
                <w:sz w:val="17"/>
              </w:rPr>
              <w:t>Validated values cannot be traced to model output or evidence.</w:t>
            </w:r>
          </w:p>
        </w:tc>
        <w:tc>
          <w:tcPr>
            <w:tcW w:type="dxa" w:w="4020"/>
            <w:tcMar>
              <w:top w:w="80" w:type="dxa"/>
              <w:start w:w="120" w:type="dxa"/>
              <w:bottom w:w="80" w:type="dxa"/>
              <w:end w:w="120" w:type="dxa"/>
            </w:tcMar>
            <w:vAlign w:val="center"/>
          </w:tcPr>
          <w:p>
            <w:pPr>
              <w:spacing w:before="0" w:after="40" w:line="252" w:lineRule="auto"/>
            </w:pPr>
            <w:r>
              <w:rPr>
                <w:rFonts w:ascii="Calibri" w:hAnsi="Calibri"/>
                <w:color w:val="000000"/>
                <w:sz w:val="17"/>
              </w:rPr>
              <w:t>Immutable originals and append-only field-level audit events.</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color w:val="000000"/>
                <w:sz w:val="17"/>
              </w:rPr>
              <w:t>Scope expansion</w:t>
            </w:r>
          </w:p>
        </w:tc>
        <w:tc>
          <w:tcPr>
            <w:tcW w:type="dxa" w:w="2940"/>
            <w:tcMar>
              <w:top w:w="80" w:type="dxa"/>
              <w:start w:w="120" w:type="dxa"/>
              <w:bottom w:w="80" w:type="dxa"/>
              <w:end w:w="120" w:type="dxa"/>
            </w:tcMar>
            <w:vAlign w:val="center"/>
          </w:tcPr>
          <w:p>
            <w:pPr>
              <w:spacing w:before="0" w:after="40" w:line="252" w:lineRule="auto"/>
            </w:pPr>
            <w:r>
              <w:rPr>
                <w:rFonts w:ascii="Calibri" w:hAnsi="Calibri"/>
                <w:color w:val="000000"/>
                <w:sz w:val="17"/>
              </w:rPr>
              <w:t>Targets and challenges are forced into an action schema.</w:t>
            </w:r>
          </w:p>
        </w:tc>
        <w:tc>
          <w:tcPr>
            <w:tcW w:type="dxa" w:w="4020"/>
            <w:tcMar>
              <w:top w:w="80" w:type="dxa"/>
              <w:start w:w="120" w:type="dxa"/>
              <w:bottom w:w="80" w:type="dxa"/>
              <w:end w:w="120" w:type="dxa"/>
            </w:tcMar>
            <w:vAlign w:val="center"/>
          </w:tcPr>
          <w:p>
            <w:pPr>
              <w:spacing w:before="0" w:after="40" w:line="252" w:lineRule="auto"/>
            </w:pPr>
            <w:r>
              <w:rPr>
                <w:rFonts w:ascii="Calibri" w:hAnsi="Calibri"/>
                <w:color w:val="000000"/>
                <w:sz w:val="17"/>
              </w:rPr>
              <w:t>Generic evidence architecture with separate item-type methodologies and forms.</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color w:val="000000"/>
                <w:sz w:val="17"/>
              </w:rPr>
              <w:t>Concurrent editing</w:t>
            </w:r>
          </w:p>
        </w:tc>
        <w:tc>
          <w:tcPr>
            <w:tcW w:type="dxa" w:w="2940"/>
            <w:tcMar>
              <w:top w:w="80" w:type="dxa"/>
              <w:start w:w="120" w:type="dxa"/>
              <w:bottom w:w="80" w:type="dxa"/>
              <w:end w:w="120" w:type="dxa"/>
            </w:tcMar>
            <w:vAlign w:val="center"/>
          </w:tcPr>
          <w:p>
            <w:pPr>
              <w:spacing w:before="0" w:after="40" w:line="252" w:lineRule="auto"/>
            </w:pPr>
            <w:r>
              <w:rPr>
                <w:rFonts w:ascii="Calibri" w:hAnsi="Calibri"/>
                <w:color w:val="000000"/>
                <w:sz w:val="17"/>
              </w:rPr>
              <w:t>Conflicting changes overwrite one another.</w:t>
            </w:r>
          </w:p>
        </w:tc>
        <w:tc>
          <w:tcPr>
            <w:tcW w:type="dxa" w:w="4020"/>
            <w:tcMar>
              <w:top w:w="80" w:type="dxa"/>
              <w:start w:w="120" w:type="dxa"/>
              <w:bottom w:w="80" w:type="dxa"/>
              <w:end w:w="120" w:type="dxa"/>
            </w:tcMar>
            <w:vAlign w:val="center"/>
          </w:tcPr>
          <w:p>
            <w:pPr>
              <w:spacing w:before="0" w:after="40" w:line="252" w:lineRule="auto"/>
            </w:pPr>
            <w:r>
              <w:rPr>
                <w:rFonts w:ascii="Calibri" w:hAnsi="Calibri"/>
                <w:color w:val="000000"/>
                <w:sz w:val="17"/>
              </w:rPr>
              <w:t>Record locking or optimistic concurrency with visible version conflicts.</w:t>
            </w:r>
          </w:p>
        </w:tc>
      </w:tr>
    </w:tbl>
    <w:p>
      <w:pPr>
        <w:pStyle w:val="Heading1"/>
        <w:keepNext/>
      </w:pPr>
      <w:r>
        <w:t>11. Success measures</w:t>
      </w:r>
    </w:p>
    <w:p>
      <w:pPr>
        <w:pStyle w:val="Heading2"/>
        <w:keepNext/>
      </w:pPr>
      <w:r>
        <w:t>Methodological quality</w:t>
      </w:r>
    </w:p>
    <w:p>
      <w:pPr>
        <w:pStyle w:val="ListBullet"/>
      </w:pPr>
      <w:r>
        <w:t>All included validated items have sufficient source evidence and a documented count decision.</w:t>
      </w:r>
    </w:p>
    <w:p>
      <w:pPr>
        <w:pStyle w:val="ListBullet"/>
      </w:pPr>
      <w:r>
        <w:t>The low-confidence queue identifies meaningful omissions without materially increasing unreviewed noise.</w:t>
      </w:r>
    </w:p>
    <w:p>
      <w:pPr>
        <w:pStyle w:val="ListBullet"/>
      </w:pPr>
      <w:r>
        <w:t>Aspiration-only passages and linked mechanisms are treated consistently across compacts.</w:t>
      </w:r>
    </w:p>
    <w:p>
      <w:pPr>
        <w:pStyle w:val="ListBullet"/>
      </w:pPr>
      <w:r>
        <w:t>Double-reviewed samples achieve an agreed threshold for inclusion and core classifications after calibration.</w:t>
      </w:r>
    </w:p>
    <w:p>
      <w:pPr>
        <w:pStyle w:val="Heading2"/>
        <w:keepNext/>
      </w:pPr>
      <w:r>
        <w:t>Technical and usability quality</w:t>
      </w:r>
    </w:p>
    <w:p>
      <w:pPr>
        <w:pStyle w:val="ListBullet"/>
      </w:pPr>
      <w:r>
        <w:t>Every candidate can be opened at the correct PDF page and highlight, including multi-anchor cases.</w:t>
      </w:r>
    </w:p>
    <w:p>
      <w:pPr>
        <w:pStyle w:val="ListBullet"/>
      </w:pPr>
      <w:r>
        <w:t>No review operation alters or deletes original LLM evidence.</w:t>
      </w:r>
    </w:p>
    <w:p>
      <w:pPr>
        <w:pStyle w:val="ListBullet"/>
      </w:pPr>
      <w:r>
        <w:t>Reviewers can complete common decisions without manipulating source CSV or JSON files.</w:t>
      </w:r>
    </w:p>
    <w:p>
      <w:pPr>
        <w:pStyle w:val="ListBullet"/>
      </w:pPr>
      <w:r>
        <w:t>Exports reproduce current validated states and their complete audit histories.</w:t>
      </w:r>
    </w:p>
    <w:p>
      <w:pPr>
        <w:pStyle w:val="ListBullet"/>
      </w:pPr>
      <w:r>
        <w:t>Progress and unresolved methodological issues are visible by country and confidence queue.</w:t>
      </w:r>
    </w:p>
    <w:p>
      <w:r>
        <w:br w:type="page"/>
      </w:r>
    </w:p>
    <w:p>
      <w:pPr>
        <w:pStyle w:val="Heading1"/>
        <w:keepNext/>
      </w:pPr>
      <w:r>
        <w:t>12. Immediate next steps</w:t>
      </w:r>
    </w:p>
    <w:p>
      <w:pPr>
        <w:pStyle w:val="ListNumber"/>
        <w:numPr>
          <w:ilvl w:val="0"/>
          <w:numId w:val="11"/>
        </w:numPr>
      </w:pPr>
      <w:r>
        <w:t>Provide the three original compact PDFs and confirm that they match the document metadata used to create the source anchors.</w:t>
      </w:r>
    </w:p>
    <w:p>
      <w:pPr>
        <w:pStyle w:val="ListNumber"/>
        <w:numPr>
          <w:ilvl w:val="0"/>
          <w:numId w:val="11"/>
        </w:numPr>
      </w:pPr>
      <w:r>
        <w:t>Provide the candidate, source-anchor, rectangle, relationship, and integrity files as one controlled import package.</w:t>
      </w:r>
    </w:p>
    <w:p>
      <w:pPr>
        <w:pStyle w:val="ListNumber"/>
        <w:numPr>
          <w:ilvl w:val="0"/>
          <w:numId w:val="11"/>
        </w:numPr>
      </w:pPr>
      <w:r>
        <w:t>Provide this concept note and the Replit implementation instructions; treat the full methodology as an optional but strongly recommended reference for decision logic and reviewer training.</w:t>
      </w:r>
    </w:p>
    <w:p>
      <w:pPr>
        <w:pStyle w:val="ListNumber"/>
        <w:numPr>
          <w:ilvl w:val="0"/>
          <w:numId w:val="11"/>
        </w:numPr>
      </w:pPr>
      <w:r>
        <w:t>Build the immutable source layer, PDF viewer, and integrity checks before enabling substantive review edits.</w:t>
      </w:r>
    </w:p>
    <w:p>
      <w:pPr>
        <w:pStyle w:val="ListNumber"/>
        <w:numPr>
          <w:ilvl w:val="0"/>
          <w:numId w:val="11"/>
        </w:numPr>
      </w:pPr>
      <w:r>
        <w:t>Run a short calibration session, then conduct the three-country pilot with a sampled double review and formal adjudication.</w:t>
      </w:r>
    </w:p>
    <w:p>
      <w:pPr>
        <w:pStyle w:val="ListNumber"/>
        <w:numPr>
          <w:ilvl w:val="0"/>
          <w:numId w:val="11"/>
        </w:numPr>
      </w:pPr>
      <w:r>
        <w:t>Use the pilot evidence to approve revisions to the methodology, interface, and scale-up plan.</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9360"/>
      </w:tblGrid>
      <w:tr>
        <w:tc>
          <w:tcPr>
            <w:tcW w:type="dxa" w:w="9360"/>
            <w:tcMar>
              <w:top w:w="80" w:type="dxa"/>
              <w:start w:w="120" w:type="dxa"/>
              <w:bottom w:w="80" w:type="dxa"/>
              <w:end w:w="120" w:type="dxa"/>
            </w:tcMar>
            <w:vAlign w:val="center"/>
            <w:shd w:fill="E8F3EC"/>
          </w:tcPr>
          <w:p>
            <w:pPr>
              <w:spacing w:after="20"/>
            </w:pPr>
            <w:r>
              <w:rPr>
                <w:rFonts w:ascii="Calibri" w:hAnsi="Calibri"/>
                <w:b/>
                <w:color w:val="1F4D78"/>
                <w:sz w:val="20"/>
              </w:rPr>
              <w:t xml:space="preserve">Implementation package. </w:t>
            </w:r>
            <w:r>
              <w:rPr>
                <w:rFonts w:ascii="Calibri" w:hAnsi="Calibri"/>
                <w:color w:val="0B2545"/>
                <w:sz w:val="20"/>
              </w:rPr>
              <w:t>The Replit team should receive the three original PDFs, the source-anchor companion package, the implementation instructions, and this concept note. The methodology document is not required for the application to import data, but it is valuable for implementing field definitions, decision rules, validation messages, reviewer guidance, and future QA.</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C6670"/>
        <w:sz w:val="17"/>
      </w:rPr>
      <w:t xml:space="preserve">AUGUST 2026  |  </w:t>
    </w:r>
    <w:r>
      <w:rPr>
        <w:rFonts w:ascii="Calibri" w:hAnsi="Calibri"/>
        <w:color w:val="5C6670"/>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D9DEE3"/>
      </w:pBdr>
    </w:pPr>
    <w:r>
      <w:rPr>
        <w:rFonts w:ascii="Calibri" w:hAnsi="Calibri"/>
        <w:b/>
        <w:color w:val="5C6670"/>
        <w:sz w:val="17"/>
      </w:rPr>
      <w:t>COMPACT SOURCELINK  |  CONCEPT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20" w:line="280" w:lineRule="auto"/>
      <w:ind w:left="1152"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Compact Review and Annotation Platform for Reform Actions, Targets, and Challenges</dc:title>
  <dc:subject>Concept note for Compact SourceLink</dc:subject>
  <dc:creator>OpenAI, prepared in collaboration with the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