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60"/>
        <w:jc w:val="center"/>
      </w:pPr>
      <w:r>
        <w:rPr>
          <w:rFonts w:ascii="Calibri" w:hAnsi="Calibri"/>
          <w:b/>
          <w:color w:val="2E74B5"/>
          <w:sz w:val="22"/>
        </w:rPr>
        <w:t>METHODOLOGICAL NOTE</w:t>
      </w:r>
    </w:p>
    <w:p>
      <w:pPr>
        <w:spacing w:after="180"/>
        <w:jc w:val="center"/>
      </w:pPr>
      <w:r>
        <w:rPr>
          <w:rFonts w:ascii="Calibri" w:hAnsi="Calibri"/>
          <w:b/>
          <w:color w:val="0B2545"/>
          <w:sz w:val="54"/>
        </w:rPr>
        <w:t>Reform Action Identification, Coding, and Review</w:t>
      </w:r>
    </w:p>
    <w:p>
      <w:pPr>
        <w:spacing w:after="480"/>
        <w:jc w:val="center"/>
      </w:pPr>
      <w:r>
        <w:rPr>
          <w:rFonts w:ascii="Calibri" w:hAnsi="Calibri"/>
          <w:color w:val="1F4D78"/>
          <w:sz w:val="34"/>
        </w:rPr>
        <w:t>Country Water Compacts</w:t>
      </w:r>
    </w:p>
    <w:p>
      <w:pPr>
        <w:spacing w:after="1700"/>
        <w:jc w:val="center"/>
      </w:pPr>
      <w:r>
        <w:rPr>
          <w:rFonts w:ascii="Calibri" w:hAnsi="Calibri"/>
          <w:i/>
          <w:color w:val="5C6670"/>
          <w:sz w:val="22"/>
        </w:rPr>
        <w:t>LLM-assisted identification with confidence-based human validation</w:t>
      </w:r>
    </w:p>
    <w:p>
      <w:pPr>
        <w:spacing w:after="100"/>
        <w:jc w:val="center"/>
      </w:pPr>
      <w:r>
        <w:rPr>
          <w:rFonts w:ascii="Calibri" w:hAnsi="Calibri"/>
          <w:b/>
          <w:color w:val="0B2545"/>
          <w:sz w:val="22"/>
        </w:rPr>
        <w:t>Draft for pilot application</w:t>
      </w:r>
    </w:p>
    <w:p>
      <w:pPr>
        <w:spacing w:after="80"/>
        <w:jc w:val="center"/>
      </w:pPr>
      <w:r>
        <w:rPr>
          <w:rFonts w:ascii="Calibri" w:hAnsi="Calibri"/>
          <w:color w:val="1F4D78"/>
          <w:sz w:val="22"/>
        </w:rPr>
        <w:t>Cambodia | Sierra Leone | Jamaica</w:t>
      </w:r>
    </w:p>
    <w:p>
      <w:pPr>
        <w:jc w:val="center"/>
      </w:pPr>
      <w:r>
        <w:rPr>
          <w:rFonts w:ascii="Calibri" w:hAnsi="Calibri"/>
          <w:color w:val="5C6670"/>
          <w:sz w:val="20"/>
        </w:rPr>
        <w:t>August 2026</w:t>
      </w:r>
    </w:p>
    <w:p>
      <w:r>
        <w:br w:type="page"/>
      </w:r>
    </w:p>
    <w:p>
      <w:pPr>
        <w:pStyle w:val="Heading1"/>
      </w:pPr>
      <w:r>
        <w:t>Document map</w:t>
      </w:r>
    </w:p>
    <w:p>
      <w:pPr>
        <w:pStyle w:val="ListBullet"/>
      </w:pPr>
      <w:r>
        <w:t>1. Purpose and status of the dataset</w:t>
      </w:r>
    </w:p>
    <w:p>
      <w:pPr>
        <w:pStyle w:val="ListBullet"/>
      </w:pPr>
      <w:r>
        <w:t>2. Working definition of a reform action</w:t>
      </w:r>
    </w:p>
    <w:p>
      <w:pPr>
        <w:pStyle w:val="ListBullet"/>
      </w:pPr>
      <w:r>
        <w:t>3. Governing analytical principles</w:t>
      </w:r>
    </w:p>
    <w:p>
      <w:pPr>
        <w:pStyle w:val="ListBullet"/>
      </w:pPr>
      <w:r>
        <w:t>4. Inclusion criteria</w:t>
      </w:r>
    </w:p>
    <w:p>
      <w:pPr>
        <w:pStyle w:val="ListBullet"/>
      </w:pPr>
      <w:r>
        <w:t>5. LLM identification and confidence classification</w:t>
      </w:r>
    </w:p>
    <w:p>
      <w:pPr>
        <w:pStyle w:val="ListBullet"/>
      </w:pPr>
      <w:r>
        <w:t>6. Exclusion criteria</w:t>
      </w:r>
    </w:p>
    <w:p>
      <w:pPr>
        <w:pStyle w:val="ListBullet"/>
      </w:pPr>
      <w:r>
        <w:t>7. Treatment of reform aspirations</w:t>
      </w:r>
    </w:p>
    <w:p>
      <w:pPr>
        <w:pStyle w:val="ListBullet"/>
      </w:pPr>
      <w:r>
        <w:t>8. Targets that look like reforms</w:t>
      </w:r>
    </w:p>
    <w:p>
      <w:pPr>
        <w:pStyle w:val="ListBullet"/>
      </w:pPr>
      <w:r>
        <w:t>9. Roadmap and appendix actions</w:t>
      </w:r>
    </w:p>
    <w:p>
      <w:pPr>
        <w:pStyle w:val="ListBullet"/>
      </w:pPr>
      <w:r>
        <w:t>10. Aggregation, duplication, and linked evidence</w:t>
      </w:r>
    </w:p>
    <w:p>
      <w:pPr>
        <w:pStyle w:val="ListBullet"/>
      </w:pPr>
      <w:r>
        <w:t>11. Pillar classification</w:t>
      </w:r>
    </w:p>
    <w:p>
      <w:pPr>
        <w:pStyle w:val="ListBullet"/>
      </w:pPr>
      <w:r>
        <w:t>12. Scalable Solutions classification</w:t>
      </w:r>
    </w:p>
    <w:p>
      <w:pPr>
        <w:pStyle w:val="ListBullet"/>
      </w:pPr>
      <w:r>
        <w:t>13. Reform Domain classification</w:t>
      </w:r>
    </w:p>
    <w:p>
      <w:pPr>
        <w:pStyle w:val="ListBullet"/>
      </w:pPr>
      <w:r>
        <w:t>14. Human review and validation workflow</w:t>
      </w:r>
    </w:p>
    <w:p>
      <w:pPr>
        <w:pStyle w:val="ListBullet"/>
      </w:pPr>
      <w:r>
        <w:t>15. Counting and publication rules</w:t>
      </w:r>
    </w:p>
    <w:p>
      <w:pPr>
        <w:pStyle w:val="ListBullet"/>
      </w:pPr>
      <w:r>
        <w:t>16. Practical examples</w:t>
      </w:r>
    </w:p>
    <w:p>
      <w:pPr>
        <w:pStyle w:val="ListBullet"/>
      </w:pPr>
      <w:r>
        <w:t>17. Quality assurance and methodological learning</w:t>
      </w:r>
    </w:p>
    <w:p>
      <w:pPr>
        <w:pStyle w:val="ListBullet"/>
      </w:pPr>
      <w:r>
        <w:t>Annex A. Variable dictionary</w:t>
      </w:r>
    </w:p>
    <w:p>
      <w:pPr>
        <w:pStyle w:val="ListBullet"/>
      </w:pPr>
      <w:r>
        <w:t>Annex B. Classification decision aid</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9360"/>
      </w:tblGrid>
      <w:tr>
        <w:trPr>
          <w:cantSplit/>
        </w:trPr>
        <w:tc>
          <w:tcPr>
            <w:tcW w:type="dxa" w:w="9360"/>
            <w:shd w:fill="E8EEF5"/>
            <w:tcMar>
              <w:top w:w="80" w:type="dxa"/>
              <w:start w:w="120" w:type="dxa"/>
              <w:bottom w:w="80" w:type="dxa"/>
              <w:end w:w="120" w:type="dxa"/>
            </w:tcMar>
            <w:vAlign w:val="center"/>
          </w:tcPr>
          <w:p>
            <w:pPr>
              <w:spacing w:after="40" w:before="0" w:line="252" w:lineRule="auto"/>
            </w:pPr>
            <w:r>
              <w:rPr>
                <w:rFonts w:ascii="Calibri" w:hAnsi="Calibri"/>
                <w:b/>
                <w:color w:val="0B2545"/>
                <w:sz w:val="18"/>
              </w:rPr>
              <w:t xml:space="preserve">Central design principle: </w:t>
            </w:r>
            <w:r>
              <w:rPr>
                <w:rFonts w:ascii="Calibri" w:hAnsi="Calibri"/>
                <w:b/>
                <w:color w:val="0B2545"/>
                <w:sz w:val="18"/>
              </w:rPr>
              <w:t>The process separates confident reform actions from plausible but uncertain candidates. This protects the precision of the headline dataset while preserving recall through a dedicated human-review queue.</w:t>
            </w:r>
          </w:p>
        </w:tc>
      </w:tr>
    </w:tbl>
    <w:p>
      <w:pPr>
        <w:spacing w:after="0"/>
      </w:pPr>
    </w:p>
    <w:p>
      <w:pPr>
        <w:pStyle w:val="Heading1"/>
      </w:pPr>
      <w:r>
        <w:t>1. Purpose and status of the dataset</w:t>
      </w:r>
    </w:p>
    <w:p>
      <w:r>
        <w:t>This methodology defines how reform actions are identified, coded, classified, reviewed, and validated across country Water Compacts. Its objective is to create a consistent, database-ready inventory that supports cross-country comparison, dashboarding, qualitative review, and linkage to the reform-domain taxonomy and related problem or policy areas.</w:t>
      </w:r>
    </w:p>
    <w:p>
      <w:r>
        <w:t>The dataset is a working analytical product. Reform counts depend on the working definition, inclusion boundary, level of aggregation, treatment of vague commitments, and reviewer decisions. Headline counts should therefore be presented as methodology-dependent and subject to team validation.</w:t>
      </w:r>
    </w:p>
    <w:p>
      <w:r>
        <w:t>The initial pilot will apply the methodology to Cambodia, Sierra Leone, and Jamaica. These Compacts provide contrasting presentation styles: an explicit reform table with related roadmaps and investments, a broad priority-action structure with granular programmatic activities, and a narrative structure in which reform commitments are often embedded among targets and investments.</w:t>
      </w:r>
    </w:p>
    <w:p>
      <w:pPr>
        <w:pStyle w:val="Heading1"/>
      </w:pPr>
      <w:r>
        <w:t>2. Working definition of a reform action</w:t>
      </w:r>
    </w:p>
    <w:p>
      <w:r>
        <w:t>A reform action is a discrete government commitment in a Compact that changes, establishes, or materially strengthens a water-sector system or an enabling mechanism for system change. It may affect rules, policies, laws, institutions, mandates, financing arrangements, regulatory frameworks, coordination mechanisms, service-delivery models, planning systems, accountability systems, data systems, or enduring implementation capacity.</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9360"/>
      </w:tblGrid>
      <w:tr>
        <w:trPr>
          <w:cantSplit/>
        </w:trPr>
        <w:tc>
          <w:tcPr>
            <w:tcW w:type="dxa" w:w="9360"/>
            <w:shd w:fill="FFF5D9"/>
            <w:tcMar>
              <w:top w:w="80" w:type="dxa"/>
              <w:start w:w="120" w:type="dxa"/>
              <w:bottom w:w="80" w:type="dxa"/>
              <w:end w:w="120" w:type="dxa"/>
            </w:tcMar>
            <w:vAlign w:val="center"/>
          </w:tcPr>
          <w:p>
            <w:pPr>
              <w:spacing w:after="40" w:before="0" w:line="252" w:lineRule="auto"/>
            </w:pPr>
            <w:r>
              <w:rPr>
                <w:rFonts w:ascii="Calibri" w:hAnsi="Calibri"/>
                <w:b/>
                <w:color w:val="0B2545"/>
                <w:sz w:val="18"/>
              </w:rPr>
              <w:t xml:space="preserve">Boundary rule: </w:t>
            </w:r>
            <w:r>
              <w:rPr>
                <w:rFonts w:ascii="Calibri" w:hAnsi="Calibri"/>
                <w:b/>
                <w:color w:val="0B2545"/>
                <w:sz w:val="18"/>
              </w:rPr>
              <w:t>A reform action is not simply any activity, investment, construction output, target, project, or aspiration. It should identify a system change or a sufficiently concrete mechanism that enables such change.</w:t>
            </w:r>
          </w:p>
        </w:tc>
      </w:tr>
    </w:tbl>
    <w:p>
      <w:pPr>
        <w:spacing w:after="0"/>
      </w:pPr>
    </w:p>
    <w:p>
      <w:pPr>
        <w:pStyle w:val="Heading1"/>
      </w:pPr>
      <w:r>
        <w:t>3. Governing analytical principles</w:t>
      </w:r>
    </w:p>
    <w:p>
      <w:pPr>
        <w:spacing w:after="100"/>
      </w:pPr>
      <w:r>
        <w:rPr>
          <w:rFonts w:ascii="Calibri" w:hAnsi="Calibri"/>
          <w:b/>
          <w:color w:val="1F4D78"/>
          <w:sz w:val="22"/>
        </w:rPr>
        <w:t xml:space="preserve">Compact-grounded evidence. </w:t>
      </w:r>
      <w:r>
        <w:rPr>
          <w:rFonts w:ascii="Calibri" w:hAnsi="Calibri"/>
          <w:color w:val="000000"/>
          <w:sz w:val="22"/>
        </w:rPr>
        <w:t>Every candidate must be traceable to exact or near-exact Compact text and a source reference.</w:t>
      </w:r>
    </w:p>
    <w:p>
      <w:pPr>
        <w:spacing w:after="100"/>
      </w:pPr>
      <w:r>
        <w:rPr>
          <w:rFonts w:ascii="Calibri" w:hAnsi="Calibri"/>
          <w:b/>
          <w:color w:val="1F4D78"/>
          <w:sz w:val="22"/>
        </w:rPr>
        <w:t xml:space="preserve">Recall before final exclusion. </w:t>
      </w:r>
      <w:r>
        <w:rPr>
          <w:rFonts w:ascii="Calibri" w:hAnsi="Calibri"/>
          <w:color w:val="000000"/>
          <w:sz w:val="22"/>
        </w:rPr>
        <w:t>The LLM should capture plausible reform signals for review rather than silently discarding ambiguous passages.</w:t>
      </w:r>
    </w:p>
    <w:p>
      <w:pPr>
        <w:spacing w:after="100"/>
      </w:pPr>
      <w:r>
        <w:rPr>
          <w:rFonts w:ascii="Calibri" w:hAnsi="Calibri"/>
          <w:b/>
          <w:color w:val="1F4D78"/>
          <w:sz w:val="22"/>
        </w:rPr>
        <w:t xml:space="preserve">Precision in headline counts. </w:t>
      </w:r>
      <w:r>
        <w:rPr>
          <w:rFonts w:ascii="Calibri" w:hAnsi="Calibri"/>
          <w:color w:val="000000"/>
          <w:sz w:val="22"/>
        </w:rPr>
        <w:t>Only validated reform actions should be included in the final reform total.</w:t>
      </w:r>
    </w:p>
    <w:p>
      <w:pPr>
        <w:spacing w:after="100"/>
      </w:pPr>
      <w:r>
        <w:rPr>
          <w:rFonts w:ascii="Calibri" w:hAnsi="Calibri"/>
          <w:b/>
          <w:color w:val="1F4D78"/>
          <w:sz w:val="22"/>
        </w:rPr>
        <w:t xml:space="preserve">System change over implementation volume. </w:t>
      </w:r>
      <w:r>
        <w:rPr>
          <w:rFonts w:ascii="Calibri" w:hAnsi="Calibri"/>
          <w:color w:val="000000"/>
          <w:sz w:val="22"/>
        </w:rPr>
        <w:t>Large, costly, or prominent activities are not necessarily reforms.</w:t>
      </w:r>
    </w:p>
    <w:p>
      <w:pPr>
        <w:spacing w:after="100"/>
      </w:pPr>
      <w:r>
        <w:rPr>
          <w:rFonts w:ascii="Calibri" w:hAnsi="Calibri"/>
          <w:b/>
          <w:color w:val="1F4D78"/>
          <w:sz w:val="22"/>
        </w:rPr>
        <w:t xml:space="preserve">Consistent unit of analysis. </w:t>
      </w:r>
      <w:r>
        <w:rPr>
          <w:rFonts w:ascii="Calibri" w:hAnsi="Calibri"/>
          <w:color w:val="000000"/>
          <w:sz w:val="22"/>
        </w:rPr>
        <w:t>The database should avoid counting both a broad reform and its subordinate implementation steps as separate reforms unless they represent distinct system changes.</w:t>
      </w:r>
    </w:p>
    <w:p>
      <w:pPr>
        <w:spacing w:after="100"/>
      </w:pPr>
      <w:r>
        <w:rPr>
          <w:rFonts w:ascii="Calibri" w:hAnsi="Calibri"/>
          <w:b/>
          <w:color w:val="1F4D78"/>
          <w:sz w:val="22"/>
        </w:rPr>
        <w:t xml:space="preserve">Human accountability. </w:t>
      </w:r>
      <w:r>
        <w:rPr>
          <w:rFonts w:ascii="Calibri" w:hAnsi="Calibri"/>
          <w:color w:val="000000"/>
          <w:sz w:val="22"/>
        </w:rPr>
        <w:t>LLM classifications are preliminary analytical judgments and remain reviewable, revisable, and auditable.</w:t>
      </w:r>
    </w:p>
    <w:p>
      <w:pPr>
        <w:pStyle w:val="Heading1"/>
      </w:pPr>
      <w:r>
        <w:t>4. Inclusion criteria</w:t>
      </w:r>
    </w:p>
    <w:p>
      <w:r>
        <w:t>An item should be included as a reform action when all of the following conditions are met:</w:t>
      </w:r>
    </w:p>
    <w:p>
      <w:pPr>
        <w:pStyle w:val="ListBullet"/>
      </w:pPr>
      <w:r>
        <w:t>Explicit commitment: it is explicitly committed, proposed, or specified in the Compact, roadmap, results framework, or appendix.</w:t>
      </w:r>
    </w:p>
    <w:p>
      <w:pPr>
        <w:pStyle w:val="ListBullet"/>
      </w:pPr>
      <w:r>
        <w:t>Actionable mechanism: it identifies a reasonably discrete action or mechanism rather than only an aspiration or desired end-state.</w:t>
      </w:r>
    </w:p>
    <w:p>
      <w:pPr>
        <w:pStyle w:val="ListBullet"/>
      </w:pPr>
      <w:r>
        <w:t>System change: it changes, establishes, or materially strengthens a rule, institution, mandate, financing arrangement, service-delivery model, governance arrangement, planning system, accountability mechanism, data system, or institutional capability.</w:t>
      </w:r>
    </w:p>
    <w:p>
      <w:pPr>
        <w:pStyle w:val="ListBullet"/>
      </w:pPr>
      <w:r>
        <w:t>Not merely implementation: it is not solely an infrastructure output, routine operational activity, investment pipeline item, or coverage target.</w:t>
      </w:r>
    </w:p>
    <w:p>
      <w:pPr>
        <w:pStyle w:val="ListBullet"/>
      </w:pPr>
      <w:r>
        <w:t>Appropriate aggregation: it is not already substantively captured by a broader reform action unless it constitutes a distinct reform mechanism in its own right.</w:t>
      </w:r>
    </w:p>
    <w:p>
      <w:pPr>
        <w:pStyle w:val="Heading2"/>
      </w:pPr>
      <w:r>
        <w:t>4.1 Capacity-strengthening actions</w:t>
      </w:r>
    </w:p>
    <w:p>
      <w:r>
        <w:t>Include capacity-strengthening actions when they establish or materially strengthen enduring institutional capabilities, systems, mandates, staffing arrangements, operating procedures, or performance-management mechanisms required for sector reform, and when the Compact defines a recognizable institutional mechanism.</w:t>
      </w:r>
    </w:p>
    <w:p>
      <w:r>
        <w:t>Exclude one-off training, workshops, awareness activities, or routine technical assistance unless they form part of a clearly defined and enduring institutional reform mechanism. When the permanence or mechanism is unclear, classify the passage as a Potential Reform Action - Human Review.</w:t>
      </w:r>
    </w:p>
    <w:p>
      <w:pPr>
        <w:pStyle w:val="Heading1"/>
      </w:pPr>
      <w:r>
        <w:t>5. LLM identification and confidence classification</w:t>
      </w:r>
    </w:p>
    <w:p>
      <w:r>
        <w:t>The LLM should conduct a recall-oriented scan of the full Compact, including narrative sections, reform matrices, targets, results frameworks, roadmaps, financing sections, and appendices. It should then classify every relevant candidate passage into one of three streams.</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2500"/>
        <w:gridCol w:w="4700"/>
        <w:gridCol w:w="2160"/>
      </w:tblGrid>
      <w:tr>
        <w:trPr>
          <w:cantSplit/>
          <w:tblHeader w:val="true"/>
        </w:trPr>
        <w:tc>
          <w:tcPr>
            <w:tcW w:type="dxa" w:w="25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Candidate stream</w:t>
            </w:r>
          </w:p>
        </w:tc>
        <w:tc>
          <w:tcPr>
            <w:tcW w:type="dxa" w:w="4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Definition</w:t>
            </w:r>
          </w:p>
        </w:tc>
        <w:tc>
          <w:tcPr>
            <w:tcW w:type="dxa" w:w="21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Headline count</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A. High-confidence Reform Action</w:t>
            </w:r>
          </w:p>
        </w:tc>
        <w:tc>
          <w:tcPr>
            <w:tcW w:type="dxa" w:w="4700"/>
            <w:tcMar>
              <w:top w:w="80" w:type="dxa"/>
              <w:start w:w="120" w:type="dxa"/>
              <w:bottom w:w="80" w:type="dxa"/>
              <w:end w:w="120" w:type="dxa"/>
            </w:tcMar>
            <w:vAlign w:val="center"/>
          </w:tcPr>
          <w:p>
            <w:pPr>
              <w:spacing w:before="0" w:after="40" w:line="252" w:lineRule="auto"/>
            </w:pPr>
            <w:r>
              <w:rPr>
                <w:rFonts w:ascii="Calibri" w:hAnsi="Calibri"/>
                <w:color w:val="000000"/>
                <w:sz w:val="18"/>
              </w:rPr>
              <w:t>Clearly satisfies all inclusion criteria and identifies a discrete system change.</w:t>
            </w:r>
          </w:p>
        </w:tc>
        <w:tc>
          <w:tcPr>
            <w:tcW w:type="dxa" w:w="2160"/>
            <w:tcMar>
              <w:top w:w="80" w:type="dxa"/>
              <w:start w:w="120" w:type="dxa"/>
              <w:bottom w:w="80" w:type="dxa"/>
              <w:end w:w="120" w:type="dxa"/>
            </w:tcMar>
            <w:vAlign w:val="center"/>
          </w:tcPr>
          <w:p>
            <w:pPr>
              <w:spacing w:before="0" w:after="40" w:line="252" w:lineRule="auto"/>
            </w:pPr>
            <w:r>
              <w:rPr>
                <w:rFonts w:ascii="Calibri" w:hAnsi="Calibri"/>
                <w:color w:val="000000"/>
                <w:sz w:val="18"/>
              </w:rPr>
              <w:t>Provisionally Yes; subject to human validation</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B. Potential Reform Action - Human Review</w:t>
            </w:r>
          </w:p>
        </w:tc>
        <w:tc>
          <w:tcPr>
            <w:tcW w:type="dxa" w:w="4700"/>
            <w:tcMar>
              <w:top w:w="80" w:type="dxa"/>
              <w:start w:w="120" w:type="dxa"/>
              <w:bottom w:w="80" w:type="dxa"/>
              <w:end w:w="120" w:type="dxa"/>
            </w:tcMar>
            <w:vAlign w:val="center"/>
          </w:tcPr>
          <w:p>
            <w:pPr>
              <w:spacing w:before="0" w:after="40" w:line="252" w:lineRule="auto"/>
            </w:pPr>
            <w:r>
              <w:rPr>
                <w:rFonts w:ascii="Calibri" w:hAnsi="Calibri"/>
                <w:color w:val="000000"/>
                <w:sz w:val="18"/>
              </w:rPr>
              <w:t>Plausibly contains a reform mechanism but is vague, bundled, implicit, aspirational, overlapping, or mixed with targets or investments.</w:t>
            </w:r>
          </w:p>
        </w:tc>
        <w:tc>
          <w:tcPr>
            <w:tcW w:type="dxa" w:w="2160"/>
            <w:tcMar>
              <w:top w:w="80" w:type="dxa"/>
              <w:start w:w="120" w:type="dxa"/>
              <w:bottom w:w="80" w:type="dxa"/>
              <w:end w:w="120" w:type="dxa"/>
            </w:tcMar>
            <w:vAlign w:val="center"/>
          </w:tcPr>
          <w:p>
            <w:pPr>
              <w:spacing w:before="0" w:after="40" w:line="252" w:lineRule="auto"/>
            </w:pPr>
            <w:r>
              <w:rPr>
                <w:rFonts w:ascii="Calibri" w:hAnsi="Calibri"/>
                <w:color w:val="000000"/>
                <w:sz w:val="18"/>
              </w:rPr>
              <w:t>No until validated</w:t>
            </w:r>
          </w:p>
        </w:tc>
      </w:tr>
      <w:tr>
        <w:trPr>
          <w:cantSplit/>
        </w:trPr>
        <w:tc>
          <w:tcPr>
            <w:tcW w:type="dxa" w:w="2500"/>
            <w:tcMar>
              <w:top w:w="80" w:type="dxa"/>
              <w:start w:w="120" w:type="dxa"/>
              <w:bottom w:w="80" w:type="dxa"/>
              <w:end w:w="120" w:type="dxa"/>
            </w:tcMar>
            <w:vAlign w:val="center"/>
          </w:tcPr>
          <w:p>
            <w:pPr>
              <w:spacing w:before="0" w:after="40" w:line="252" w:lineRule="auto"/>
            </w:pPr>
            <w:r>
              <w:rPr>
                <w:rFonts w:ascii="Calibri" w:hAnsi="Calibri"/>
                <w:color w:val="000000"/>
                <w:sz w:val="18"/>
              </w:rPr>
              <w:t>C. High-confidence Non-reform</w:t>
            </w:r>
          </w:p>
        </w:tc>
        <w:tc>
          <w:tcPr>
            <w:tcW w:type="dxa" w:w="4700"/>
            <w:tcMar>
              <w:top w:w="80" w:type="dxa"/>
              <w:start w:w="120" w:type="dxa"/>
              <w:bottom w:w="80" w:type="dxa"/>
              <w:end w:w="120" w:type="dxa"/>
            </w:tcMar>
            <w:vAlign w:val="center"/>
          </w:tcPr>
          <w:p>
            <w:pPr>
              <w:spacing w:before="0" w:after="40" w:line="252" w:lineRule="auto"/>
            </w:pPr>
            <w:r>
              <w:rPr>
                <w:rFonts w:ascii="Calibri" w:hAnsi="Calibri"/>
                <w:color w:val="000000"/>
                <w:sz w:val="18"/>
              </w:rPr>
              <w:t>Clearly a target, investment, operational activity, project-preparation item, duplicate, or out-of-scope item.</w:t>
            </w:r>
          </w:p>
        </w:tc>
        <w:tc>
          <w:tcPr>
            <w:tcW w:type="dxa" w:w="2160"/>
            <w:tcMar>
              <w:top w:w="80" w:type="dxa"/>
              <w:start w:w="120" w:type="dxa"/>
              <w:bottom w:w="80" w:type="dxa"/>
              <w:end w:w="120" w:type="dxa"/>
            </w:tcMar>
            <w:vAlign w:val="center"/>
          </w:tcPr>
          <w:p>
            <w:pPr>
              <w:spacing w:before="0" w:after="40" w:line="252" w:lineRule="auto"/>
            </w:pPr>
            <w:r>
              <w:rPr>
                <w:rFonts w:ascii="Calibri" w:hAnsi="Calibri"/>
                <w:color w:val="000000"/>
                <w:sz w:val="18"/>
              </w:rPr>
              <w:t>No; retain in exclusion audit log</w:t>
            </w:r>
          </w:p>
        </w:tc>
      </w:tr>
    </w:tbl>
    <w:p>
      <w:pPr>
        <w:pStyle w:val="Heading2"/>
      </w:pPr>
      <w:r>
        <w:t>5.1 Criterion-level assessment</w:t>
      </w:r>
    </w:p>
    <w:p>
      <w:r>
        <w:t>A single confidence score should not substitute for an explanation. For each candidate, the LLM should assess the following criteria as Yes, Partial, or No:</w:t>
      </w:r>
    </w:p>
    <w:p>
      <w:pPr>
        <w:pStyle w:val="ListBullet"/>
      </w:pPr>
      <w:r>
        <w:t>Explicit government commitment</w:t>
      </w:r>
    </w:p>
    <w:p>
      <w:pPr>
        <w:pStyle w:val="ListBullet"/>
      </w:pPr>
      <w:r>
        <w:t>Discrete and actionable mechanism</w:t>
      </w:r>
    </w:p>
    <w:p>
      <w:pPr>
        <w:pStyle w:val="ListBullet"/>
      </w:pPr>
      <w:r>
        <w:t>Evidence of system change</w:t>
      </w:r>
    </w:p>
    <w:p>
      <w:pPr>
        <w:pStyle w:val="ListBullet"/>
      </w:pPr>
      <w:r>
        <w:t>Distinguishable from implementation, investment, or an outcome target</w:t>
      </w:r>
    </w:p>
    <w:p>
      <w:pPr>
        <w:pStyle w:val="ListBullet"/>
      </w:pPr>
      <w:r>
        <w:t>Distinct from a broader or duplicate reform</w:t>
      </w:r>
    </w:p>
    <w:p>
      <w:r>
        <w:t>High-confidence reform actions ordinarily receive Yes on all five criteria. Potential reform actions contain a plausible reform signal but receive at least one Partial or unresolved assessment. High-confidence non-reforms lack an identifiable system-change mechanism or clearly fall within an exclusion category.</w:t>
      </w:r>
    </w:p>
    <w:p>
      <w:pPr>
        <w:pStyle w:val="Heading1"/>
      </w:pPr>
      <w:r>
        <w:t>6. Exclusion criteria</w:t>
      </w:r>
    </w:p>
    <w:p>
      <w:r>
        <w:t>A Compact item should generally be excluded from the reform-action count if it is mainly:</w:t>
      </w:r>
    </w:p>
    <w:p>
      <w:pPr>
        <w:spacing w:after="100"/>
      </w:pPr>
      <w:r>
        <w:rPr>
          <w:rFonts w:ascii="Calibri" w:hAnsi="Calibri"/>
          <w:b/>
          <w:color w:val="1F4D78"/>
          <w:sz w:val="22"/>
        </w:rPr>
        <w:t xml:space="preserve">An outcome or coverage target. </w:t>
      </w:r>
      <w:r>
        <w:rPr>
          <w:rFonts w:ascii="Calibri" w:hAnsi="Calibri"/>
          <w:color w:val="000000"/>
          <w:sz w:val="22"/>
        </w:rPr>
        <w:t>For example, achieving a percentage of water, sanitation, hygiene, irrigation, wastewater-treatment, or flood-protection coverage.</w:t>
      </w:r>
    </w:p>
    <w:p>
      <w:pPr>
        <w:spacing w:after="100"/>
      </w:pPr>
      <w:r>
        <w:rPr>
          <w:rFonts w:ascii="Calibri" w:hAnsi="Calibri"/>
          <w:b/>
          <w:color w:val="1F4D78"/>
          <w:sz w:val="22"/>
        </w:rPr>
        <w:t xml:space="preserve">An infrastructure or investment output. </w:t>
      </w:r>
      <w:r>
        <w:rPr>
          <w:rFonts w:ascii="Calibri" w:hAnsi="Calibri"/>
          <w:color w:val="000000"/>
          <w:sz w:val="22"/>
        </w:rPr>
        <w:t>For example, constructing dams, treatment plants, sewerage systems, reservoirs, boreholes, pipelines, irrigation schemes, or flood-control works.</w:t>
      </w:r>
    </w:p>
    <w:p>
      <w:pPr>
        <w:spacing w:after="100"/>
      </w:pPr>
      <w:r>
        <w:rPr>
          <w:rFonts w:ascii="Calibri" w:hAnsi="Calibri"/>
          <w:b/>
          <w:color w:val="1F4D78"/>
          <w:sz w:val="22"/>
        </w:rPr>
        <w:t xml:space="preserve">An operational activity. </w:t>
      </w:r>
      <w:r>
        <w:rPr>
          <w:rFonts w:ascii="Calibri" w:hAnsi="Calibri"/>
          <w:color w:val="000000"/>
          <w:sz w:val="22"/>
        </w:rPr>
        <w:t>For example, installing meters, rehabilitating networks, procuring equipment, drilling wells, or expanding service connections, unless it introduces or is part of a clearly specified reform mechanism.</w:t>
      </w:r>
    </w:p>
    <w:p>
      <w:pPr>
        <w:spacing w:after="100"/>
      </w:pPr>
      <w:r>
        <w:rPr>
          <w:rFonts w:ascii="Calibri" w:hAnsi="Calibri"/>
          <w:b/>
          <w:color w:val="1F4D78"/>
          <w:sz w:val="22"/>
        </w:rPr>
        <w:t xml:space="preserve">An investment pipeline or project-preparation item. </w:t>
      </w:r>
      <w:r>
        <w:rPr>
          <w:rFonts w:ascii="Calibri" w:hAnsi="Calibri"/>
          <w:color w:val="000000"/>
          <w:sz w:val="22"/>
        </w:rPr>
        <w:t>For example, feasibility studies, investment packages, financing requirements, project lists, or construction pipelines, unless the item introduces a new financing, institutional, regulatory, or implementation model.</w:t>
      </w:r>
    </w:p>
    <w:p>
      <w:pPr>
        <w:spacing w:after="100"/>
      </w:pPr>
      <w:r>
        <w:rPr>
          <w:rFonts w:ascii="Calibri" w:hAnsi="Calibri"/>
          <w:b/>
          <w:color w:val="1F4D78"/>
          <w:sz w:val="22"/>
        </w:rPr>
        <w:t xml:space="preserve">A duplicate or sub-action. </w:t>
      </w:r>
      <w:r>
        <w:rPr>
          <w:rFonts w:ascii="Calibri" w:hAnsi="Calibri"/>
          <w:color w:val="000000"/>
          <w:sz w:val="22"/>
        </w:rPr>
        <w:t>If it is already substantively captured by a broader reform, retain and link it but mark it as consolidated rather than counting it separately.</w:t>
      </w:r>
    </w:p>
    <w:p>
      <w:pPr>
        <w:spacing w:after="100"/>
      </w:pPr>
      <w:r>
        <w:rPr>
          <w:rFonts w:ascii="Calibri" w:hAnsi="Calibri"/>
          <w:b/>
          <w:color w:val="1F4D78"/>
          <w:sz w:val="22"/>
        </w:rPr>
        <w:t xml:space="preserve">Outside the sector scope. </w:t>
      </w:r>
      <w:r>
        <w:rPr>
          <w:rFonts w:ascii="Calibri" w:hAnsi="Calibri"/>
          <w:color w:val="000000"/>
          <w:sz w:val="22"/>
        </w:rPr>
        <w:t>Solid waste, broad climate policy, energy, health, or agriculture items should be marked for scope review when they are not clearly within the Water Compact reform boundary.</w:t>
      </w:r>
    </w:p>
    <w:p>
      <w:pPr>
        <w:pStyle w:val="Heading1"/>
      </w:pPr>
      <w:r>
        <w:t>7. Treatment of reform aspirations</w:t>
      </w:r>
    </w:p>
    <w:p>
      <w:r>
        <w:t>Some Compacts express reform intentions through broad language such as 'strengthen sector governance,' 'improve institutional capacity,' 'enhance private-sector participation,' or 'promote sustainable financing.' These statements indicate a direction of change but may not specify a sufficiently discrete or actionable reform mechanism.</w:t>
      </w:r>
    </w:p>
    <w:p>
      <w:r>
        <w:t>Reform aspirations should be treated as follows:</w:t>
      </w:r>
    </w:p>
    <w:p>
      <w:pPr>
        <w:pStyle w:val="ListBullet"/>
      </w:pPr>
      <w:r>
        <w:t>Include as a High-confidence Reform Action when the statement itself, or a clearly linked passage elsewhere in the Compact, specifies the mechanism through which the aspiration will be achieved.</w:t>
      </w:r>
    </w:p>
    <w:p>
      <w:pPr>
        <w:pStyle w:val="ListBullet"/>
      </w:pPr>
      <w:r>
        <w:t>Classify as a Potential Reform Action - Human Review when the statement plausibly indicates a system change but the mechanism, commitment, institutional arrangement, or expected change is vague or only partially specified.</w:t>
      </w:r>
    </w:p>
    <w:p>
      <w:pPr>
        <w:pStyle w:val="ListBullet"/>
      </w:pPr>
      <w:r>
        <w:t>Classify as a High-confidence Non-reform when the statement expresses only a general ambition, principle, or desired outcome without an identifiable action or system-change mechanism.</w:t>
      </w:r>
    </w:p>
    <w:p>
      <w:r>
        <w:t>Where an aspiration and its implementing mechanism appear in different parts of the Compact, both passages should be linked through the Related or Parent Reform Action ID and assessed as one candidate reform. Aspirational statements should not enter the headline count unless validated as actionable reforms.</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4200"/>
        <w:gridCol w:w="5160"/>
      </w:tblGrid>
      <w:tr>
        <w:trPr>
          <w:cantSplit/>
          <w:tblHeader w:val="true"/>
        </w:trPr>
        <w:tc>
          <w:tcPr>
            <w:tcW w:type="dxa" w:w="42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Compact statement</w:t>
            </w:r>
          </w:p>
        </w:tc>
        <w:tc>
          <w:tcPr>
            <w:tcW w:type="dxa" w:w="51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Preliminary treatment</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9"/>
              </w:rPr>
              <w:t>Strengthen water-sector governance</w:t>
            </w:r>
          </w:p>
        </w:tc>
        <w:tc>
          <w:tcPr>
            <w:tcW w:type="dxa" w:w="5160"/>
            <w:tcMar>
              <w:top w:w="80" w:type="dxa"/>
              <w:start w:w="120" w:type="dxa"/>
              <w:bottom w:w="80" w:type="dxa"/>
              <w:end w:w="120" w:type="dxa"/>
            </w:tcMar>
            <w:vAlign w:val="center"/>
          </w:tcPr>
          <w:p>
            <w:pPr>
              <w:spacing w:before="0" w:after="40" w:line="252" w:lineRule="auto"/>
            </w:pPr>
            <w:r>
              <w:rPr>
                <w:rFonts w:ascii="Calibri" w:hAnsi="Calibri"/>
                <w:color w:val="000000"/>
                <w:sz w:val="19"/>
              </w:rPr>
              <w:t>Potential Reform Action - Human Review; Reform Aspiration Status = Unlinked reform aspiration</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9"/>
              </w:rPr>
              <w:t>Strengthen governance by establishing an interministerial water council</w:t>
            </w:r>
          </w:p>
        </w:tc>
        <w:tc>
          <w:tcPr>
            <w:tcW w:type="dxa" w:w="5160"/>
            <w:tcMar>
              <w:top w:w="80" w:type="dxa"/>
              <w:start w:w="120" w:type="dxa"/>
              <w:bottom w:w="80" w:type="dxa"/>
              <w:end w:w="120" w:type="dxa"/>
            </w:tcMar>
            <w:vAlign w:val="center"/>
          </w:tcPr>
          <w:p>
            <w:pPr>
              <w:spacing w:before="0" w:after="40" w:line="252" w:lineRule="auto"/>
            </w:pPr>
            <w:r>
              <w:rPr>
                <w:rFonts w:ascii="Calibri" w:hAnsi="Calibri"/>
                <w:color w:val="000000"/>
                <w:sz w:val="19"/>
              </w:rPr>
              <w:t>High-confidence Reform Action; aspiration is linked to an explicit mechanism</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color w:val="000000"/>
                <w:sz w:val="19"/>
              </w:rPr>
              <w:t>Achieve a well-governed and sustainable water sector</w:t>
            </w:r>
          </w:p>
        </w:tc>
        <w:tc>
          <w:tcPr>
            <w:tcW w:type="dxa" w:w="5160"/>
            <w:tcMar>
              <w:top w:w="80" w:type="dxa"/>
              <w:start w:w="120" w:type="dxa"/>
              <w:bottom w:w="80" w:type="dxa"/>
              <w:end w:w="120" w:type="dxa"/>
            </w:tcMar>
            <w:vAlign w:val="center"/>
          </w:tcPr>
          <w:p>
            <w:pPr>
              <w:spacing w:before="0" w:after="40" w:line="252" w:lineRule="auto"/>
            </w:pPr>
            <w:r>
              <w:rPr>
                <w:rFonts w:ascii="Calibri" w:hAnsi="Calibri"/>
                <w:color w:val="000000"/>
                <w:sz w:val="19"/>
              </w:rPr>
              <w:t>High-confidence Non-reform; general ambition only</w:t>
            </w:r>
          </w:p>
        </w:tc>
      </w:tr>
    </w:tbl>
    <w:p>
      <w:pPr>
        <w:pStyle w:val="Heading1"/>
      </w:pPr>
      <w:r>
        <w:t>8. Targets that look like reforms</w:t>
      </w:r>
    </w:p>
    <w:p>
      <w:r>
        <w:t>Some Compacts phrase reform-type commitments as targets. A target-form statement should be included only when the target itself creates, activates, or materially changes a system mechanism.</w:t>
      </w:r>
    </w:p>
    <w:p>
      <w:pPr>
        <w:pStyle w:val="ListBullet"/>
      </w:pPr>
      <w:r>
        <w:t>Establish and operationalize basin authorities - include because it creates and activates institutions.</w:t>
      </w:r>
    </w:p>
    <w:p>
      <w:pPr>
        <w:pStyle w:val="ListBullet"/>
      </w:pPr>
      <w:r>
        <w:t>Create and operationalize Basin Boards - include because it establishes basin-governance bodies.</w:t>
      </w:r>
    </w:p>
    <w:p>
      <w:pPr>
        <w:pStyle w:val="ListBullet"/>
      </w:pPr>
      <w:r>
        <w:t>Mobilize financing through a Water Fund - include when the statement establishes or scales a financing mechanism.</w:t>
      </w:r>
    </w:p>
    <w:p>
      <w:pPr>
        <w:pStyle w:val="ListBullet"/>
      </w:pPr>
      <w:r>
        <w:t>Achieve 90 percent basic water access - exclude because it is an outcome target rather than a reform action.</w:t>
      </w:r>
    </w:p>
    <w:p>
      <w:r>
        <w:t>Validated actions of this type should receive the Coding Tag 'Target-form Reform Action.'</w:t>
      </w:r>
    </w:p>
    <w:p>
      <w:pPr>
        <w:pStyle w:val="Heading1"/>
      </w:pPr>
      <w:r>
        <w:t>9. Roadmap and appendix actions</w:t>
      </w:r>
    </w:p>
    <w:p>
      <w:r>
        <w:t>Roadmap, results-framework, and appendix items should not automatically be counted. Include them only when they clearly enable reform through institutional, regulatory, financing, coordination, planning, monitoring, accountability, service-model, or enduring capacity changes.</w:t>
      </w:r>
    </w:p>
    <w:p>
      <w:r>
        <w:t>Items mainly involving investment, construction, equipment, procurement, project preparation, or service expansion should be excluded unless they introduce a clear reform mechanism. Ambiguous roadmap items should enter the Potential Reform Action review queue rather than being silently excluded.</w:t>
      </w:r>
    </w:p>
    <w:p>
      <w:pPr>
        <w:pStyle w:val="Heading1"/>
      </w:pPr>
      <w:r>
        <w:t>10. Aggregation, duplication, and linked evidence</w:t>
      </w:r>
    </w:p>
    <w:p>
      <w:r>
        <w:t>The preferred unit of analysis is one discrete reform mechanism. A broad priority action and its subordinate activities should not all be counted when the subordinate items merely implement the broader reform. Conversely, a bundled passage may be split when it contains multiple independently actionable system changes.</w:t>
      </w:r>
    </w:p>
    <w:p>
      <w:pPr>
        <w:pStyle w:val="ListBullet"/>
      </w:pPr>
      <w:r>
        <w:t>Consolidate subordinate or duplicative candidates under a broader reform and record the parent's ID.</w:t>
      </w:r>
    </w:p>
    <w:p>
      <w:pPr>
        <w:pStyle w:val="ListBullet"/>
      </w:pPr>
      <w:r>
        <w:t>Link repeated evidence from different sections to one canonical candidate rather than creating duplicate counted rows.</w:t>
      </w:r>
    </w:p>
    <w:p>
      <w:pPr>
        <w:pStyle w:val="ListBullet"/>
      </w:pPr>
      <w:r>
        <w:t>Split a bundled candidate only when each component has a distinct mechanism, decision, or institutional effect.</w:t>
      </w:r>
    </w:p>
    <w:p>
      <w:pPr>
        <w:pStyle w:val="ListBullet"/>
      </w:pPr>
      <w:r>
        <w:t>Preserve excluded or consolidated passages as evidence even when they do not enter the headline count.</w:t>
      </w:r>
    </w:p>
    <w:p>
      <w:pPr>
        <w:pStyle w:val="Heading1"/>
      </w:pPr>
      <w:r>
        <w:t>11. Pillar classification</w:t>
      </w:r>
    </w:p>
    <w:p>
      <w:r>
        <w:t>Each included or potential reform action should receive one primary pillar based on the main sector problem or function addressed:</w:t>
      </w:r>
    </w:p>
    <w:p>
      <w:pPr>
        <w:spacing w:after="100"/>
      </w:pPr>
      <w:r>
        <w:rPr>
          <w:rFonts w:ascii="Calibri" w:hAnsi="Calibri"/>
          <w:b/>
          <w:color w:val="1F4D78"/>
          <w:sz w:val="22"/>
        </w:rPr>
        <w:t xml:space="preserve">Water for People. </w:t>
      </w:r>
      <w:r>
        <w:rPr>
          <w:rFonts w:ascii="Calibri" w:hAnsi="Calibri"/>
          <w:color w:val="000000"/>
          <w:sz w:val="22"/>
        </w:rPr>
        <w:t>Water supply, sanitation, hygiene, wastewater, fecal sludge, utilities, tariffs, rural WSS, service delivery, WSS regulation, drinking-water quality, and household or institutional access.</w:t>
      </w:r>
    </w:p>
    <w:p>
      <w:pPr>
        <w:spacing w:after="100"/>
      </w:pPr>
      <w:r>
        <w:rPr>
          <w:rFonts w:ascii="Calibri" w:hAnsi="Calibri"/>
          <w:b/>
          <w:color w:val="1F4D78"/>
          <w:sz w:val="22"/>
        </w:rPr>
        <w:t xml:space="preserve">Water for Food. </w:t>
      </w:r>
      <w:r>
        <w:rPr>
          <w:rFonts w:ascii="Calibri" w:hAnsi="Calibri"/>
          <w:color w:val="000000"/>
          <w:sz w:val="22"/>
        </w:rPr>
        <w:t>Irrigation, agricultural water management, water-agriculture planning, agricultural water allocation, farmer-led irrigation, irrigation service modernization, and productive water use.</w:t>
      </w:r>
    </w:p>
    <w:p>
      <w:pPr>
        <w:spacing w:after="100"/>
      </w:pPr>
      <w:r>
        <w:rPr>
          <w:rFonts w:ascii="Calibri" w:hAnsi="Calibri"/>
          <w:b/>
          <w:color w:val="1F4D78"/>
          <w:sz w:val="22"/>
        </w:rPr>
        <w:t xml:space="preserve">Water for Planet. </w:t>
      </w:r>
      <w:r>
        <w:rPr>
          <w:rFonts w:ascii="Calibri" w:hAnsi="Calibri"/>
          <w:color w:val="000000"/>
          <w:sz w:val="22"/>
        </w:rPr>
        <w:t>Water resources management, IWRM, basin governance, transboundary water, source protection, watershed restoration, pollution control, water quality, groundwater, dam safety, hydromet, floods, droughts, and climate-risk governance.</w:t>
      </w:r>
    </w:p>
    <w:p>
      <w:pPr>
        <w:spacing w:after="100"/>
      </w:pPr>
      <w:r>
        <w:rPr>
          <w:rFonts w:ascii="Calibri" w:hAnsi="Calibri"/>
          <w:b/>
          <w:color w:val="1F4D78"/>
          <w:sz w:val="22"/>
        </w:rPr>
        <w:t xml:space="preserve">Cross-cutting. </w:t>
      </w:r>
      <w:r>
        <w:rPr>
          <w:rFonts w:ascii="Calibri" w:hAnsi="Calibri"/>
          <w:color w:val="000000"/>
          <w:sz w:val="22"/>
        </w:rPr>
        <w:t>Whole-sector governance, coordination, financing, Compact implementation, M&amp;E, partner alignment, institutional capacity, or private-capital mobilization spanning more than one pillar.</w:t>
      </w:r>
    </w:p>
    <w:p>
      <w:r>
        <w:t>Use Cross-cutting carefully. A WSS tariff, regulator, utility, or service-delivery reform should remain under Water for People even when it has wider institutional implications.</w:t>
      </w:r>
    </w:p>
    <w:p>
      <w:pPr>
        <w:pStyle w:val="Heading1"/>
      </w:pPr>
      <w:r>
        <w:t>12. Scalable Solutions classification</w:t>
      </w:r>
    </w:p>
    <w:p>
      <w:r>
        <w:t>Assign the relevant official WSIP Scalable Solution code or codes (S1-S7) using the maintained reference taxonomy. This field is distinct from the pillar field. Multiple solutions may be recorded when a reform substantively contributes to more than one solution, but the rationale should identify the primary relationship.</w:t>
      </w:r>
    </w:p>
    <w:p>
      <w:r>
        <w:t>For vague reform aspirations, assign a Scalable Solution only when the Compact provides sufficient substantive evidence. Otherwise leave the field pending and explain the uncertainty in the rationale.</w:t>
      </w:r>
    </w:p>
    <w:p>
      <w:pPr>
        <w:pStyle w:val="Heading1"/>
      </w:pPr>
      <w:r>
        <w:t>13. Reform Domain classification</w:t>
      </w:r>
    </w:p>
    <w:p>
      <w:r>
        <w:t>Each included or potential reform action should be assigned one primary Tier 1 Reform Domain and one Tier 2 Reform Category. The Tier 1 domain captures the principal mechanism of reform; the Tier 2 category provides the more specific policy or institutional classification.</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3300"/>
        <w:gridCol w:w="6060"/>
      </w:tblGrid>
      <w:tr>
        <w:trPr>
          <w:cantSplit/>
          <w:tblHeader w:val="true"/>
        </w:trPr>
        <w:tc>
          <w:tcPr>
            <w:tcW w:type="dxa" w:w="33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Tier 1 Reform Domain</w:t>
            </w:r>
          </w:p>
        </w:tc>
        <w:tc>
          <w:tcPr>
            <w:tcW w:type="dxa" w:w="60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Illustrative Tier 2 Categories</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1. Policy &amp; Strategic Frameworks</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National water policies; water security strategies; sanitation policies; irrigation policies; climate-water integration; national investment planning; sector coordination mechanisms</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2. Legal &amp; Regulatory Reform</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Water-law modernization; regulator creation/strengthening; licensing and permitting; tariff regulation; service standards; groundwater regulation; allocation frameworks</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3. Sector Governance &amp; Institutional Architecture</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Institutional restructuring; mandate clarification; interministerial coordination; decentralization; regulatory governance; basin governance arrangements</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4. WSS Service Delivery &amp; Utility Reform</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Utility corporatization or aggregation; utility governance; performance contracts; NRW reforms; service standards; rural service-delivery models</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5. Financial Sustainability &amp; Sector Financing</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Tariff and subsidy reforms; cost recovery; utility creditworthiness; fiscal transfers; capital planning; financial-management systems</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6. Water Resources &amp; Climate Governance</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Basin planning; IWRM; water allocation; drought and flood governance; watershed protection; climate-adaptation integration</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7. Agricultural Water &amp; Irrigation Governance</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Irrigation governance; service-delivery and source-management models; irrigation providers; cost recovery; agricultural allocation; irrigation modernization</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8. Private Sector Participation &amp; Financing Enablers</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PPP frameworks; project-preparation facilities; private-operator regulation; blended finance; municipal borrowing; credit enhancement</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9. Data, Digitalization &amp; Sector Intelligence</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Water information systems; digital government; utility MIS; benchmarking; asset registries; water-quality monitoring; hydromet</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000000"/>
                <w:sz w:val="17"/>
              </w:rPr>
              <w:t>10. Accountability, Inclusion &amp; Citizen Engagement</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000000"/>
                <w:sz w:val="17"/>
              </w:rPr>
              <w:t>Citizen engagement; social accountability; gender-inclusive governance; grievance redress; transparency; stakeholder participation</w:t>
            </w:r>
          </w:p>
        </w:tc>
      </w:tr>
    </w:tbl>
    <w:p>
      <w:r>
        <w:t>The complete controlled Tier 2 list should be maintained in a separate reference table or workbook. When an aspiration is too vague to support reliable domain assignment, record the most plausible preliminary code only if useful for review and mark the taxonomy fields as provisional.</w:t>
      </w:r>
    </w:p>
    <w:p>
      <w:pPr>
        <w:pStyle w:val="Heading1"/>
      </w:pPr>
      <w:r>
        <w:t>14. Human review and validation workflow</w:t>
      </w:r>
    </w:p>
    <w:p>
      <w:pPr>
        <w:pStyle w:val="ListNumber"/>
      </w:pPr>
      <w:r/>
      <w:r>
        <w:rPr>
          <w:rFonts w:ascii="Calibri" w:hAnsi="Calibri"/>
          <w:b/>
          <w:color w:val="1F4D78"/>
          <w:sz w:val="22"/>
        </w:rPr>
        <w:t xml:space="preserve">LLM candidate identification. </w:t>
      </w:r>
      <w:r>
        <w:rPr>
          <w:rFonts w:ascii="Calibri" w:hAnsi="Calibri"/>
          <w:color w:val="000000"/>
          <w:sz w:val="22"/>
        </w:rPr>
        <w:t>Scan the entire Compact and retain exact source evidence for all three candidate streams.</w:t>
      </w:r>
    </w:p>
    <w:p>
      <w:pPr>
        <w:pStyle w:val="ListNumber"/>
      </w:pPr>
      <w:r/>
      <w:r>
        <w:rPr>
          <w:rFonts w:ascii="Calibri" w:hAnsi="Calibri"/>
          <w:b/>
          <w:color w:val="1F4D78"/>
          <w:sz w:val="22"/>
        </w:rPr>
        <w:t xml:space="preserve">Preliminary standardization and coding. </w:t>
      </w:r>
      <w:r>
        <w:rPr>
          <w:rFonts w:ascii="Calibri" w:hAnsi="Calibri"/>
          <w:color w:val="000000"/>
          <w:sz w:val="22"/>
        </w:rPr>
        <w:t>Draft a concise action label and propose the pillar, Scalable Solution, Tier 1 domain, Tier 2 category, candidate stream, coding tag, and rationale.</w:t>
      </w:r>
    </w:p>
    <w:p>
      <w:pPr>
        <w:pStyle w:val="ListNumber"/>
      </w:pPr>
      <w:r/>
      <w:r>
        <w:rPr>
          <w:rFonts w:ascii="Calibri" w:hAnsi="Calibri"/>
          <w:b/>
          <w:color w:val="1F4D78"/>
          <w:sz w:val="22"/>
        </w:rPr>
        <w:t xml:space="preserve">Separate review queues. </w:t>
      </w:r>
      <w:r>
        <w:rPr>
          <w:rFonts w:ascii="Calibri" w:hAnsi="Calibri"/>
          <w:color w:val="000000"/>
          <w:sz w:val="22"/>
        </w:rPr>
        <w:t>Present High-confidence Reform Actions and Potential Reform Actions in separate views using one master candidate table.</w:t>
      </w:r>
    </w:p>
    <w:p>
      <w:pPr>
        <w:pStyle w:val="ListNumber"/>
      </w:pPr>
      <w:r/>
      <w:r>
        <w:rPr>
          <w:rFonts w:ascii="Calibri" w:hAnsi="Calibri"/>
          <w:b/>
          <w:color w:val="1F4D78"/>
          <w:sz w:val="22"/>
        </w:rPr>
        <w:t xml:space="preserve">Human decision. </w:t>
      </w:r>
      <w:r>
        <w:rPr>
          <w:rFonts w:ascii="Calibri" w:hAnsi="Calibri"/>
          <w:color w:val="000000"/>
          <w:sz w:val="22"/>
        </w:rPr>
        <w:t>Validate, include with revision, exclude, consolidate, split, or retain for further discussion.</w:t>
      </w:r>
    </w:p>
    <w:p>
      <w:pPr>
        <w:pStyle w:val="ListNumber"/>
      </w:pPr>
      <w:r/>
      <w:r>
        <w:rPr>
          <w:rFonts w:ascii="Calibri" w:hAnsi="Calibri"/>
          <w:b/>
          <w:color w:val="1F4D78"/>
          <w:sz w:val="22"/>
        </w:rPr>
        <w:t xml:space="preserve">Finalization. </w:t>
      </w:r>
      <w:r>
        <w:rPr>
          <w:rFonts w:ascii="Calibri" w:hAnsi="Calibri"/>
          <w:color w:val="000000"/>
          <w:sz w:val="22"/>
        </w:rPr>
        <w:t>Populate the final validated action and set Count in Reform Total to Yes only for validated reforms.</w:t>
      </w:r>
    </w:p>
    <w:p>
      <w:pPr>
        <w:pStyle w:val="ListNumber"/>
      </w:pPr>
      <w:r/>
      <w:r>
        <w:rPr>
          <w:rFonts w:ascii="Calibri" w:hAnsi="Calibri"/>
          <w:b/>
          <w:color w:val="1F4D78"/>
          <w:sz w:val="22"/>
        </w:rPr>
        <w:t xml:space="preserve">Exclusion quality check. </w:t>
      </w:r>
      <w:r>
        <w:rPr>
          <w:rFonts w:ascii="Calibri" w:hAnsi="Calibri"/>
          <w:color w:val="000000"/>
          <w:sz w:val="22"/>
        </w:rPr>
        <w:t>Review a random 5-10 percent sample of High-confidence Non-reforms from each Compact to identify systematic false exclusions.</w:t>
      </w:r>
    </w:p>
    <w:p>
      <w:pPr>
        <w:pStyle w:val="Heading2"/>
      </w:pPr>
      <w:r>
        <w:t>14.1 Human decision values</w:t>
      </w:r>
    </w:p>
    <w:p>
      <w:pPr>
        <w:pStyle w:val="ListBullet"/>
      </w:pPr>
      <w:r>
        <w:t>Validate as included</w:t>
      </w:r>
    </w:p>
    <w:p>
      <w:pPr>
        <w:pStyle w:val="ListBullet"/>
      </w:pPr>
      <w:r>
        <w:t>Include with revision</w:t>
      </w:r>
    </w:p>
    <w:p>
      <w:pPr>
        <w:pStyle w:val="ListBullet"/>
      </w:pPr>
      <w:r>
        <w:t>Exclude</w:t>
      </w:r>
    </w:p>
    <w:p>
      <w:pPr>
        <w:pStyle w:val="ListBullet"/>
      </w:pPr>
      <w:r>
        <w:t>Consolidate with another action</w:t>
      </w:r>
    </w:p>
    <w:p>
      <w:pPr>
        <w:pStyle w:val="ListBullet"/>
      </w:pPr>
      <w:r>
        <w:t>Split into multiple actions</w:t>
      </w:r>
    </w:p>
    <w:p>
      <w:pPr>
        <w:pStyle w:val="ListBullet"/>
      </w:pPr>
      <w:r>
        <w:t>Keep for further discussion</w:t>
      </w:r>
    </w:p>
    <w:p>
      <w:pPr>
        <w:pStyle w:val="Heading1"/>
      </w:pPr>
      <w:r>
        <w:t>15. Counting and publication rules</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9360"/>
      </w:tblGrid>
      <w:tr>
        <w:trPr>
          <w:cantSplit/>
        </w:trPr>
        <w:tc>
          <w:tcPr>
            <w:tcW w:type="dxa" w:w="9360"/>
            <w:shd w:fill="E8F3EC"/>
            <w:tcMar>
              <w:top w:w="80" w:type="dxa"/>
              <w:start w:w="120" w:type="dxa"/>
              <w:bottom w:w="80" w:type="dxa"/>
              <w:end w:w="120" w:type="dxa"/>
            </w:tcMar>
            <w:vAlign w:val="center"/>
          </w:tcPr>
          <w:p>
            <w:pPr>
              <w:spacing w:after="40" w:before="0" w:line="252" w:lineRule="auto"/>
            </w:pPr>
            <w:r>
              <w:rPr>
                <w:rFonts w:ascii="Calibri" w:hAnsi="Calibri"/>
                <w:b/>
                <w:color w:val="0B2545"/>
                <w:sz w:val="18"/>
              </w:rPr>
              <w:t xml:space="preserve">Headline count rule: </w:t>
            </w:r>
            <w:r>
              <w:rPr>
                <w:rFonts w:ascii="Calibri" w:hAnsi="Calibri"/>
                <w:b/>
                <w:color w:val="0B2545"/>
                <w:sz w:val="18"/>
              </w:rPr>
              <w:t>Only rows with Inclusion Decision = Included, Count in Reform Total = Yes, and a completed Final Validated Action should enter the final reform-action count.</w:t>
            </w:r>
          </w:p>
        </w:tc>
      </w:tr>
    </w:tbl>
    <w:p>
      <w:pPr>
        <w:spacing w:after="0"/>
      </w:pPr>
    </w:p>
    <w:p>
      <w:r>
        <w:t>Potential Reform Actions should remain outside the headline count until validated. Consolidated items, duplicates, reform aspirations without a validated mechanism, and excluded non-reforms remain visible for auditability but are not counted. Published tables should report the date or version of validation and acknowledge that counts depend on the methodology and unit of aggregation.</w:t>
      </w:r>
    </w:p>
    <w:p>
      <w:pPr>
        <w:pStyle w:val="Heading1"/>
      </w:pPr>
      <w:r>
        <w:t>16. Practical examples</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2700"/>
        <w:gridCol w:w="2400"/>
        <w:gridCol w:w="2860"/>
        <w:gridCol w:w="1400"/>
      </w:tblGrid>
      <w:tr>
        <w:trPr>
          <w:cantSplit/>
          <w:tblHeader w:val="true"/>
        </w:trPr>
        <w:tc>
          <w:tcPr>
            <w:tcW w:type="dxa" w:w="2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Original Compact text</w:t>
            </w:r>
          </w:p>
        </w:tc>
        <w:tc>
          <w:tcPr>
            <w:tcW w:type="dxa" w:w="24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Preliminary classification</w:t>
            </w:r>
          </w:p>
        </w:tc>
        <w:tc>
          <w:tcPr>
            <w:tcW w:type="dxa" w:w="28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Standardized action</w:t>
            </w:r>
          </w:p>
        </w:tc>
        <w:tc>
          <w:tcPr>
            <w:tcW w:type="dxa" w:w="14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Count</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Establishment of a Water Sector Regulatory Authority.</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High-confidence Reform Action; Core Reform Action</w:t>
            </w:r>
          </w:p>
        </w:tc>
        <w:tc>
          <w:tcPr>
            <w:tcW w:type="dxa" w:w="2860"/>
            <w:tcMar>
              <w:top w:w="80" w:type="dxa"/>
              <w:start w:w="120" w:type="dxa"/>
              <w:bottom w:w="80" w:type="dxa"/>
              <w:end w:w="120" w:type="dxa"/>
            </w:tcMar>
            <w:vAlign w:val="center"/>
          </w:tcPr>
          <w:p>
            <w:pPr>
              <w:spacing w:before="0" w:after="40" w:line="252" w:lineRule="auto"/>
            </w:pPr>
            <w:r>
              <w:rPr>
                <w:rFonts w:ascii="Calibri" w:hAnsi="Calibri"/>
                <w:color w:val="000000"/>
                <w:sz w:val="17"/>
              </w:rPr>
              <w:t>Establish water-sector regulatory authority</w:t>
            </w:r>
          </w:p>
        </w:tc>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7"/>
              </w:rPr>
              <w:t>Yes after validation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Strengthen water-sector governance.</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Potential Reform Action; Reform Aspiration - Potential</w:t>
            </w:r>
          </w:p>
        </w:tc>
        <w:tc>
          <w:tcPr>
            <w:tcW w:type="dxa" w:w="2860"/>
            <w:tcMar>
              <w:top w:w="80" w:type="dxa"/>
              <w:start w:w="120" w:type="dxa"/>
              <w:bottom w:w="80" w:type="dxa"/>
              <w:end w:w="120" w:type="dxa"/>
            </w:tcMar>
            <w:vAlign w:val="center"/>
          </w:tcPr>
          <w:p>
            <w:pPr>
              <w:spacing w:before="0" w:after="40" w:line="252" w:lineRule="auto"/>
            </w:pPr>
            <w:r>
              <w:rPr>
                <w:rFonts w:ascii="Calibri" w:hAnsi="Calibri"/>
                <w:color w:val="000000"/>
                <w:sz w:val="17"/>
              </w:rPr>
              <w:t>Potentially strengthen water-sector governance</w:t>
            </w:r>
          </w:p>
        </w:tc>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7"/>
              </w:rPr>
              <w:t>No until validated</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Strengthen governance by establishing an interministerial water council.</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High-confidence Reform Action; Core Reform Action</w:t>
            </w:r>
          </w:p>
        </w:tc>
        <w:tc>
          <w:tcPr>
            <w:tcW w:type="dxa" w:w="2860"/>
            <w:tcMar>
              <w:top w:w="80" w:type="dxa"/>
              <w:start w:w="120" w:type="dxa"/>
              <w:bottom w:w="80" w:type="dxa"/>
              <w:end w:w="120" w:type="dxa"/>
            </w:tcMar>
            <w:vAlign w:val="center"/>
          </w:tcPr>
          <w:p>
            <w:pPr>
              <w:spacing w:before="0" w:after="40" w:line="252" w:lineRule="auto"/>
            </w:pPr>
            <w:r>
              <w:rPr>
                <w:rFonts w:ascii="Calibri" w:hAnsi="Calibri"/>
                <w:color w:val="000000"/>
                <w:sz w:val="17"/>
              </w:rPr>
              <w:t>Establish interministerial water-sector coordination council</w:t>
            </w:r>
          </w:p>
        </w:tc>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7"/>
              </w:rPr>
              <w:t>Yes after validation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Achieve 90 percent basic water access by 2030.</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High-confidence Non-reform; Outcome/Coverage Target</w:t>
            </w:r>
          </w:p>
        </w:tc>
        <w:tc>
          <w:tcPr>
            <w:tcW w:type="dxa" w:w="2860"/>
            <w:tcMar>
              <w:top w:w="80" w:type="dxa"/>
              <w:start w:w="120" w:type="dxa"/>
              <w:bottom w:w="80" w:type="dxa"/>
              <w:end w:w="120" w:type="dxa"/>
            </w:tcMar>
            <w:vAlign w:val="center"/>
          </w:tcPr>
          <w:p>
            <w:pPr>
              <w:spacing w:before="0" w:after="40" w:line="252" w:lineRule="auto"/>
            </w:pPr>
            <w:r>
              <w:rPr>
                <w:rFonts w:ascii="Calibri" w:hAnsi="Calibri"/>
                <w:color w:val="000000"/>
                <w:sz w:val="17"/>
              </w:rPr>
              <w:t>Not applicable</w:t>
            </w:r>
          </w:p>
        </w:tc>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7"/>
              </w:rPr>
              <w:t>No</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000000"/>
                <w:sz w:val="17"/>
              </w:rPr>
              <w:t>Install bulk and customer meters.</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000000"/>
                <w:sz w:val="17"/>
              </w:rPr>
              <w:t>High-confidence Non-reform unless linked to a broader institutional NRW reform</w:t>
            </w:r>
          </w:p>
        </w:tc>
        <w:tc>
          <w:tcPr>
            <w:tcW w:type="dxa" w:w="2860"/>
            <w:tcMar>
              <w:top w:w="80" w:type="dxa"/>
              <w:start w:w="120" w:type="dxa"/>
              <w:bottom w:w="80" w:type="dxa"/>
              <w:end w:w="120" w:type="dxa"/>
            </w:tcMar>
            <w:vAlign w:val="center"/>
          </w:tcPr>
          <w:p>
            <w:pPr>
              <w:spacing w:before="0" w:after="40" w:line="252" w:lineRule="auto"/>
            </w:pPr>
            <w:r>
              <w:rPr>
                <w:rFonts w:ascii="Calibri" w:hAnsi="Calibri"/>
                <w:color w:val="000000"/>
                <w:sz w:val="17"/>
              </w:rPr>
              <w:t>Not applicable or linked as supporting evidence</w:t>
            </w:r>
          </w:p>
        </w:tc>
        <w:tc>
          <w:tcPr>
            <w:tcW w:type="dxa" w:w="1400"/>
            <w:tcMar>
              <w:top w:w="80" w:type="dxa"/>
              <w:start w:w="120" w:type="dxa"/>
              <w:bottom w:w="80" w:type="dxa"/>
              <w:end w:w="120" w:type="dxa"/>
            </w:tcMar>
            <w:vAlign w:val="center"/>
          </w:tcPr>
          <w:p>
            <w:pPr>
              <w:spacing w:before="0" w:after="40" w:line="252" w:lineRule="auto"/>
            </w:pPr>
            <w:r>
              <w:rPr>
                <w:rFonts w:ascii="Calibri" w:hAnsi="Calibri"/>
                <w:color w:val="000000"/>
                <w:sz w:val="17"/>
              </w:rPr>
              <w:t>No unless a distinct mechanism is validated</w:t>
            </w:r>
          </w:p>
        </w:tc>
      </w:tr>
    </w:tbl>
    <w:p>
      <w:pPr>
        <w:pStyle w:val="Heading2"/>
      </w:pPr>
      <w:r>
        <w:t>16.1 Regulatory-authority coding example</w:t>
      </w:r>
    </w:p>
    <w:p>
      <w:pPr>
        <w:spacing w:after="100"/>
      </w:pPr>
      <w:r>
        <w:rPr>
          <w:rFonts w:ascii="Calibri" w:hAnsi="Calibri"/>
          <w:b/>
          <w:color w:val="1F4D78"/>
          <w:sz w:val="22"/>
        </w:rPr>
        <w:t xml:space="preserve">Original Compact Text: </w:t>
      </w:r>
      <w:r>
        <w:rPr>
          <w:rFonts w:ascii="Calibri" w:hAnsi="Calibri"/>
          <w:color w:val="000000"/>
          <w:sz w:val="22"/>
        </w:rPr>
        <w:t>Establishment of a Water Sector Regulatory Authority.</w:t>
      </w:r>
    </w:p>
    <w:p>
      <w:pPr>
        <w:spacing w:after="100"/>
      </w:pPr>
      <w:r>
        <w:rPr>
          <w:rFonts w:ascii="Calibri" w:hAnsi="Calibri"/>
          <w:b/>
          <w:color w:val="1F4D78"/>
          <w:sz w:val="22"/>
        </w:rPr>
        <w:t xml:space="preserve">Standardized Reform Action: </w:t>
      </w:r>
      <w:r>
        <w:rPr>
          <w:rFonts w:ascii="Calibri" w:hAnsi="Calibri"/>
          <w:color w:val="000000"/>
          <w:sz w:val="22"/>
        </w:rPr>
        <w:t>Establish water-sector regulatory authority.</w:t>
      </w:r>
    </w:p>
    <w:p>
      <w:pPr>
        <w:spacing w:after="100"/>
      </w:pPr>
      <w:r>
        <w:rPr>
          <w:rFonts w:ascii="Calibri" w:hAnsi="Calibri"/>
          <w:b/>
          <w:color w:val="1F4D78"/>
          <w:sz w:val="22"/>
        </w:rPr>
        <w:t xml:space="preserve">Inclusion Decision: </w:t>
      </w:r>
      <w:r>
        <w:rPr>
          <w:rFonts w:ascii="Calibri" w:hAnsi="Calibri"/>
          <w:color w:val="000000"/>
          <w:sz w:val="22"/>
        </w:rPr>
        <w:t>Included.</w:t>
      </w:r>
    </w:p>
    <w:p>
      <w:pPr>
        <w:spacing w:after="100"/>
      </w:pPr>
      <w:r>
        <w:rPr>
          <w:rFonts w:ascii="Calibri" w:hAnsi="Calibri"/>
          <w:b/>
          <w:color w:val="1F4D78"/>
          <w:sz w:val="22"/>
        </w:rPr>
        <w:t xml:space="preserve">Candidate Stream: </w:t>
      </w:r>
      <w:r>
        <w:rPr>
          <w:rFonts w:ascii="Calibri" w:hAnsi="Calibri"/>
          <w:color w:val="000000"/>
          <w:sz w:val="22"/>
        </w:rPr>
        <w:t>High-confidence Reform Action.</w:t>
      </w:r>
    </w:p>
    <w:p>
      <w:pPr>
        <w:spacing w:after="100"/>
      </w:pPr>
      <w:r>
        <w:rPr>
          <w:rFonts w:ascii="Calibri" w:hAnsi="Calibri"/>
          <w:b/>
          <w:color w:val="1F4D78"/>
          <w:sz w:val="22"/>
        </w:rPr>
        <w:t xml:space="preserve">Coding Tag: </w:t>
      </w:r>
      <w:r>
        <w:rPr>
          <w:rFonts w:ascii="Calibri" w:hAnsi="Calibri"/>
          <w:color w:val="000000"/>
          <w:sz w:val="22"/>
        </w:rPr>
        <w:t>Core Reform Action.</w:t>
      </w:r>
    </w:p>
    <w:p>
      <w:pPr>
        <w:spacing w:after="100"/>
      </w:pPr>
      <w:r>
        <w:rPr>
          <w:rFonts w:ascii="Calibri" w:hAnsi="Calibri"/>
          <w:b/>
          <w:color w:val="1F4D78"/>
          <w:sz w:val="22"/>
        </w:rPr>
        <w:t xml:space="preserve">Primary Pillar: </w:t>
      </w:r>
      <w:r>
        <w:rPr>
          <w:rFonts w:ascii="Calibri" w:hAnsi="Calibri"/>
          <w:color w:val="000000"/>
          <w:sz w:val="22"/>
        </w:rPr>
        <w:t>Water for People, unless the authority explicitly regulates the whole water sector.</w:t>
      </w:r>
    </w:p>
    <w:p>
      <w:pPr>
        <w:spacing w:after="100"/>
      </w:pPr>
      <w:r>
        <w:rPr>
          <w:rFonts w:ascii="Calibri" w:hAnsi="Calibri"/>
          <w:b/>
          <w:color w:val="1F4D78"/>
          <w:sz w:val="22"/>
        </w:rPr>
        <w:t xml:space="preserve">Tier 1 Reform Domain: </w:t>
      </w:r>
      <w:r>
        <w:rPr>
          <w:rFonts w:ascii="Calibri" w:hAnsi="Calibri"/>
          <w:color w:val="000000"/>
          <w:sz w:val="22"/>
        </w:rPr>
        <w:t>Legal &amp; Regulatory Reform.</w:t>
      </w:r>
    </w:p>
    <w:p>
      <w:pPr>
        <w:spacing w:after="100"/>
      </w:pPr>
      <w:r>
        <w:rPr>
          <w:rFonts w:ascii="Calibri" w:hAnsi="Calibri"/>
          <w:b/>
          <w:color w:val="1F4D78"/>
          <w:sz w:val="22"/>
        </w:rPr>
        <w:t xml:space="preserve">Tier 2 Reform Category: </w:t>
      </w:r>
      <w:r>
        <w:rPr>
          <w:rFonts w:ascii="Calibri" w:hAnsi="Calibri"/>
          <w:color w:val="000000"/>
          <w:sz w:val="22"/>
        </w:rPr>
        <w:t>Regulatory authority creation/strengthening.</w:t>
      </w:r>
    </w:p>
    <w:p>
      <w:pPr>
        <w:pStyle w:val="Heading1"/>
      </w:pPr>
      <w:r>
        <w:t>17. Quality assurance and methodological learning</w:t>
      </w:r>
    </w:p>
    <w:p>
      <w:r>
        <w:t>The Cambodia, Sierra Leone, and Jamaica pilot should be used to refine the boundary rules before scaling the methodology to all Compacts. Review should measure agreement on inclusion, candidate stream, unit of aggregation, Tier 1/Tier 2 coding, and treatment of aspirations.</w:t>
      </w:r>
    </w:p>
    <w:p>
      <w:pPr>
        <w:pStyle w:val="ListBullet"/>
      </w:pPr>
      <w:r>
        <w:t>Track the proportion of High-confidence Reform Actions rejected or substantially revised by humans.</w:t>
      </w:r>
    </w:p>
    <w:p>
      <w:pPr>
        <w:pStyle w:val="ListBullet"/>
      </w:pPr>
      <w:r>
        <w:t>Track the proportion of Potential Reform Actions promoted to the validated reform dataset.</w:t>
      </w:r>
    </w:p>
    <w:p>
      <w:pPr>
        <w:pStyle w:val="ListBullet"/>
      </w:pPr>
      <w:r>
        <w:t>Audit a sample of High-confidence Non-reforms to estimate false exclusions.</w:t>
      </w:r>
    </w:p>
    <w:p>
      <w:pPr>
        <w:pStyle w:val="ListBullet"/>
      </w:pPr>
      <w:r>
        <w:t>Record recurring disagreement reasons and update the instructions with concrete examples.</w:t>
      </w:r>
    </w:p>
    <w:p>
      <w:pPr>
        <w:pStyle w:val="ListBullet"/>
      </w:pPr>
      <w:r>
        <w:t>Maintain version history so revisions to the methodology can be distinguished from changes in the underlying Compacts.</w:t>
      </w:r>
    </w:p>
    <w:p>
      <w:pPr>
        <w:pStyle w:val="Heading1"/>
      </w:pPr>
      <w:r>
        <w:t>Annex A. Variable dictionary</w:t>
      </w:r>
    </w:p>
    <w:p>
      <w:r>
        <w:t>The master candidate table uses 24 variables. High-confidence reforms, potential reforms, and high-confidence non-reforms should share the same schema so items can move between review streams without losing source evidence or review history. Variables 1-22 preserve the previously proposed review structure; Variables 23-24 explicitly support aspiration handling and criterion-based LLM assessment.</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700"/>
        <w:gridCol w:w="3600"/>
        <w:gridCol w:w="5060"/>
      </w:tblGrid>
      <w:tr>
        <w:trPr>
          <w:cantSplit/>
          <w:tblHeader w:val="true"/>
        </w:trPr>
        <w:tc>
          <w:tcPr>
            <w:tcW w:type="dxa" w:w="7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No.</w:t>
            </w:r>
          </w:p>
        </w:tc>
        <w:tc>
          <w:tcPr>
            <w:tcW w:type="dxa" w:w="36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Variable</w:t>
            </w:r>
          </w:p>
        </w:tc>
        <w:tc>
          <w:tcPr>
            <w:tcW w:type="dxa" w:w="50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Primary purpose</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Reform Action/Candidate ID</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Stable identifier</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2</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Country</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Country and Compact context</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3</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Source Reference</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Document location and review anchor</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4</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Compact Form</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How the passage appears in the Compact</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5</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Original Compact Text</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Exact evidence</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6</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Standardized Candidate Reform Action</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Concise candidate label</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7</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Detailed Description</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Grounded explanation</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8</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Candidate Stream</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LLM triage queue</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9</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Inclusion Decision</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Current analytical decision</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10</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Coding Tag</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Specific inclusion or exclusion type</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11</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Count in Reform Total</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Headline-count filter</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12</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LLM Classification Confidence</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Confidence in the classification</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13</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Decision Rationale</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Reason for inclusion, uncertainty, or exclusion</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14</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Primary Pillar</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Main Water Forward pillar</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15</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Scalable Solution</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Relevant WSIP solution code(s)</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16</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Tier 1 Reform Domain</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Primary reform mechanism</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17</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Tier 2 Reform Category</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Granular reform classification</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18</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Lead Institution/Actor</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Responsible entity</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19</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Related or Parent Reform Action ID</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Hierarchy, evidence, and duplicate link</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20</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Human Review Status</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Review workflow state</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21</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Reviewer Comment</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Human explanation or proposed change</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22</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Final Validated Action</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Approved final label</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23</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Reform Aspiration Status</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Explicit aspiration tracking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000000"/>
                <w:sz w:val="18"/>
              </w:rPr>
              <w:t>24</w:t>
            </w:r>
          </w:p>
        </w:tc>
        <w:tc>
          <w:tcPr>
            <w:tcW w:type="dxa" w:w="3600"/>
            <w:tcMar>
              <w:top w:w="80" w:type="dxa"/>
              <w:start w:w="120" w:type="dxa"/>
              <w:bottom w:w="80" w:type="dxa"/>
              <w:end w:w="120" w:type="dxa"/>
            </w:tcMar>
            <w:vAlign w:val="center"/>
          </w:tcPr>
          <w:p>
            <w:pPr>
              <w:spacing w:before="0" w:after="40" w:line="252" w:lineRule="auto"/>
            </w:pPr>
            <w:r>
              <w:rPr>
                <w:rFonts w:ascii="Calibri" w:hAnsi="Calibri"/>
                <w:color w:val="000000"/>
                <w:sz w:val="18"/>
              </w:rPr>
              <w:t>Criterion Assessment</w:t>
            </w:r>
          </w:p>
        </w:tc>
        <w:tc>
          <w:tcPr>
            <w:tcW w:type="dxa" w:w="5060"/>
            <w:tcMar>
              <w:top w:w="80" w:type="dxa"/>
              <w:start w:w="120" w:type="dxa"/>
              <w:bottom w:w="80" w:type="dxa"/>
              <w:end w:w="120" w:type="dxa"/>
            </w:tcMar>
            <w:vAlign w:val="center"/>
          </w:tcPr>
          <w:p>
            <w:pPr>
              <w:spacing w:before="0" w:after="40" w:line="252" w:lineRule="auto"/>
            </w:pPr>
            <w:r>
              <w:rPr>
                <w:rFonts w:ascii="Calibri" w:hAnsi="Calibri"/>
                <w:color w:val="000000"/>
                <w:sz w:val="18"/>
              </w:rPr>
              <w:t>Five-part Yes/Partial/No assessment</w:t>
            </w:r>
          </w:p>
        </w:tc>
      </w:tr>
    </w:tbl>
    <w:p>
      <w:pPr>
        <w:pStyle w:val="Heading3"/>
        <w:keepNext/>
      </w:pPr>
      <w:r>
        <w:t>1. Reform Action/Candidate ID</w:t>
      </w:r>
    </w:p>
    <w:p>
      <w:pPr>
        <w:spacing w:after="100"/>
      </w:pPr>
      <w:r>
        <w:rPr>
          <w:rFonts w:ascii="Calibri" w:hAnsi="Calibri"/>
          <w:b/>
          <w:color w:val="1F4D78"/>
          <w:sz w:val="22"/>
        </w:rPr>
        <w:t xml:space="preserve">Definition: </w:t>
      </w:r>
      <w:r>
        <w:rPr>
          <w:rFonts w:ascii="Calibri" w:hAnsi="Calibri"/>
          <w:color w:val="000000"/>
          <w:sz w:val="22"/>
        </w:rPr>
        <w:t>A unique and stable identifier for every extracted candidate passage, whether ultimately included, excluded, or consolidated.</w:t>
      </w:r>
    </w:p>
    <w:p>
      <w:pPr>
        <w:spacing w:after="100"/>
      </w:pPr>
      <w:r>
        <w:rPr>
          <w:rFonts w:ascii="Calibri" w:hAnsi="Calibri"/>
          <w:b/>
          <w:color w:val="1F4D78"/>
          <w:sz w:val="22"/>
        </w:rPr>
        <w:t xml:space="preserve">Format: </w:t>
      </w:r>
      <w:r>
        <w:rPr>
          <w:rFonts w:ascii="Calibri" w:hAnsi="Calibri"/>
          <w:color w:val="000000"/>
          <w:sz w:val="22"/>
        </w:rPr>
        <w:t>Country code + RA + sequential number.</w:t>
      </w:r>
    </w:p>
    <w:p>
      <w:pPr>
        <w:spacing w:after="100"/>
      </w:pPr>
      <w:r>
        <w:rPr>
          <w:rFonts w:ascii="Calibri" w:hAnsi="Calibri"/>
          <w:b/>
          <w:color w:val="1F4D78"/>
          <w:sz w:val="22"/>
        </w:rPr>
        <w:t xml:space="preserve">Controlled values: </w:t>
      </w:r>
      <w:r>
        <w:rPr>
          <w:rFonts w:ascii="Calibri" w:hAnsi="Calibri"/>
          <w:color w:val="000000"/>
          <w:sz w:val="22"/>
        </w:rPr>
        <w:t>Not applicable; values must be unique.</w:t>
      </w:r>
    </w:p>
    <w:p>
      <w:pPr>
        <w:spacing w:after="100"/>
      </w:pPr>
      <w:r>
        <w:rPr>
          <w:rFonts w:ascii="Calibri" w:hAnsi="Calibri"/>
          <w:b/>
          <w:color w:val="1F4D78"/>
          <w:sz w:val="22"/>
        </w:rPr>
        <w:t xml:space="preserve">Coding rule: </w:t>
      </w:r>
      <w:r>
        <w:rPr>
          <w:rFonts w:ascii="Calibri" w:hAnsi="Calibri"/>
          <w:color w:val="000000"/>
          <w:sz w:val="22"/>
        </w:rPr>
        <w:t>Do not reuse an ID after a candidate is excluded. Preserve the ID through all review stages.</w:t>
      </w:r>
    </w:p>
    <w:p>
      <w:pPr>
        <w:spacing w:after="100"/>
      </w:pPr>
      <w:r>
        <w:rPr>
          <w:rFonts w:ascii="Calibri" w:hAnsi="Calibri"/>
          <w:b/>
          <w:color w:val="1F4D78"/>
          <w:sz w:val="22"/>
        </w:rPr>
        <w:t xml:space="preserve">Treatment of reform aspirations: </w:t>
      </w:r>
      <w:r>
        <w:rPr>
          <w:rFonts w:ascii="Calibri" w:hAnsi="Calibri"/>
          <w:color w:val="000000"/>
          <w:sz w:val="22"/>
        </w:rPr>
        <w:t>An aspiration receives its own candidate ID when it is extracted. If later linked or consolidated, retain the ID and use Variable 19.</w:t>
      </w:r>
    </w:p>
    <w:p>
      <w:pPr>
        <w:spacing w:after="180"/>
      </w:pPr>
      <w:r>
        <w:rPr>
          <w:rFonts w:ascii="Calibri" w:hAnsi="Calibri"/>
          <w:b/>
          <w:color w:val="1F4D78"/>
          <w:sz w:val="22"/>
        </w:rPr>
        <w:t xml:space="preserve">Example: </w:t>
      </w:r>
      <w:r>
        <w:rPr>
          <w:rFonts w:ascii="Calibri" w:hAnsi="Calibri"/>
          <w:color w:val="000000"/>
          <w:sz w:val="22"/>
        </w:rPr>
        <w:t>SLE_RA_001; CAM_RA_014; JAM_RA_010.</w:t>
      </w:r>
    </w:p>
    <w:p>
      <w:pPr>
        <w:pStyle w:val="Heading3"/>
        <w:keepNext/>
      </w:pPr>
      <w:r>
        <w:t>2. Country</w:t>
      </w:r>
    </w:p>
    <w:p>
      <w:pPr>
        <w:spacing w:after="100"/>
      </w:pPr>
      <w:r>
        <w:rPr>
          <w:rFonts w:ascii="Calibri" w:hAnsi="Calibri"/>
          <w:b/>
          <w:color w:val="1F4D78"/>
          <w:sz w:val="22"/>
        </w:rPr>
        <w:t xml:space="preserve">Definition: </w:t>
      </w:r>
      <w:r>
        <w:rPr>
          <w:rFonts w:ascii="Calibri" w:hAnsi="Calibri"/>
          <w:color w:val="000000"/>
          <w:sz w:val="22"/>
        </w:rPr>
        <w:t>The country associated with the Compact passage.</w:t>
      </w:r>
    </w:p>
    <w:p>
      <w:pPr>
        <w:spacing w:after="100"/>
      </w:pPr>
      <w:r>
        <w:rPr>
          <w:rFonts w:ascii="Calibri" w:hAnsi="Calibri"/>
          <w:b/>
          <w:color w:val="1F4D78"/>
          <w:sz w:val="22"/>
        </w:rPr>
        <w:t xml:space="preserve">Format: </w:t>
      </w:r>
      <w:r>
        <w:rPr>
          <w:rFonts w:ascii="Calibri" w:hAnsi="Calibri"/>
          <w:color w:val="000000"/>
          <w:sz w:val="22"/>
        </w:rPr>
        <w:t>Country name using a standardized country reference list.</w:t>
      </w:r>
    </w:p>
    <w:p>
      <w:pPr>
        <w:spacing w:after="100"/>
      </w:pPr>
      <w:r>
        <w:rPr>
          <w:rFonts w:ascii="Calibri" w:hAnsi="Calibri"/>
          <w:b/>
          <w:color w:val="1F4D78"/>
          <w:sz w:val="22"/>
        </w:rPr>
        <w:t xml:space="preserve">Controlled values: </w:t>
      </w:r>
      <w:r>
        <w:rPr>
          <w:rFonts w:ascii="Calibri" w:hAnsi="Calibri"/>
          <w:color w:val="000000"/>
          <w:sz w:val="22"/>
        </w:rPr>
        <w:t>Cambodia; Sierra Leone; Jamaica; and other Compact countries.</w:t>
      </w:r>
    </w:p>
    <w:p>
      <w:pPr>
        <w:spacing w:after="100"/>
      </w:pPr>
      <w:r>
        <w:rPr>
          <w:rFonts w:ascii="Calibri" w:hAnsi="Calibri"/>
          <w:b/>
          <w:color w:val="1F4D78"/>
          <w:sz w:val="22"/>
        </w:rPr>
        <w:t xml:space="preserve">Coding rule: </w:t>
      </w:r>
      <w:r>
        <w:rPr>
          <w:rFonts w:ascii="Calibri" w:hAnsi="Calibri"/>
          <w:color w:val="000000"/>
          <w:sz w:val="22"/>
        </w:rPr>
        <w:t>Use one standardized country name consistently; retain country codes separately only if required by the system.</w:t>
      </w:r>
    </w:p>
    <w:p>
      <w:pPr>
        <w:spacing w:after="100"/>
      </w:pPr>
      <w:r>
        <w:rPr>
          <w:rFonts w:ascii="Calibri" w:hAnsi="Calibri"/>
          <w:b/>
          <w:color w:val="1F4D78"/>
          <w:sz w:val="22"/>
        </w:rPr>
        <w:t xml:space="preserve">Treatment of reform aspirations: </w:t>
      </w:r>
      <w:r>
        <w:rPr>
          <w:rFonts w:ascii="Calibri" w:hAnsi="Calibri"/>
          <w:color w:val="000000"/>
          <w:sz w:val="22"/>
        </w:rPr>
        <w:t>No special treatment.</w:t>
      </w:r>
    </w:p>
    <w:p>
      <w:pPr>
        <w:spacing w:after="180"/>
      </w:pPr>
      <w:r>
        <w:rPr>
          <w:rFonts w:ascii="Calibri" w:hAnsi="Calibri"/>
          <w:b/>
          <w:color w:val="1F4D78"/>
          <w:sz w:val="22"/>
        </w:rPr>
        <w:t xml:space="preserve">Example: </w:t>
      </w:r>
      <w:r>
        <w:rPr>
          <w:rFonts w:ascii="Calibri" w:hAnsi="Calibri"/>
          <w:color w:val="000000"/>
          <w:sz w:val="22"/>
        </w:rPr>
        <w:t>Sierra Leone.</w:t>
      </w:r>
    </w:p>
    <w:p>
      <w:pPr>
        <w:pStyle w:val="Heading3"/>
        <w:keepNext/>
      </w:pPr>
      <w:r>
        <w:t>3. Source Reference</w:t>
      </w:r>
    </w:p>
    <w:p>
      <w:pPr>
        <w:spacing w:after="100"/>
      </w:pPr>
      <w:r>
        <w:rPr>
          <w:rFonts w:ascii="Calibri" w:hAnsi="Calibri"/>
          <w:b/>
          <w:color w:val="1F4D78"/>
          <w:sz w:val="22"/>
        </w:rPr>
        <w:t xml:space="preserve">Definition: </w:t>
      </w:r>
      <w:r>
        <w:rPr>
          <w:rFonts w:ascii="Calibri" w:hAnsi="Calibri"/>
          <w:color w:val="000000"/>
          <w:sz w:val="22"/>
        </w:rPr>
        <w:t>The Compact document, section, table, appendix, and page location where the candidate appears. This field supports navigation and source highlighting in the review application.</w:t>
      </w:r>
    </w:p>
    <w:p>
      <w:pPr>
        <w:spacing w:after="100"/>
      </w:pPr>
      <w:r>
        <w:rPr>
          <w:rFonts w:ascii="Calibri" w:hAnsi="Calibri"/>
          <w:b/>
          <w:color w:val="1F4D78"/>
          <w:sz w:val="22"/>
        </w:rPr>
        <w:t xml:space="preserve">Format: </w:t>
      </w:r>
      <w:r>
        <w:rPr>
          <w:rFonts w:ascii="Calibri" w:hAnsi="Calibri"/>
          <w:color w:val="000000"/>
          <w:sz w:val="22"/>
        </w:rPr>
        <w:t>Short structured text; optionally supplemented by page and text-anchor metadata.</w:t>
      </w:r>
    </w:p>
    <w:p>
      <w:pPr>
        <w:spacing w:after="100"/>
      </w:pPr>
      <w:r>
        <w:rPr>
          <w:rFonts w:ascii="Calibri" w:hAnsi="Calibri"/>
          <w:b/>
          <w:color w:val="1F4D78"/>
          <w:sz w:val="22"/>
        </w:rPr>
        <w:t xml:space="preserve">Controlled values: </w:t>
      </w:r>
      <w:r>
        <w:rPr>
          <w:rFonts w:ascii="Calibri" w:hAnsi="Calibri"/>
          <w:color w:val="000000"/>
          <w:sz w:val="22"/>
        </w:rPr>
        <w:t>Not applicable.</w:t>
      </w:r>
    </w:p>
    <w:p>
      <w:pPr>
        <w:spacing w:after="100"/>
      </w:pPr>
      <w:r>
        <w:rPr>
          <w:rFonts w:ascii="Calibri" w:hAnsi="Calibri"/>
          <w:b/>
          <w:color w:val="1F4D78"/>
          <w:sz w:val="22"/>
        </w:rPr>
        <w:t xml:space="preserve">Coding rule: </w:t>
      </w:r>
      <w:r>
        <w:rPr>
          <w:rFonts w:ascii="Calibri" w:hAnsi="Calibri"/>
          <w:color w:val="000000"/>
          <w:sz w:val="22"/>
        </w:rPr>
        <w:t>Cite the most precise available location. Add additional linked references through Variable 19 or a related-evidence table when the mechanism appears elsewhere.</w:t>
      </w:r>
    </w:p>
    <w:p>
      <w:pPr>
        <w:spacing w:after="100"/>
      </w:pPr>
      <w:r>
        <w:rPr>
          <w:rFonts w:ascii="Calibri" w:hAnsi="Calibri"/>
          <w:b/>
          <w:color w:val="1F4D78"/>
          <w:sz w:val="22"/>
        </w:rPr>
        <w:t xml:space="preserve">Treatment of reform aspirations: </w:t>
      </w:r>
      <w:r>
        <w:rPr>
          <w:rFonts w:ascii="Calibri" w:hAnsi="Calibri"/>
          <w:color w:val="000000"/>
          <w:sz w:val="22"/>
        </w:rPr>
        <w:t>For an aspiration, reference both the aspiration passage and any separately located implementing mechanism.</w:t>
      </w:r>
    </w:p>
    <w:p>
      <w:pPr>
        <w:spacing w:after="180"/>
      </w:pPr>
      <w:r>
        <w:rPr>
          <w:rFonts w:ascii="Calibri" w:hAnsi="Calibri"/>
          <w:b/>
          <w:color w:val="1F4D78"/>
          <w:sz w:val="22"/>
        </w:rPr>
        <w:t xml:space="preserve">Example: </w:t>
      </w:r>
      <w:r>
        <w:rPr>
          <w:rFonts w:ascii="Calibri" w:hAnsi="Calibri"/>
          <w:color w:val="000000"/>
          <w:sz w:val="22"/>
        </w:rPr>
        <w:t>Sierra Leone Compact, Priority Action 2, p. 9.</w:t>
      </w:r>
    </w:p>
    <w:p>
      <w:pPr>
        <w:pStyle w:val="Heading3"/>
        <w:keepNext/>
      </w:pPr>
      <w:r>
        <w:t>4. Compact Form</w:t>
      </w:r>
    </w:p>
    <w:p>
      <w:pPr>
        <w:spacing w:after="100"/>
      </w:pPr>
      <w:r>
        <w:rPr>
          <w:rFonts w:ascii="Calibri" w:hAnsi="Calibri"/>
          <w:b/>
          <w:color w:val="1F4D78"/>
          <w:sz w:val="22"/>
        </w:rPr>
        <w:t xml:space="preserve">Definition: </w:t>
      </w:r>
      <w:r>
        <w:rPr>
          <w:rFonts w:ascii="Calibri" w:hAnsi="Calibri"/>
          <w:color w:val="000000"/>
          <w:sz w:val="22"/>
        </w:rPr>
        <w:t>How the candidate is presented in the source document.</w:t>
      </w:r>
    </w:p>
    <w:p>
      <w:pPr>
        <w:spacing w:after="100"/>
      </w:pPr>
      <w:r>
        <w:rPr>
          <w:rFonts w:ascii="Calibri" w:hAnsi="Calibri"/>
          <w:b/>
          <w:color w:val="1F4D78"/>
          <w:sz w:val="22"/>
        </w:rPr>
        <w:t xml:space="preserve">Format: </w:t>
      </w:r>
      <w:r>
        <w:rPr>
          <w:rFonts w:ascii="Calibri" w:hAnsi="Calibri"/>
          <w:color w:val="000000"/>
          <w:sz w:val="22"/>
        </w:rPr>
        <w:t>Single controlled-value field.</w:t>
      </w:r>
    </w:p>
    <w:p>
      <w:pPr>
        <w:spacing w:after="100"/>
      </w:pPr>
      <w:r>
        <w:rPr>
          <w:rFonts w:ascii="Calibri" w:hAnsi="Calibri"/>
          <w:b/>
          <w:color w:val="1F4D78"/>
          <w:sz w:val="22"/>
        </w:rPr>
        <w:t xml:space="preserve">Controlled values: </w:t>
      </w:r>
      <w:r>
        <w:rPr>
          <w:rFonts w:ascii="Calibri" w:hAnsi="Calibri"/>
          <w:color w:val="000000"/>
          <w:sz w:val="22"/>
        </w:rPr>
        <w:t>Dedicated Reform Matrix/Table; Pillar or Scalable Solution Section; Target/Results Framework; Roadmap/Action Plan/Appendix; Narrative Commitment or Reform Aspiration; Investment/Financing Section; Other.</w:t>
      </w:r>
    </w:p>
    <w:p>
      <w:pPr>
        <w:spacing w:after="100"/>
      </w:pPr>
      <w:r>
        <w:rPr>
          <w:rFonts w:ascii="Calibri" w:hAnsi="Calibri"/>
          <w:b/>
          <w:color w:val="1F4D78"/>
          <w:sz w:val="22"/>
        </w:rPr>
        <w:t xml:space="preserve">Coding rule: </w:t>
      </w:r>
      <w:r>
        <w:rPr>
          <w:rFonts w:ascii="Calibri" w:hAnsi="Calibri"/>
          <w:color w:val="000000"/>
          <w:sz w:val="22"/>
        </w:rPr>
        <w:t>Select the closest source form. This variable describes document presentation, not whether the passage qualifies as a reform.</w:t>
      </w:r>
    </w:p>
    <w:p>
      <w:pPr>
        <w:spacing w:after="100"/>
      </w:pPr>
      <w:r>
        <w:rPr>
          <w:rFonts w:ascii="Calibri" w:hAnsi="Calibri"/>
          <w:b/>
          <w:color w:val="1F4D78"/>
          <w:sz w:val="22"/>
        </w:rPr>
        <w:t xml:space="preserve">Treatment of reform aspirations: </w:t>
      </w:r>
      <w:r>
        <w:rPr>
          <w:rFonts w:ascii="Calibri" w:hAnsi="Calibri"/>
          <w:color w:val="000000"/>
          <w:sz w:val="22"/>
        </w:rPr>
        <w:t>Use Narrative Commitment or Reform Aspiration when broad reform language appears outside an explicit reform table.</w:t>
      </w:r>
    </w:p>
    <w:p>
      <w:pPr>
        <w:spacing w:after="180"/>
      </w:pPr>
      <w:r>
        <w:rPr>
          <w:rFonts w:ascii="Calibri" w:hAnsi="Calibri"/>
          <w:b/>
          <w:color w:val="1F4D78"/>
          <w:sz w:val="22"/>
        </w:rPr>
        <w:t xml:space="preserve">Example: </w:t>
      </w:r>
      <w:r>
        <w:rPr>
          <w:rFonts w:ascii="Calibri" w:hAnsi="Calibri"/>
          <w:color w:val="000000"/>
          <w:sz w:val="22"/>
        </w:rPr>
        <w:t>Narrative Commitment or Reform Aspiration.</w:t>
      </w:r>
    </w:p>
    <w:p>
      <w:pPr>
        <w:pStyle w:val="Heading3"/>
        <w:keepNext/>
      </w:pPr>
      <w:r>
        <w:t>5. Original Compact Text</w:t>
      </w:r>
    </w:p>
    <w:p>
      <w:pPr>
        <w:spacing w:after="100"/>
      </w:pPr>
      <w:r>
        <w:rPr>
          <w:rFonts w:ascii="Calibri" w:hAnsi="Calibri"/>
          <w:b/>
          <w:color w:val="1F4D78"/>
          <w:sz w:val="22"/>
        </w:rPr>
        <w:t xml:space="preserve">Definition: </w:t>
      </w:r>
      <w:r>
        <w:rPr>
          <w:rFonts w:ascii="Calibri" w:hAnsi="Calibri"/>
          <w:color w:val="000000"/>
          <w:sz w:val="22"/>
        </w:rPr>
        <w:t>The exact or near-exact source wording supporting the candidate.</w:t>
      </w:r>
    </w:p>
    <w:p>
      <w:pPr>
        <w:spacing w:after="100"/>
      </w:pPr>
      <w:r>
        <w:rPr>
          <w:rFonts w:ascii="Calibri" w:hAnsi="Calibri"/>
          <w:b/>
          <w:color w:val="1F4D78"/>
          <w:sz w:val="22"/>
        </w:rPr>
        <w:t xml:space="preserve">Format: </w:t>
      </w:r>
      <w:r>
        <w:rPr>
          <w:rFonts w:ascii="Calibri" w:hAnsi="Calibri"/>
          <w:color w:val="000000"/>
          <w:sz w:val="22"/>
        </w:rPr>
        <w:t>Text excerpt, normally one sentence or a short passage.</w:t>
      </w:r>
    </w:p>
    <w:p>
      <w:pPr>
        <w:spacing w:after="100"/>
      </w:pPr>
      <w:r>
        <w:rPr>
          <w:rFonts w:ascii="Calibri" w:hAnsi="Calibri"/>
          <w:b/>
          <w:color w:val="1F4D78"/>
          <w:sz w:val="22"/>
        </w:rPr>
        <w:t xml:space="preserve">Controlled values: </w:t>
      </w:r>
      <w:r>
        <w:rPr>
          <w:rFonts w:ascii="Calibri" w:hAnsi="Calibri"/>
          <w:color w:val="000000"/>
          <w:sz w:val="22"/>
        </w:rPr>
        <w:t>Not applicable.</w:t>
      </w:r>
    </w:p>
    <w:p>
      <w:pPr>
        <w:spacing w:after="100"/>
      </w:pPr>
      <w:r>
        <w:rPr>
          <w:rFonts w:ascii="Calibri" w:hAnsi="Calibri"/>
          <w:b/>
          <w:color w:val="1F4D78"/>
          <w:sz w:val="22"/>
        </w:rPr>
        <w:t xml:space="preserve">Coding rule: </w:t>
      </w:r>
      <w:r>
        <w:rPr>
          <w:rFonts w:ascii="Calibri" w:hAnsi="Calibri"/>
          <w:color w:val="000000"/>
          <w:sz w:val="22"/>
        </w:rPr>
        <w:t>Preserve wording and do not add interpretation. Include enough surrounding language to make the commitment understandable.</w:t>
      </w:r>
    </w:p>
    <w:p>
      <w:pPr>
        <w:spacing w:after="100"/>
      </w:pPr>
      <w:r>
        <w:rPr>
          <w:rFonts w:ascii="Calibri" w:hAnsi="Calibri"/>
          <w:b/>
          <w:color w:val="1F4D78"/>
          <w:sz w:val="22"/>
        </w:rPr>
        <w:t xml:space="preserve">Treatment of reform aspirations: </w:t>
      </w:r>
      <w:r>
        <w:rPr>
          <w:rFonts w:ascii="Calibri" w:hAnsi="Calibri"/>
          <w:color w:val="000000"/>
          <w:sz w:val="22"/>
        </w:rPr>
        <w:t>Retain vague wording exactly; do not silently convert an aspiration into an actionable mechanism.</w:t>
      </w:r>
    </w:p>
    <w:p>
      <w:pPr>
        <w:spacing w:after="180"/>
      </w:pPr>
      <w:r>
        <w:rPr>
          <w:rFonts w:ascii="Calibri" w:hAnsi="Calibri"/>
          <w:b/>
          <w:color w:val="1F4D78"/>
          <w:sz w:val="22"/>
        </w:rPr>
        <w:t xml:space="preserve">Example: </w:t>
      </w:r>
      <w:r>
        <w:rPr>
          <w:rFonts w:ascii="Calibri" w:hAnsi="Calibri"/>
          <w:color w:val="000000"/>
          <w:sz w:val="22"/>
        </w:rPr>
        <w:t>Strengthen water-sector governance and inter-agency coordination.</w:t>
      </w:r>
    </w:p>
    <w:p>
      <w:pPr>
        <w:pStyle w:val="Heading3"/>
        <w:keepNext/>
      </w:pPr>
      <w:r>
        <w:t>6. Standardized Candidate Reform Action</w:t>
      </w:r>
    </w:p>
    <w:p>
      <w:pPr>
        <w:spacing w:after="100"/>
      </w:pPr>
      <w:r>
        <w:rPr>
          <w:rFonts w:ascii="Calibri" w:hAnsi="Calibri"/>
          <w:b/>
          <w:color w:val="1F4D78"/>
          <w:sz w:val="22"/>
        </w:rPr>
        <w:t xml:space="preserve">Definition: </w:t>
      </w:r>
      <w:r>
        <w:rPr>
          <w:rFonts w:ascii="Calibri" w:hAnsi="Calibri"/>
          <w:color w:val="000000"/>
          <w:sz w:val="22"/>
        </w:rPr>
        <w:t>A concise, review-ready label describing the action the passage may represent.</w:t>
      </w:r>
    </w:p>
    <w:p>
      <w:pPr>
        <w:spacing w:after="100"/>
      </w:pPr>
      <w:r>
        <w:rPr>
          <w:rFonts w:ascii="Calibri" w:hAnsi="Calibri"/>
          <w:b/>
          <w:color w:val="1F4D78"/>
          <w:sz w:val="22"/>
        </w:rPr>
        <w:t xml:space="preserve">Format: </w:t>
      </w:r>
      <w:r>
        <w:rPr>
          <w:rFonts w:ascii="Calibri" w:hAnsi="Calibri"/>
          <w:color w:val="000000"/>
          <w:sz w:val="22"/>
        </w:rPr>
        <w:t>Short verb-led phrase; translated into English when necessary.</w:t>
      </w:r>
    </w:p>
    <w:p>
      <w:pPr>
        <w:spacing w:after="100"/>
      </w:pPr>
      <w:r>
        <w:rPr>
          <w:rFonts w:ascii="Calibri" w:hAnsi="Calibri"/>
          <w:b/>
          <w:color w:val="1F4D78"/>
          <w:sz w:val="22"/>
        </w:rPr>
        <w:t xml:space="preserve">Controlled values: </w:t>
      </w:r>
      <w:r>
        <w:rPr>
          <w:rFonts w:ascii="Calibri" w:hAnsi="Calibri"/>
          <w:color w:val="000000"/>
          <w:sz w:val="22"/>
        </w:rPr>
        <w:t>Not applicable.</w:t>
      </w:r>
    </w:p>
    <w:p>
      <w:pPr>
        <w:spacing w:after="100"/>
      </w:pPr>
      <w:r>
        <w:rPr>
          <w:rFonts w:ascii="Calibri" w:hAnsi="Calibri"/>
          <w:b/>
          <w:color w:val="1F4D78"/>
          <w:sz w:val="22"/>
        </w:rPr>
        <w:t xml:space="preserve">Coding rule: </w:t>
      </w:r>
      <w:r>
        <w:rPr>
          <w:rFonts w:ascii="Calibri" w:hAnsi="Calibri"/>
          <w:color w:val="000000"/>
          <w:sz w:val="22"/>
        </w:rPr>
        <w:t>Standardize only what the source supports. For uncertain candidates, use cautious wording and avoid inventing a mechanism.</w:t>
      </w:r>
    </w:p>
    <w:p>
      <w:pPr>
        <w:spacing w:after="100"/>
      </w:pPr>
      <w:r>
        <w:rPr>
          <w:rFonts w:ascii="Calibri" w:hAnsi="Calibri"/>
          <w:b/>
          <w:color w:val="1F4D78"/>
          <w:sz w:val="22"/>
        </w:rPr>
        <w:t xml:space="preserve">Treatment of reform aspirations: </w:t>
      </w:r>
      <w:r>
        <w:rPr>
          <w:rFonts w:ascii="Calibri" w:hAnsi="Calibri"/>
          <w:color w:val="000000"/>
          <w:sz w:val="22"/>
        </w:rPr>
        <w:t>For unlinked aspirations, retain qualifiers such as 'potentially' or use the exact broad verb until human validation.</w:t>
      </w:r>
    </w:p>
    <w:p>
      <w:pPr>
        <w:spacing w:after="180"/>
      </w:pPr>
      <w:r>
        <w:rPr>
          <w:rFonts w:ascii="Calibri" w:hAnsi="Calibri"/>
          <w:b/>
          <w:color w:val="1F4D78"/>
          <w:sz w:val="22"/>
        </w:rPr>
        <w:t xml:space="preserve">Example: </w:t>
      </w:r>
      <w:r>
        <w:rPr>
          <w:rFonts w:ascii="Calibri" w:hAnsi="Calibri"/>
          <w:color w:val="000000"/>
          <w:sz w:val="22"/>
        </w:rPr>
        <w:t>Potentially strengthen water-sector governance and coordination.</w:t>
      </w:r>
    </w:p>
    <w:p>
      <w:pPr>
        <w:pStyle w:val="Heading3"/>
        <w:keepNext/>
      </w:pPr>
      <w:r>
        <w:t>7. Detailed Description</w:t>
      </w:r>
    </w:p>
    <w:p>
      <w:pPr>
        <w:spacing w:after="100"/>
      </w:pPr>
      <w:r>
        <w:rPr>
          <w:rFonts w:ascii="Calibri" w:hAnsi="Calibri"/>
          <w:b/>
          <w:color w:val="1F4D78"/>
          <w:sz w:val="22"/>
        </w:rPr>
        <w:t xml:space="preserve">Definition: </w:t>
      </w:r>
      <w:r>
        <w:rPr>
          <w:rFonts w:ascii="Calibri" w:hAnsi="Calibri"/>
          <w:color w:val="000000"/>
          <w:sz w:val="22"/>
        </w:rPr>
        <w:t>A brief explanation of what the candidate does, the system it may change, and any relevant Compact context.</w:t>
      </w:r>
    </w:p>
    <w:p>
      <w:pPr>
        <w:spacing w:after="100"/>
      </w:pPr>
      <w:r>
        <w:rPr>
          <w:rFonts w:ascii="Calibri" w:hAnsi="Calibri"/>
          <w:b/>
          <w:color w:val="1F4D78"/>
          <w:sz w:val="22"/>
        </w:rPr>
        <w:t xml:space="preserve">Format: </w:t>
      </w:r>
      <w:r>
        <w:rPr>
          <w:rFonts w:ascii="Calibri" w:hAnsi="Calibri"/>
          <w:color w:val="000000"/>
          <w:sz w:val="22"/>
        </w:rPr>
        <w:t>Up to three sentences.</w:t>
      </w:r>
    </w:p>
    <w:p>
      <w:pPr>
        <w:spacing w:after="100"/>
      </w:pPr>
      <w:r>
        <w:rPr>
          <w:rFonts w:ascii="Calibri" w:hAnsi="Calibri"/>
          <w:b/>
          <w:color w:val="1F4D78"/>
          <w:sz w:val="22"/>
        </w:rPr>
        <w:t xml:space="preserve">Controlled values: </w:t>
      </w:r>
      <w:r>
        <w:rPr>
          <w:rFonts w:ascii="Calibri" w:hAnsi="Calibri"/>
          <w:color w:val="000000"/>
          <w:sz w:val="22"/>
        </w:rPr>
        <w:t>Not applicable.</w:t>
      </w:r>
    </w:p>
    <w:p>
      <w:pPr>
        <w:spacing w:after="100"/>
      </w:pPr>
      <w:r>
        <w:rPr>
          <w:rFonts w:ascii="Calibri" w:hAnsi="Calibri"/>
          <w:b/>
          <w:color w:val="1F4D78"/>
          <w:sz w:val="22"/>
        </w:rPr>
        <w:t xml:space="preserve">Coding rule: </w:t>
      </w:r>
      <w:r>
        <w:rPr>
          <w:rFonts w:ascii="Calibri" w:hAnsi="Calibri"/>
          <w:color w:val="000000"/>
          <w:sz w:val="22"/>
        </w:rPr>
        <w:t>Interpretation is permitted but must remain grounded in the cited text. Explicitly state uncertainty where the mechanism is incomplete.</w:t>
      </w:r>
    </w:p>
    <w:p>
      <w:pPr>
        <w:spacing w:after="100"/>
      </w:pPr>
      <w:r>
        <w:rPr>
          <w:rFonts w:ascii="Calibri" w:hAnsi="Calibri"/>
          <w:b/>
          <w:color w:val="1F4D78"/>
          <w:sz w:val="22"/>
        </w:rPr>
        <w:t xml:space="preserve">Treatment of reform aspirations: </w:t>
      </w:r>
      <w:r>
        <w:rPr>
          <w:rFonts w:ascii="Calibri" w:hAnsi="Calibri"/>
          <w:color w:val="000000"/>
          <w:sz w:val="22"/>
        </w:rPr>
        <w:t>Explain which mechanism is missing and whether another passage may clarify it.</w:t>
      </w:r>
    </w:p>
    <w:p>
      <w:pPr>
        <w:spacing w:after="180"/>
      </w:pPr>
      <w:r>
        <w:rPr>
          <w:rFonts w:ascii="Calibri" w:hAnsi="Calibri"/>
          <w:b/>
          <w:color w:val="1F4D78"/>
          <w:sz w:val="22"/>
        </w:rPr>
        <w:t xml:space="preserve">Example: </w:t>
      </w:r>
      <w:r>
        <w:rPr>
          <w:rFonts w:ascii="Calibri" w:hAnsi="Calibri"/>
          <w:color w:val="000000"/>
          <w:sz w:val="22"/>
        </w:rPr>
        <w:t>The Compact commits to stronger sector coordination but does not specify the coordination body, mandate, or operating mechanism.</w:t>
      </w:r>
    </w:p>
    <w:p>
      <w:pPr>
        <w:pStyle w:val="Heading3"/>
        <w:keepNext/>
      </w:pPr>
      <w:r>
        <w:t>8. Candidate Stream</w:t>
      </w:r>
    </w:p>
    <w:p>
      <w:pPr>
        <w:spacing w:after="100"/>
      </w:pPr>
      <w:r>
        <w:rPr>
          <w:rFonts w:ascii="Calibri" w:hAnsi="Calibri"/>
          <w:b/>
          <w:color w:val="1F4D78"/>
          <w:sz w:val="22"/>
        </w:rPr>
        <w:t xml:space="preserve">Definition: </w:t>
      </w:r>
      <w:r>
        <w:rPr>
          <w:rFonts w:ascii="Calibri" w:hAnsi="Calibri"/>
          <w:color w:val="000000"/>
          <w:sz w:val="22"/>
        </w:rPr>
        <w:t>The preliminary LLM review queue assigned to the candidate.</w:t>
      </w:r>
    </w:p>
    <w:p>
      <w:pPr>
        <w:spacing w:after="100"/>
      </w:pPr>
      <w:r>
        <w:rPr>
          <w:rFonts w:ascii="Calibri" w:hAnsi="Calibri"/>
          <w:b/>
          <w:color w:val="1F4D78"/>
          <w:sz w:val="22"/>
        </w:rPr>
        <w:t xml:space="preserve">Format: </w:t>
      </w:r>
      <w:r>
        <w:rPr>
          <w:rFonts w:ascii="Calibri" w:hAnsi="Calibri"/>
          <w:color w:val="000000"/>
          <w:sz w:val="22"/>
        </w:rPr>
        <w:t>Single controlled value.</w:t>
      </w:r>
    </w:p>
    <w:p>
      <w:pPr>
        <w:spacing w:after="100"/>
      </w:pPr>
      <w:r>
        <w:rPr>
          <w:rFonts w:ascii="Calibri" w:hAnsi="Calibri"/>
          <w:b/>
          <w:color w:val="1F4D78"/>
          <w:sz w:val="22"/>
        </w:rPr>
        <w:t xml:space="preserve">Controlled values: </w:t>
      </w:r>
      <w:r>
        <w:rPr>
          <w:rFonts w:ascii="Calibri" w:hAnsi="Calibri"/>
          <w:color w:val="000000"/>
          <w:sz w:val="22"/>
        </w:rPr>
        <w:t>High-confidence Reform Action; Potential Reform Action - Human Review; High-confidence Non-reform.</w:t>
      </w:r>
    </w:p>
    <w:p>
      <w:pPr>
        <w:spacing w:after="100"/>
      </w:pPr>
      <w:r>
        <w:rPr>
          <w:rFonts w:ascii="Calibri" w:hAnsi="Calibri"/>
          <w:b/>
          <w:color w:val="1F4D78"/>
          <w:sz w:val="22"/>
        </w:rPr>
        <w:t xml:space="preserve">Coding rule: </w:t>
      </w:r>
      <w:r>
        <w:rPr>
          <w:rFonts w:ascii="Calibri" w:hAnsi="Calibri"/>
          <w:color w:val="000000"/>
          <w:sz w:val="22"/>
        </w:rPr>
        <w:t>This is an initial LLM classification, not the final human decision. It controls the review queue.</w:t>
      </w:r>
    </w:p>
    <w:p>
      <w:pPr>
        <w:spacing w:after="100"/>
      </w:pPr>
      <w:r>
        <w:rPr>
          <w:rFonts w:ascii="Calibri" w:hAnsi="Calibri"/>
          <w:b/>
          <w:color w:val="1F4D78"/>
          <w:sz w:val="22"/>
        </w:rPr>
        <w:t xml:space="preserve">Treatment of reform aspirations: </w:t>
      </w:r>
      <w:r>
        <w:rPr>
          <w:rFonts w:ascii="Calibri" w:hAnsi="Calibri"/>
          <w:color w:val="000000"/>
          <w:sz w:val="22"/>
        </w:rPr>
        <w:t>An aspiration with a plausible system-change signal but no clear mechanism normally enters the Potential Reform Action queue.</w:t>
      </w:r>
    </w:p>
    <w:p>
      <w:pPr>
        <w:spacing w:after="180"/>
      </w:pPr>
      <w:r>
        <w:rPr>
          <w:rFonts w:ascii="Calibri" w:hAnsi="Calibri"/>
          <w:b/>
          <w:color w:val="1F4D78"/>
          <w:sz w:val="22"/>
        </w:rPr>
        <w:t xml:space="preserve">Example: </w:t>
      </w:r>
      <w:r>
        <w:rPr>
          <w:rFonts w:ascii="Calibri" w:hAnsi="Calibri"/>
          <w:color w:val="000000"/>
          <w:sz w:val="22"/>
        </w:rPr>
        <w:t>Potential Reform Action - Human Review.</w:t>
      </w:r>
    </w:p>
    <w:p>
      <w:pPr>
        <w:pStyle w:val="Heading3"/>
        <w:keepNext/>
      </w:pPr>
      <w:r>
        <w:t>9. Inclusion Decision</w:t>
      </w:r>
    </w:p>
    <w:p>
      <w:pPr>
        <w:spacing w:after="100"/>
      </w:pPr>
      <w:r>
        <w:rPr>
          <w:rFonts w:ascii="Calibri" w:hAnsi="Calibri"/>
          <w:b/>
          <w:color w:val="1F4D78"/>
          <w:sz w:val="22"/>
        </w:rPr>
        <w:t xml:space="preserve">Definition: </w:t>
      </w:r>
      <w:r>
        <w:rPr>
          <w:rFonts w:ascii="Calibri" w:hAnsi="Calibri"/>
          <w:color w:val="000000"/>
          <w:sz w:val="22"/>
        </w:rPr>
        <w:t>The current analytical decision on whether the candidate qualifies as a distinct reform action.</w:t>
      </w:r>
    </w:p>
    <w:p>
      <w:pPr>
        <w:spacing w:after="100"/>
      </w:pPr>
      <w:r>
        <w:rPr>
          <w:rFonts w:ascii="Calibri" w:hAnsi="Calibri"/>
          <w:b/>
          <w:color w:val="1F4D78"/>
          <w:sz w:val="22"/>
        </w:rPr>
        <w:t xml:space="preserve">Format: </w:t>
      </w:r>
      <w:r>
        <w:rPr>
          <w:rFonts w:ascii="Calibri" w:hAnsi="Calibri"/>
          <w:color w:val="000000"/>
          <w:sz w:val="22"/>
        </w:rPr>
        <w:t>Single controlled value that may change during review.</w:t>
      </w:r>
    </w:p>
    <w:p>
      <w:pPr>
        <w:spacing w:after="100"/>
      </w:pPr>
      <w:r>
        <w:rPr>
          <w:rFonts w:ascii="Calibri" w:hAnsi="Calibri"/>
          <w:b/>
          <w:color w:val="1F4D78"/>
          <w:sz w:val="22"/>
        </w:rPr>
        <w:t xml:space="preserve">Controlled values: </w:t>
      </w:r>
      <w:r>
        <w:rPr>
          <w:rFonts w:ascii="Calibri" w:hAnsi="Calibri"/>
          <w:color w:val="000000"/>
          <w:sz w:val="22"/>
        </w:rPr>
        <w:t>Included; For Review; Excluded; Consolidated.</w:t>
      </w:r>
    </w:p>
    <w:p>
      <w:pPr>
        <w:spacing w:after="100"/>
      </w:pPr>
      <w:r>
        <w:rPr>
          <w:rFonts w:ascii="Calibri" w:hAnsi="Calibri"/>
          <w:b/>
          <w:color w:val="1F4D78"/>
          <w:sz w:val="22"/>
        </w:rPr>
        <w:t xml:space="preserve">Coding rule: </w:t>
      </w:r>
      <w:r>
        <w:rPr>
          <w:rFonts w:ascii="Calibri" w:hAnsi="Calibri"/>
          <w:color w:val="000000"/>
          <w:sz w:val="22"/>
        </w:rPr>
        <w:t>LLM high-confidence reforms may initially be Included subject to validation; potential reforms must be For Review; clear non-reforms are Excluded; subordinate or duplicate items are Consolidated.</w:t>
      </w:r>
    </w:p>
    <w:p>
      <w:pPr>
        <w:spacing w:after="100"/>
      </w:pPr>
      <w:r>
        <w:rPr>
          <w:rFonts w:ascii="Calibri" w:hAnsi="Calibri"/>
          <w:b/>
          <w:color w:val="1F4D78"/>
          <w:sz w:val="22"/>
        </w:rPr>
        <w:t xml:space="preserve">Treatment of reform aspirations: </w:t>
      </w:r>
      <w:r>
        <w:rPr>
          <w:rFonts w:ascii="Calibri" w:hAnsi="Calibri"/>
          <w:color w:val="000000"/>
          <w:sz w:val="22"/>
        </w:rPr>
        <w:t>An aspiration remains For Review until an actionable mechanism is validated; otherwise it becomes Excluded or Consolidated.</w:t>
      </w:r>
    </w:p>
    <w:p>
      <w:pPr>
        <w:spacing w:after="180"/>
      </w:pPr>
      <w:r>
        <w:rPr>
          <w:rFonts w:ascii="Calibri" w:hAnsi="Calibri"/>
          <w:b/>
          <w:color w:val="1F4D78"/>
          <w:sz w:val="22"/>
        </w:rPr>
        <w:t xml:space="preserve">Example: </w:t>
      </w:r>
      <w:r>
        <w:rPr>
          <w:rFonts w:ascii="Calibri" w:hAnsi="Calibri"/>
          <w:color w:val="000000"/>
          <w:sz w:val="22"/>
        </w:rPr>
        <w:t>For Review.</w:t>
      </w:r>
    </w:p>
    <w:p>
      <w:pPr>
        <w:pStyle w:val="Heading3"/>
        <w:keepNext/>
      </w:pPr>
      <w:r>
        <w:t>10. Coding Tag</w:t>
      </w:r>
    </w:p>
    <w:p>
      <w:pPr>
        <w:spacing w:after="100"/>
      </w:pPr>
      <w:r>
        <w:rPr>
          <w:rFonts w:ascii="Calibri" w:hAnsi="Calibri"/>
          <w:b/>
          <w:color w:val="1F4D78"/>
          <w:sz w:val="22"/>
        </w:rPr>
        <w:t xml:space="preserve">Definition: </w:t>
      </w:r>
      <w:r>
        <w:rPr>
          <w:rFonts w:ascii="Calibri" w:hAnsi="Calibri"/>
          <w:color w:val="000000"/>
          <w:sz w:val="22"/>
        </w:rPr>
        <w:t>A specific analytical label explaining the type of reform candidate or the reason for exclusion.</w:t>
      </w:r>
    </w:p>
    <w:p>
      <w:pPr>
        <w:spacing w:after="100"/>
      </w:pPr>
      <w:r>
        <w:rPr>
          <w:rFonts w:ascii="Calibri" w:hAnsi="Calibri"/>
          <w:b/>
          <w:color w:val="1F4D78"/>
          <w:sz w:val="22"/>
        </w:rPr>
        <w:t xml:space="preserve">Format: </w:t>
      </w:r>
      <w:r>
        <w:rPr>
          <w:rFonts w:ascii="Calibri" w:hAnsi="Calibri"/>
          <w:color w:val="000000"/>
          <w:sz w:val="22"/>
        </w:rPr>
        <w:t>Single controlled value.</w:t>
      </w:r>
    </w:p>
    <w:p>
      <w:pPr>
        <w:spacing w:after="100"/>
      </w:pPr>
      <w:r>
        <w:rPr>
          <w:rFonts w:ascii="Calibri" w:hAnsi="Calibri"/>
          <w:b/>
          <w:color w:val="1F4D78"/>
          <w:sz w:val="22"/>
        </w:rPr>
        <w:t xml:space="preserve">Controlled values: </w:t>
      </w:r>
      <w:r>
        <w:rPr>
          <w:rFonts w:ascii="Calibri" w:hAnsi="Calibri"/>
          <w:color w:val="000000"/>
          <w:sz w:val="22"/>
        </w:rPr>
        <w:t>Core Reform Action; Target-form Reform Action; Roadmap Enabling Reform; Reform Aspiration - Potential; Consolidated/Covered by Broader Reform; Implementation/Investment Activity; Outcome/Coverage Target; Investment Pipeline/Project Preparation; Outside Sector Scope.</w:t>
      </w:r>
    </w:p>
    <w:p>
      <w:pPr>
        <w:spacing w:after="100"/>
      </w:pPr>
      <w:r>
        <w:rPr>
          <w:rFonts w:ascii="Calibri" w:hAnsi="Calibri"/>
          <w:b/>
          <w:color w:val="1F4D78"/>
          <w:sz w:val="22"/>
        </w:rPr>
        <w:t xml:space="preserve">Coding rule: </w:t>
      </w:r>
      <w:r>
        <w:rPr>
          <w:rFonts w:ascii="Calibri" w:hAnsi="Calibri"/>
          <w:color w:val="000000"/>
          <w:sz w:val="22"/>
        </w:rPr>
        <w:t>Assign the tag that best describes the candidate's substantive status. Candidate Stream determines the queue; Coding Tag explains the type.</w:t>
      </w:r>
    </w:p>
    <w:p>
      <w:pPr>
        <w:spacing w:after="100"/>
      </w:pPr>
      <w:r>
        <w:rPr>
          <w:rFonts w:ascii="Calibri" w:hAnsi="Calibri"/>
          <w:b/>
          <w:color w:val="1F4D78"/>
          <w:sz w:val="22"/>
        </w:rPr>
        <w:t xml:space="preserve">Treatment of reform aspirations: </w:t>
      </w:r>
      <w:r>
        <w:rPr>
          <w:rFonts w:ascii="Calibri" w:hAnsi="Calibri"/>
          <w:color w:val="000000"/>
          <w:sz w:val="22"/>
        </w:rPr>
        <w:t>Use Reform Aspiration - Potential for broad system-change language that lacks a sufficiently discrete mechanism.</w:t>
      </w:r>
    </w:p>
    <w:p>
      <w:pPr>
        <w:spacing w:after="180"/>
      </w:pPr>
      <w:r>
        <w:rPr>
          <w:rFonts w:ascii="Calibri" w:hAnsi="Calibri"/>
          <w:b/>
          <w:color w:val="1F4D78"/>
          <w:sz w:val="22"/>
        </w:rPr>
        <w:t xml:space="preserve">Example: </w:t>
      </w:r>
      <w:r>
        <w:rPr>
          <w:rFonts w:ascii="Calibri" w:hAnsi="Calibri"/>
          <w:color w:val="000000"/>
          <w:sz w:val="22"/>
        </w:rPr>
        <w:t>Reform Aspiration - Potential.</w:t>
      </w:r>
    </w:p>
    <w:p>
      <w:pPr>
        <w:pStyle w:val="Heading3"/>
        <w:keepNext/>
      </w:pPr>
      <w:r>
        <w:t>11. Count in Reform Total</w:t>
      </w:r>
    </w:p>
    <w:p>
      <w:pPr>
        <w:spacing w:after="100"/>
      </w:pPr>
      <w:r>
        <w:rPr>
          <w:rFonts w:ascii="Calibri" w:hAnsi="Calibri"/>
          <w:b/>
          <w:color w:val="1F4D78"/>
          <w:sz w:val="22"/>
        </w:rPr>
        <w:t xml:space="preserve">Definition: </w:t>
      </w:r>
      <w:r>
        <w:rPr>
          <w:rFonts w:ascii="Calibri" w:hAnsi="Calibri"/>
          <w:color w:val="000000"/>
          <w:sz w:val="22"/>
        </w:rPr>
        <w:t>Indicates whether the row enters the official headline number of reform actions.</w:t>
      </w:r>
    </w:p>
    <w:p>
      <w:pPr>
        <w:spacing w:after="100"/>
      </w:pPr>
      <w:r>
        <w:rPr>
          <w:rFonts w:ascii="Calibri" w:hAnsi="Calibri"/>
          <w:b/>
          <w:color w:val="1F4D78"/>
          <w:sz w:val="22"/>
        </w:rPr>
        <w:t xml:space="preserve">Format: </w:t>
      </w:r>
      <w:r>
        <w:rPr>
          <w:rFonts w:ascii="Calibri" w:hAnsi="Calibri"/>
          <w:color w:val="000000"/>
          <w:sz w:val="22"/>
        </w:rPr>
        <w:t>Binary field.</w:t>
      </w:r>
    </w:p>
    <w:p>
      <w:pPr>
        <w:spacing w:after="100"/>
      </w:pPr>
      <w:r>
        <w:rPr>
          <w:rFonts w:ascii="Calibri" w:hAnsi="Calibri"/>
          <w:b/>
          <w:color w:val="1F4D78"/>
          <w:sz w:val="22"/>
        </w:rPr>
        <w:t xml:space="preserve">Controlled values: </w:t>
      </w:r>
      <w:r>
        <w:rPr>
          <w:rFonts w:ascii="Calibri" w:hAnsi="Calibri"/>
          <w:color w:val="000000"/>
          <w:sz w:val="22"/>
        </w:rPr>
        <w:t>Yes; No.</w:t>
      </w:r>
    </w:p>
    <w:p>
      <w:pPr>
        <w:spacing w:after="100"/>
      </w:pPr>
      <w:r>
        <w:rPr>
          <w:rFonts w:ascii="Calibri" w:hAnsi="Calibri"/>
          <w:b/>
          <w:color w:val="1F4D78"/>
          <w:sz w:val="22"/>
        </w:rPr>
        <w:t xml:space="preserve">Coding rule: </w:t>
      </w:r>
      <w:r>
        <w:rPr>
          <w:rFonts w:ascii="Calibri" w:hAnsi="Calibri"/>
          <w:color w:val="000000"/>
          <w:sz w:val="22"/>
        </w:rPr>
        <w:t>Use Yes only for validated, distinct reform actions. Use No for potential, excluded, consolidated, duplicate, and non-reform rows. Review status distinguishes pending items from confirmed exclusions.</w:t>
      </w:r>
    </w:p>
    <w:p>
      <w:pPr>
        <w:spacing w:after="100"/>
      </w:pPr>
      <w:r>
        <w:rPr>
          <w:rFonts w:ascii="Calibri" w:hAnsi="Calibri"/>
          <w:b/>
          <w:color w:val="1F4D78"/>
          <w:sz w:val="22"/>
        </w:rPr>
        <w:t xml:space="preserve">Treatment of reform aspirations: </w:t>
      </w:r>
      <w:r>
        <w:rPr>
          <w:rFonts w:ascii="Calibri" w:hAnsi="Calibri"/>
          <w:color w:val="000000"/>
          <w:sz w:val="22"/>
        </w:rPr>
        <w:t>Reform aspirations must remain No unless linked to a concrete mechanism and validated.</w:t>
      </w:r>
    </w:p>
    <w:p>
      <w:pPr>
        <w:spacing w:after="180"/>
      </w:pPr>
      <w:r>
        <w:rPr>
          <w:rFonts w:ascii="Calibri" w:hAnsi="Calibri"/>
          <w:b/>
          <w:color w:val="1F4D78"/>
          <w:sz w:val="22"/>
        </w:rPr>
        <w:t xml:space="preserve">Example: </w:t>
      </w:r>
      <w:r>
        <w:rPr>
          <w:rFonts w:ascii="Calibri" w:hAnsi="Calibri"/>
          <w:color w:val="000000"/>
          <w:sz w:val="22"/>
        </w:rPr>
        <w:t>No for a potential aspiration; Yes only after validation as an actionable reform.</w:t>
      </w:r>
    </w:p>
    <w:p>
      <w:pPr>
        <w:pStyle w:val="Heading3"/>
        <w:keepNext/>
      </w:pPr>
      <w:r>
        <w:t>12. LLM Classification Confidence</w:t>
      </w:r>
    </w:p>
    <w:p>
      <w:pPr>
        <w:spacing w:after="100"/>
      </w:pPr>
      <w:r>
        <w:rPr>
          <w:rFonts w:ascii="Calibri" w:hAnsi="Calibri"/>
          <w:b/>
          <w:color w:val="1F4D78"/>
          <w:sz w:val="22"/>
        </w:rPr>
        <w:t xml:space="preserve">Definition: </w:t>
      </w:r>
      <w:r>
        <w:rPr>
          <w:rFonts w:ascii="Calibri" w:hAnsi="Calibri"/>
          <w:color w:val="000000"/>
          <w:sz w:val="22"/>
        </w:rPr>
        <w:t>The LLM's confidence in its assigned Candidate Stream and Coding Tag, not a probability that the passage is a reform.</w:t>
      </w:r>
    </w:p>
    <w:p>
      <w:pPr>
        <w:spacing w:after="100"/>
      </w:pPr>
      <w:r>
        <w:rPr>
          <w:rFonts w:ascii="Calibri" w:hAnsi="Calibri"/>
          <w:b/>
          <w:color w:val="1F4D78"/>
          <w:sz w:val="22"/>
        </w:rPr>
        <w:t xml:space="preserve">Format: </w:t>
      </w:r>
      <w:r>
        <w:rPr>
          <w:rFonts w:ascii="Calibri" w:hAnsi="Calibri"/>
          <w:color w:val="000000"/>
          <w:sz w:val="22"/>
        </w:rPr>
        <w:t>Single controlled value.</w:t>
      </w:r>
    </w:p>
    <w:p>
      <w:pPr>
        <w:spacing w:after="100"/>
      </w:pPr>
      <w:r>
        <w:rPr>
          <w:rFonts w:ascii="Calibri" w:hAnsi="Calibri"/>
          <w:b/>
          <w:color w:val="1F4D78"/>
          <w:sz w:val="22"/>
        </w:rPr>
        <w:t xml:space="preserve">Controlled values: </w:t>
      </w:r>
      <w:r>
        <w:rPr>
          <w:rFonts w:ascii="Calibri" w:hAnsi="Calibri"/>
          <w:color w:val="000000"/>
          <w:sz w:val="22"/>
        </w:rPr>
        <w:t>High; Medium; Low.</w:t>
      </w:r>
    </w:p>
    <w:p>
      <w:pPr>
        <w:spacing w:after="100"/>
      </w:pPr>
      <w:r>
        <w:rPr>
          <w:rFonts w:ascii="Calibri" w:hAnsi="Calibri"/>
          <w:b/>
          <w:color w:val="1F4D78"/>
          <w:sz w:val="22"/>
        </w:rPr>
        <w:t xml:space="preserve">Coding rule: </w:t>
      </w:r>
      <w:r>
        <w:rPr>
          <w:rFonts w:ascii="Calibri" w:hAnsi="Calibri"/>
          <w:color w:val="000000"/>
          <w:sz w:val="22"/>
        </w:rPr>
        <w:t>Use confidence together with the criterion assessment and rationale. A clear infrastructure output can be a High-confidence Non-reform.</w:t>
      </w:r>
    </w:p>
    <w:p>
      <w:pPr>
        <w:spacing w:after="100"/>
      </w:pPr>
      <w:r>
        <w:rPr>
          <w:rFonts w:ascii="Calibri" w:hAnsi="Calibri"/>
          <w:b/>
          <w:color w:val="1F4D78"/>
          <w:sz w:val="22"/>
        </w:rPr>
        <w:t xml:space="preserve">Treatment of reform aspirations: </w:t>
      </w:r>
      <w:r>
        <w:rPr>
          <w:rFonts w:ascii="Calibri" w:hAnsi="Calibri"/>
          <w:color w:val="000000"/>
          <w:sz w:val="22"/>
        </w:rPr>
        <w:t>Broad aspirations are commonly Low or Medium confidence unless another passage supplies the mechanism.</w:t>
      </w:r>
    </w:p>
    <w:p>
      <w:pPr>
        <w:spacing w:after="180"/>
      </w:pPr>
      <w:r>
        <w:rPr>
          <w:rFonts w:ascii="Calibri" w:hAnsi="Calibri"/>
          <w:b/>
          <w:color w:val="1F4D78"/>
          <w:sz w:val="22"/>
        </w:rPr>
        <w:t xml:space="preserve">Example: </w:t>
      </w:r>
      <w:r>
        <w:rPr>
          <w:rFonts w:ascii="Calibri" w:hAnsi="Calibri"/>
          <w:color w:val="000000"/>
          <w:sz w:val="22"/>
        </w:rPr>
        <w:t>Low confidence that 'strengthen sector performance' constitutes an actionable reform.</w:t>
      </w:r>
    </w:p>
    <w:p>
      <w:pPr>
        <w:pStyle w:val="Heading3"/>
        <w:keepNext/>
      </w:pPr>
      <w:r>
        <w:t>13. Decision Rationale</w:t>
      </w:r>
    </w:p>
    <w:p>
      <w:pPr>
        <w:spacing w:after="100"/>
      </w:pPr>
      <w:r>
        <w:rPr>
          <w:rFonts w:ascii="Calibri" w:hAnsi="Calibri"/>
          <w:b/>
          <w:color w:val="1F4D78"/>
          <w:sz w:val="22"/>
        </w:rPr>
        <w:t xml:space="preserve">Definition: </w:t>
      </w:r>
      <w:r>
        <w:rPr>
          <w:rFonts w:ascii="Calibri" w:hAnsi="Calibri"/>
          <w:color w:val="000000"/>
          <w:sz w:val="22"/>
        </w:rPr>
        <w:t>The reason the LLM or reviewer included, referred, excluded, split, or consolidated the candidate.</w:t>
      </w:r>
    </w:p>
    <w:p>
      <w:pPr>
        <w:spacing w:after="100"/>
      </w:pPr>
      <w:r>
        <w:rPr>
          <w:rFonts w:ascii="Calibri" w:hAnsi="Calibri"/>
          <w:b/>
          <w:color w:val="1F4D78"/>
          <w:sz w:val="22"/>
        </w:rPr>
        <w:t xml:space="preserve">Format: </w:t>
      </w:r>
      <w:r>
        <w:rPr>
          <w:rFonts w:ascii="Calibri" w:hAnsi="Calibri"/>
          <w:color w:val="000000"/>
          <w:sz w:val="22"/>
        </w:rPr>
        <w:t>One to three concise sentences.</w:t>
      </w:r>
    </w:p>
    <w:p>
      <w:pPr>
        <w:spacing w:after="100"/>
      </w:pPr>
      <w:r>
        <w:rPr>
          <w:rFonts w:ascii="Calibri" w:hAnsi="Calibri"/>
          <w:b/>
          <w:color w:val="1F4D78"/>
          <w:sz w:val="22"/>
        </w:rPr>
        <w:t xml:space="preserve">Controlled values: </w:t>
      </w:r>
      <w:r>
        <w:rPr>
          <w:rFonts w:ascii="Calibri" w:hAnsi="Calibri"/>
          <w:color w:val="000000"/>
          <w:sz w:val="22"/>
        </w:rPr>
        <w:t>Not applicable.</w:t>
      </w:r>
    </w:p>
    <w:p>
      <w:pPr>
        <w:spacing w:after="100"/>
      </w:pPr>
      <w:r>
        <w:rPr>
          <w:rFonts w:ascii="Calibri" w:hAnsi="Calibri"/>
          <w:b/>
          <w:color w:val="1F4D78"/>
          <w:sz w:val="22"/>
        </w:rPr>
        <w:t xml:space="preserve">Coding rule: </w:t>
      </w:r>
      <w:r>
        <w:rPr>
          <w:rFonts w:ascii="Calibri" w:hAnsi="Calibri"/>
          <w:color w:val="000000"/>
          <w:sz w:val="22"/>
        </w:rPr>
        <w:t>Identify the system-change mechanism or specify what is missing. For exclusions, name the applicable exclusion rule.</w:t>
      </w:r>
    </w:p>
    <w:p>
      <w:pPr>
        <w:spacing w:after="100"/>
      </w:pPr>
      <w:r>
        <w:rPr>
          <w:rFonts w:ascii="Calibri" w:hAnsi="Calibri"/>
          <w:b/>
          <w:color w:val="1F4D78"/>
          <w:sz w:val="22"/>
        </w:rPr>
        <w:t xml:space="preserve">Treatment of reform aspirations: </w:t>
      </w:r>
      <w:r>
        <w:rPr>
          <w:rFonts w:ascii="Calibri" w:hAnsi="Calibri"/>
          <w:color w:val="000000"/>
          <w:sz w:val="22"/>
        </w:rPr>
        <w:t>For aspirations, explicitly describe the missing commitment or mechanism and any linked evidence.</w:t>
      </w:r>
    </w:p>
    <w:p>
      <w:pPr>
        <w:spacing w:after="180"/>
      </w:pPr>
      <w:r>
        <w:rPr>
          <w:rFonts w:ascii="Calibri" w:hAnsi="Calibri"/>
          <w:b/>
          <w:color w:val="1F4D78"/>
          <w:sz w:val="22"/>
        </w:rPr>
        <w:t xml:space="preserve">Example: </w:t>
      </w:r>
      <w:r>
        <w:rPr>
          <w:rFonts w:ascii="Calibri" w:hAnsi="Calibri"/>
          <w:color w:val="000000"/>
          <w:sz w:val="22"/>
        </w:rPr>
        <w:t>Potential institutional reform, but the Compact does not specify a new body, mandate, process, or accountability mechanism.</w:t>
      </w:r>
    </w:p>
    <w:p>
      <w:pPr>
        <w:pStyle w:val="Heading3"/>
        <w:keepNext/>
      </w:pPr>
      <w:r>
        <w:t>14. Primary Pillar</w:t>
      </w:r>
    </w:p>
    <w:p>
      <w:pPr>
        <w:spacing w:after="100"/>
      </w:pPr>
      <w:r>
        <w:rPr>
          <w:rFonts w:ascii="Calibri" w:hAnsi="Calibri"/>
          <w:b/>
          <w:color w:val="1F4D78"/>
          <w:sz w:val="22"/>
        </w:rPr>
        <w:t xml:space="preserve">Definition: </w:t>
      </w:r>
      <w:r>
        <w:rPr>
          <w:rFonts w:ascii="Calibri" w:hAnsi="Calibri"/>
          <w:color w:val="000000"/>
          <w:sz w:val="22"/>
        </w:rPr>
        <w:t>The principal Water Forward pillar associated with the candidate.</w:t>
      </w:r>
    </w:p>
    <w:p>
      <w:pPr>
        <w:spacing w:after="100"/>
      </w:pPr>
      <w:r>
        <w:rPr>
          <w:rFonts w:ascii="Calibri" w:hAnsi="Calibri"/>
          <w:b/>
          <w:color w:val="1F4D78"/>
          <w:sz w:val="22"/>
        </w:rPr>
        <w:t xml:space="preserve">Format: </w:t>
      </w:r>
      <w:r>
        <w:rPr>
          <w:rFonts w:ascii="Calibri" w:hAnsi="Calibri"/>
          <w:color w:val="000000"/>
          <w:sz w:val="22"/>
        </w:rPr>
        <w:t>Single controlled value.</w:t>
      </w:r>
    </w:p>
    <w:p>
      <w:pPr>
        <w:spacing w:after="100"/>
      </w:pPr>
      <w:r>
        <w:rPr>
          <w:rFonts w:ascii="Calibri" w:hAnsi="Calibri"/>
          <w:b/>
          <w:color w:val="1F4D78"/>
          <w:sz w:val="22"/>
        </w:rPr>
        <w:t xml:space="preserve">Controlled values: </w:t>
      </w:r>
      <w:r>
        <w:rPr>
          <w:rFonts w:ascii="Calibri" w:hAnsi="Calibri"/>
          <w:color w:val="000000"/>
          <w:sz w:val="22"/>
        </w:rPr>
        <w:t>Water for People; Water for Food; Water for Planet; Cross-cutting.</w:t>
      </w:r>
    </w:p>
    <w:p>
      <w:pPr>
        <w:spacing w:after="100"/>
      </w:pPr>
      <w:r>
        <w:rPr>
          <w:rFonts w:ascii="Calibri" w:hAnsi="Calibri"/>
          <w:b/>
          <w:color w:val="1F4D78"/>
          <w:sz w:val="22"/>
        </w:rPr>
        <w:t xml:space="preserve">Coding rule: </w:t>
      </w:r>
      <w:r>
        <w:rPr>
          <w:rFonts w:ascii="Calibri" w:hAnsi="Calibri"/>
          <w:color w:val="000000"/>
          <w:sz w:val="22"/>
        </w:rPr>
        <w:t>Assign the pillar based on the primary sector function addressed. Use Cross-cutting carefully.</w:t>
      </w:r>
    </w:p>
    <w:p>
      <w:pPr>
        <w:spacing w:after="100"/>
      </w:pPr>
      <w:r>
        <w:rPr>
          <w:rFonts w:ascii="Calibri" w:hAnsi="Calibri"/>
          <w:b/>
          <w:color w:val="1F4D78"/>
          <w:sz w:val="22"/>
        </w:rPr>
        <w:t xml:space="preserve">Treatment of reform aspirations: </w:t>
      </w:r>
      <w:r>
        <w:rPr>
          <w:rFonts w:ascii="Calibri" w:hAnsi="Calibri"/>
          <w:color w:val="000000"/>
          <w:sz w:val="22"/>
        </w:rPr>
        <w:t>Leave provisional or explain uncertainty when an aspiration is too broad to support a reliable pillar assignment.</w:t>
      </w:r>
    </w:p>
    <w:p>
      <w:pPr>
        <w:spacing w:after="180"/>
      </w:pPr>
      <w:r>
        <w:rPr>
          <w:rFonts w:ascii="Calibri" w:hAnsi="Calibri"/>
          <w:b/>
          <w:color w:val="1F4D78"/>
          <w:sz w:val="22"/>
        </w:rPr>
        <w:t xml:space="preserve">Example: </w:t>
      </w:r>
      <w:r>
        <w:rPr>
          <w:rFonts w:ascii="Calibri" w:hAnsi="Calibri"/>
          <w:color w:val="000000"/>
          <w:sz w:val="22"/>
        </w:rPr>
        <w:t>Water for People.</w:t>
      </w:r>
    </w:p>
    <w:p>
      <w:pPr>
        <w:pStyle w:val="Heading3"/>
        <w:keepNext/>
      </w:pPr>
      <w:r>
        <w:t>15. Scalable Solution</w:t>
      </w:r>
    </w:p>
    <w:p>
      <w:pPr>
        <w:spacing w:after="100"/>
      </w:pPr>
      <w:r>
        <w:rPr>
          <w:rFonts w:ascii="Calibri" w:hAnsi="Calibri"/>
          <w:b/>
          <w:color w:val="1F4D78"/>
          <w:sz w:val="22"/>
        </w:rPr>
        <w:t xml:space="preserve">Definition: </w:t>
      </w:r>
      <w:r>
        <w:rPr>
          <w:rFonts w:ascii="Calibri" w:hAnsi="Calibri"/>
          <w:color w:val="000000"/>
          <w:sz w:val="22"/>
        </w:rPr>
        <w:t>The official WSIP Scalable Solution code or codes associated with the candidate.</w:t>
      </w:r>
    </w:p>
    <w:p>
      <w:pPr>
        <w:spacing w:after="100"/>
      </w:pPr>
      <w:r>
        <w:rPr>
          <w:rFonts w:ascii="Calibri" w:hAnsi="Calibri"/>
          <w:b/>
          <w:color w:val="1F4D78"/>
          <w:sz w:val="22"/>
        </w:rPr>
        <w:t xml:space="preserve">Format: </w:t>
      </w:r>
      <w:r>
        <w:rPr>
          <w:rFonts w:ascii="Calibri" w:hAnsi="Calibri"/>
          <w:color w:val="000000"/>
          <w:sz w:val="22"/>
        </w:rPr>
        <w:t>Controlled code; multiple values permitted where substantively justified.</w:t>
      </w:r>
    </w:p>
    <w:p>
      <w:pPr>
        <w:spacing w:after="100"/>
      </w:pPr>
      <w:r>
        <w:rPr>
          <w:rFonts w:ascii="Calibri" w:hAnsi="Calibri"/>
          <w:b/>
          <w:color w:val="1F4D78"/>
          <w:sz w:val="22"/>
        </w:rPr>
        <w:t xml:space="preserve">Controlled values: </w:t>
      </w:r>
      <w:r>
        <w:rPr>
          <w:rFonts w:ascii="Calibri" w:hAnsi="Calibri"/>
          <w:color w:val="000000"/>
          <w:sz w:val="22"/>
        </w:rPr>
        <w:t>S1-S7 using the maintained official reference taxonomy.</w:t>
      </w:r>
    </w:p>
    <w:p>
      <w:pPr>
        <w:spacing w:after="100"/>
      </w:pPr>
      <w:r>
        <w:rPr>
          <w:rFonts w:ascii="Calibri" w:hAnsi="Calibri"/>
          <w:b/>
          <w:color w:val="1F4D78"/>
          <w:sz w:val="22"/>
        </w:rPr>
        <w:t xml:space="preserve">Coding rule: </w:t>
      </w:r>
      <w:r>
        <w:rPr>
          <w:rFonts w:ascii="Calibri" w:hAnsi="Calibri"/>
          <w:color w:val="000000"/>
          <w:sz w:val="22"/>
        </w:rPr>
        <w:t>Do not substitute pillar names for Scalable Solution codes. Identify a primary relationship when more than one code applies.</w:t>
      </w:r>
    </w:p>
    <w:p>
      <w:pPr>
        <w:spacing w:after="100"/>
      </w:pPr>
      <w:r>
        <w:rPr>
          <w:rFonts w:ascii="Calibri" w:hAnsi="Calibri"/>
          <w:b/>
          <w:color w:val="1F4D78"/>
          <w:sz w:val="22"/>
        </w:rPr>
        <w:t xml:space="preserve">Treatment of reform aspirations: </w:t>
      </w:r>
      <w:r>
        <w:rPr>
          <w:rFonts w:ascii="Calibri" w:hAnsi="Calibri"/>
          <w:color w:val="000000"/>
          <w:sz w:val="22"/>
        </w:rPr>
        <w:t>Do not force a Scalable Solution assignment for a vague aspiration; mark it provisional or pending.</w:t>
      </w:r>
    </w:p>
    <w:p>
      <w:pPr>
        <w:spacing w:after="180"/>
      </w:pPr>
      <w:r>
        <w:rPr>
          <w:rFonts w:ascii="Calibri" w:hAnsi="Calibri"/>
          <w:b/>
          <w:color w:val="1F4D78"/>
          <w:sz w:val="22"/>
        </w:rPr>
        <w:t xml:space="preserve">Example: </w:t>
      </w:r>
      <w:r>
        <w:rPr>
          <w:rFonts w:ascii="Calibri" w:hAnsi="Calibri"/>
          <w:color w:val="000000"/>
          <w:sz w:val="22"/>
        </w:rPr>
        <w:t>S1; S4, where supported by the official reference taxonomy.</w:t>
      </w:r>
    </w:p>
    <w:p>
      <w:pPr>
        <w:pStyle w:val="Heading3"/>
        <w:keepNext/>
      </w:pPr>
      <w:r>
        <w:t>16. Tier 1 Reform Domain</w:t>
      </w:r>
    </w:p>
    <w:p>
      <w:pPr>
        <w:spacing w:after="100"/>
      </w:pPr>
      <w:r>
        <w:rPr>
          <w:rFonts w:ascii="Calibri" w:hAnsi="Calibri"/>
          <w:b/>
          <w:color w:val="1F4D78"/>
          <w:sz w:val="22"/>
        </w:rPr>
        <w:t xml:space="preserve">Definition: </w:t>
      </w:r>
      <w:r>
        <w:rPr>
          <w:rFonts w:ascii="Calibri" w:hAnsi="Calibri"/>
          <w:color w:val="000000"/>
          <w:sz w:val="22"/>
        </w:rPr>
        <w:t>The primary standardized domain describing the reform mechanism.</w:t>
      </w:r>
    </w:p>
    <w:p>
      <w:pPr>
        <w:spacing w:after="100"/>
      </w:pPr>
      <w:r>
        <w:rPr>
          <w:rFonts w:ascii="Calibri" w:hAnsi="Calibri"/>
          <w:b/>
          <w:color w:val="1F4D78"/>
          <w:sz w:val="22"/>
        </w:rPr>
        <w:t xml:space="preserve">Format: </w:t>
      </w:r>
      <w:r>
        <w:rPr>
          <w:rFonts w:ascii="Calibri" w:hAnsi="Calibri"/>
          <w:color w:val="000000"/>
          <w:sz w:val="22"/>
        </w:rPr>
        <w:t>Single controlled value.</w:t>
      </w:r>
    </w:p>
    <w:p>
      <w:pPr>
        <w:spacing w:after="100"/>
      </w:pPr>
      <w:r>
        <w:rPr>
          <w:rFonts w:ascii="Calibri" w:hAnsi="Calibri"/>
          <w:b/>
          <w:color w:val="1F4D78"/>
          <w:sz w:val="22"/>
        </w:rPr>
        <w:t xml:space="preserve">Controlled values: </w:t>
      </w:r>
      <w:r>
        <w:rPr>
          <w:rFonts w:ascii="Calibri" w:hAnsi="Calibri"/>
          <w:color w:val="000000"/>
          <w:sz w:val="22"/>
        </w:rPr>
        <w:t>One of the ten Tier 1 Reform Domains in Section 13.</w:t>
      </w:r>
    </w:p>
    <w:p>
      <w:pPr>
        <w:spacing w:after="100"/>
      </w:pPr>
      <w:r>
        <w:rPr>
          <w:rFonts w:ascii="Calibri" w:hAnsi="Calibri"/>
          <w:b/>
          <w:color w:val="1F4D78"/>
          <w:sz w:val="22"/>
        </w:rPr>
        <w:t xml:space="preserve">Coding rule: </w:t>
      </w:r>
      <w:r>
        <w:rPr>
          <w:rFonts w:ascii="Calibri" w:hAnsi="Calibri"/>
          <w:color w:val="000000"/>
          <w:sz w:val="22"/>
        </w:rPr>
        <w:t>Assign based on the mechanism, not merely the sector topic. For potential reforms, the code may be provisional.</w:t>
      </w:r>
    </w:p>
    <w:p>
      <w:pPr>
        <w:spacing w:after="100"/>
      </w:pPr>
      <w:r>
        <w:rPr>
          <w:rFonts w:ascii="Calibri" w:hAnsi="Calibri"/>
          <w:b/>
          <w:color w:val="1F4D78"/>
          <w:sz w:val="22"/>
        </w:rPr>
        <w:t xml:space="preserve">Treatment of reform aspirations: </w:t>
      </w:r>
      <w:r>
        <w:rPr>
          <w:rFonts w:ascii="Calibri" w:hAnsi="Calibri"/>
          <w:color w:val="000000"/>
          <w:sz w:val="22"/>
        </w:rPr>
        <w:t>If an aspiration lacks a mechanism, code only when a plausible domain is analytically useful and record uncertainty.</w:t>
      </w:r>
    </w:p>
    <w:p>
      <w:pPr>
        <w:spacing w:after="180"/>
      </w:pPr>
      <w:r>
        <w:rPr>
          <w:rFonts w:ascii="Calibri" w:hAnsi="Calibri"/>
          <w:b/>
          <w:color w:val="1F4D78"/>
          <w:sz w:val="22"/>
        </w:rPr>
        <w:t xml:space="preserve">Example: </w:t>
      </w:r>
      <w:r>
        <w:rPr>
          <w:rFonts w:ascii="Calibri" w:hAnsi="Calibri"/>
          <w:color w:val="000000"/>
          <w:sz w:val="22"/>
        </w:rPr>
        <w:t>Legal &amp; Regulatory Reform.</w:t>
      </w:r>
    </w:p>
    <w:p>
      <w:pPr>
        <w:pStyle w:val="Heading3"/>
        <w:keepNext/>
      </w:pPr>
      <w:r>
        <w:t>17. Tier 2 Reform Category</w:t>
      </w:r>
    </w:p>
    <w:p>
      <w:pPr>
        <w:spacing w:after="100"/>
      </w:pPr>
      <w:r>
        <w:rPr>
          <w:rFonts w:ascii="Calibri" w:hAnsi="Calibri"/>
          <w:b/>
          <w:color w:val="1F4D78"/>
          <w:sz w:val="22"/>
        </w:rPr>
        <w:t xml:space="preserve">Definition: </w:t>
      </w:r>
      <w:r>
        <w:rPr>
          <w:rFonts w:ascii="Calibri" w:hAnsi="Calibri"/>
          <w:color w:val="000000"/>
          <w:sz w:val="22"/>
        </w:rPr>
        <w:t>The more specific category within the selected Tier 1 Reform Domain.</w:t>
      </w:r>
    </w:p>
    <w:p>
      <w:pPr>
        <w:spacing w:after="100"/>
      </w:pPr>
      <w:r>
        <w:rPr>
          <w:rFonts w:ascii="Calibri" w:hAnsi="Calibri"/>
          <w:b/>
          <w:color w:val="1F4D78"/>
          <w:sz w:val="22"/>
        </w:rPr>
        <w:t xml:space="preserve">Format: </w:t>
      </w:r>
      <w:r>
        <w:rPr>
          <w:rFonts w:ascii="Calibri" w:hAnsi="Calibri"/>
          <w:color w:val="000000"/>
          <w:sz w:val="22"/>
        </w:rPr>
        <w:t>Single controlled value from the maintained Tier 2 reference table.</w:t>
      </w:r>
    </w:p>
    <w:p>
      <w:pPr>
        <w:spacing w:after="100"/>
      </w:pPr>
      <w:r>
        <w:rPr>
          <w:rFonts w:ascii="Calibri" w:hAnsi="Calibri"/>
          <w:b/>
          <w:color w:val="1F4D78"/>
          <w:sz w:val="22"/>
        </w:rPr>
        <w:t xml:space="preserve">Controlled values: </w:t>
      </w:r>
      <w:r>
        <w:rPr>
          <w:rFonts w:ascii="Calibri" w:hAnsi="Calibri"/>
          <w:color w:val="000000"/>
          <w:sz w:val="22"/>
        </w:rPr>
        <w:t>See the accompanying Tier 1-Tier 2 taxonomy workbook.</w:t>
      </w:r>
    </w:p>
    <w:p>
      <w:pPr>
        <w:spacing w:after="100"/>
      </w:pPr>
      <w:r>
        <w:rPr>
          <w:rFonts w:ascii="Calibri" w:hAnsi="Calibri"/>
          <w:b/>
          <w:color w:val="1F4D78"/>
          <w:sz w:val="22"/>
        </w:rPr>
        <w:t xml:space="preserve">Coding rule: </w:t>
      </w:r>
      <w:r>
        <w:rPr>
          <w:rFonts w:ascii="Calibri" w:hAnsi="Calibri"/>
          <w:color w:val="000000"/>
          <w:sz w:val="22"/>
        </w:rPr>
        <w:t>Select a category that belongs to the chosen Tier 1 domain. Revise the Tier 1 choice if no coherent Tier 2 category applies.</w:t>
      </w:r>
    </w:p>
    <w:p>
      <w:pPr>
        <w:spacing w:after="100"/>
      </w:pPr>
      <w:r>
        <w:rPr>
          <w:rFonts w:ascii="Calibri" w:hAnsi="Calibri"/>
          <w:b/>
          <w:color w:val="1F4D78"/>
          <w:sz w:val="22"/>
        </w:rPr>
        <w:t xml:space="preserve">Treatment of reform aspirations: </w:t>
      </w:r>
      <w:r>
        <w:rPr>
          <w:rFonts w:ascii="Calibri" w:hAnsi="Calibri"/>
          <w:color w:val="000000"/>
          <w:sz w:val="22"/>
        </w:rPr>
        <w:t>Leave pending when aspiration wording does not support a specific category.</w:t>
      </w:r>
    </w:p>
    <w:p>
      <w:pPr>
        <w:spacing w:after="180"/>
      </w:pPr>
      <w:r>
        <w:rPr>
          <w:rFonts w:ascii="Calibri" w:hAnsi="Calibri"/>
          <w:b/>
          <w:color w:val="1F4D78"/>
          <w:sz w:val="22"/>
        </w:rPr>
        <w:t xml:space="preserve">Example: </w:t>
      </w:r>
      <w:r>
        <w:rPr>
          <w:rFonts w:ascii="Calibri" w:hAnsi="Calibri"/>
          <w:color w:val="000000"/>
          <w:sz w:val="22"/>
        </w:rPr>
        <w:t>Regulatory authority creation/strengthening.</w:t>
      </w:r>
    </w:p>
    <w:p>
      <w:pPr>
        <w:pStyle w:val="Heading3"/>
        <w:keepNext/>
      </w:pPr>
      <w:r>
        <w:t>18. Lead Institution/Actor</w:t>
      </w:r>
    </w:p>
    <w:p>
      <w:pPr>
        <w:spacing w:after="100"/>
      </w:pPr>
      <w:r>
        <w:rPr>
          <w:rFonts w:ascii="Calibri" w:hAnsi="Calibri"/>
          <w:b/>
          <w:color w:val="1F4D78"/>
          <w:sz w:val="22"/>
        </w:rPr>
        <w:t xml:space="preserve">Definition: </w:t>
      </w:r>
      <w:r>
        <w:rPr>
          <w:rFonts w:ascii="Calibri" w:hAnsi="Calibri"/>
          <w:color w:val="000000"/>
          <w:sz w:val="22"/>
        </w:rPr>
        <w:t>The government institution or other entity identified as responsible for the action.</w:t>
      </w:r>
    </w:p>
    <w:p>
      <w:pPr>
        <w:spacing w:after="100"/>
      </w:pPr>
      <w:r>
        <w:rPr>
          <w:rFonts w:ascii="Calibri" w:hAnsi="Calibri"/>
          <w:b/>
          <w:color w:val="1F4D78"/>
          <w:sz w:val="22"/>
        </w:rPr>
        <w:t xml:space="preserve">Format: </w:t>
      </w:r>
      <w:r>
        <w:rPr>
          <w:rFonts w:ascii="Calibri" w:hAnsi="Calibri"/>
          <w:color w:val="000000"/>
          <w:sz w:val="22"/>
        </w:rPr>
        <w:t>Standardized institution name; multiple actors permitted where necessary.</w:t>
      </w:r>
    </w:p>
    <w:p>
      <w:pPr>
        <w:spacing w:after="100"/>
      </w:pPr>
      <w:r>
        <w:rPr>
          <w:rFonts w:ascii="Calibri" w:hAnsi="Calibri"/>
          <w:b/>
          <w:color w:val="1F4D78"/>
          <w:sz w:val="22"/>
        </w:rPr>
        <w:t xml:space="preserve">Controlled values: </w:t>
      </w:r>
      <w:r>
        <w:rPr>
          <w:rFonts w:ascii="Calibri" w:hAnsi="Calibri"/>
          <w:color w:val="000000"/>
          <w:sz w:val="22"/>
        </w:rPr>
        <w:t>Not applicable; derived from the Compact.</w:t>
      </w:r>
    </w:p>
    <w:p>
      <w:pPr>
        <w:spacing w:after="100"/>
      </w:pPr>
      <w:r>
        <w:rPr>
          <w:rFonts w:ascii="Calibri" w:hAnsi="Calibri"/>
          <w:b/>
          <w:color w:val="1F4D78"/>
          <w:sz w:val="22"/>
        </w:rPr>
        <w:t xml:space="preserve">Coding rule: </w:t>
      </w:r>
      <w:r>
        <w:rPr>
          <w:rFonts w:ascii="Calibri" w:hAnsi="Calibri"/>
          <w:color w:val="000000"/>
          <w:sz w:val="22"/>
        </w:rPr>
        <w:t>Record only actors supported by the source. Do not infer a lead solely from sector convention.</w:t>
      </w:r>
    </w:p>
    <w:p>
      <w:pPr>
        <w:spacing w:after="100"/>
      </w:pPr>
      <w:r>
        <w:rPr>
          <w:rFonts w:ascii="Calibri" w:hAnsi="Calibri"/>
          <w:b/>
          <w:color w:val="1F4D78"/>
          <w:sz w:val="22"/>
        </w:rPr>
        <w:t xml:space="preserve">Treatment of reform aspirations: </w:t>
      </w:r>
      <w:r>
        <w:rPr>
          <w:rFonts w:ascii="Calibri" w:hAnsi="Calibri"/>
          <w:color w:val="000000"/>
          <w:sz w:val="22"/>
        </w:rPr>
        <w:t>A missing lead actor may contribute to classifying a broad statement as an unlinked reform aspiration.</w:t>
      </w:r>
    </w:p>
    <w:p>
      <w:pPr>
        <w:spacing w:after="180"/>
      </w:pPr>
      <w:r>
        <w:rPr>
          <w:rFonts w:ascii="Calibri" w:hAnsi="Calibri"/>
          <w:b/>
          <w:color w:val="1F4D78"/>
          <w:sz w:val="22"/>
        </w:rPr>
        <w:t xml:space="preserve">Example: </w:t>
      </w:r>
      <w:r>
        <w:rPr>
          <w:rFonts w:ascii="Calibri" w:hAnsi="Calibri"/>
          <w:color w:val="000000"/>
          <w:sz w:val="22"/>
        </w:rPr>
        <w:t>Ministry responsible for water; Office of Utility Regulation.</w:t>
      </w:r>
    </w:p>
    <w:p>
      <w:pPr>
        <w:pStyle w:val="Heading3"/>
        <w:keepNext/>
      </w:pPr>
      <w:r>
        <w:t>19. Related or Parent Reform Action ID</w:t>
      </w:r>
    </w:p>
    <w:p>
      <w:pPr>
        <w:spacing w:after="100"/>
      </w:pPr>
      <w:r>
        <w:rPr>
          <w:rFonts w:ascii="Calibri" w:hAnsi="Calibri"/>
          <w:b/>
          <w:color w:val="1F4D78"/>
          <w:sz w:val="22"/>
        </w:rPr>
        <w:t xml:space="preserve">Definition: </w:t>
      </w:r>
      <w:r>
        <w:rPr>
          <w:rFonts w:ascii="Calibri" w:hAnsi="Calibri"/>
          <w:color w:val="000000"/>
          <w:sz w:val="22"/>
        </w:rPr>
        <w:t>The ID of another candidate to which the row is subordinate, duplicative, evidentially linked, or consolidated.</w:t>
      </w:r>
    </w:p>
    <w:p>
      <w:pPr>
        <w:spacing w:after="100"/>
      </w:pPr>
      <w:r>
        <w:rPr>
          <w:rFonts w:ascii="Calibri" w:hAnsi="Calibri"/>
          <w:b/>
          <w:color w:val="1F4D78"/>
          <w:sz w:val="22"/>
        </w:rPr>
        <w:t xml:space="preserve">Format: </w:t>
      </w:r>
      <w:r>
        <w:rPr>
          <w:rFonts w:ascii="Calibri" w:hAnsi="Calibri"/>
          <w:color w:val="000000"/>
          <w:sz w:val="22"/>
        </w:rPr>
        <w:t>Candidate ID; multiple links should use a relationship table if the system supports it.</w:t>
      </w:r>
    </w:p>
    <w:p>
      <w:pPr>
        <w:spacing w:after="100"/>
      </w:pPr>
      <w:r>
        <w:rPr>
          <w:rFonts w:ascii="Calibri" w:hAnsi="Calibri"/>
          <w:b/>
          <w:color w:val="1F4D78"/>
          <w:sz w:val="22"/>
        </w:rPr>
        <w:t xml:space="preserve">Controlled values: </w:t>
      </w:r>
      <w:r>
        <w:rPr>
          <w:rFonts w:ascii="Calibri" w:hAnsi="Calibri"/>
          <w:color w:val="000000"/>
          <w:sz w:val="22"/>
        </w:rPr>
        <w:t>A valid Reform Action/Candidate ID or blank.</w:t>
      </w:r>
    </w:p>
    <w:p>
      <w:pPr>
        <w:spacing w:after="100"/>
      </w:pPr>
      <w:r>
        <w:rPr>
          <w:rFonts w:ascii="Calibri" w:hAnsi="Calibri"/>
          <w:b/>
          <w:color w:val="1F4D78"/>
          <w:sz w:val="22"/>
        </w:rPr>
        <w:t xml:space="preserve">Coding rule: </w:t>
      </w:r>
      <w:r>
        <w:rPr>
          <w:rFonts w:ascii="Calibri" w:hAnsi="Calibri"/>
          <w:color w:val="000000"/>
          <w:sz w:val="22"/>
        </w:rPr>
        <w:t>Populate when a roadmap activity supports a broader reform, the same reform appears in several sections, or a vague candidate is clarified by another explicit action.</w:t>
      </w:r>
    </w:p>
    <w:p>
      <w:pPr>
        <w:spacing w:after="100"/>
      </w:pPr>
      <w:r>
        <w:rPr>
          <w:rFonts w:ascii="Calibri" w:hAnsi="Calibri"/>
          <w:b/>
          <w:color w:val="1F4D78"/>
          <w:sz w:val="22"/>
        </w:rPr>
        <w:t xml:space="preserve">Treatment of reform aspirations: </w:t>
      </w:r>
      <w:r>
        <w:rPr>
          <w:rFonts w:ascii="Calibri" w:hAnsi="Calibri"/>
          <w:color w:val="000000"/>
          <w:sz w:val="22"/>
        </w:rPr>
        <w:t>Link an aspiration to the explicit implementing mechanism found elsewhere. The aspiration may then be consolidated while preserving its evidence.</w:t>
      </w:r>
    </w:p>
    <w:p>
      <w:pPr>
        <w:spacing w:after="180"/>
      </w:pPr>
      <w:r>
        <w:rPr>
          <w:rFonts w:ascii="Calibri" w:hAnsi="Calibri"/>
          <w:b/>
          <w:color w:val="1F4D78"/>
          <w:sz w:val="22"/>
        </w:rPr>
        <w:t xml:space="preserve">Example: </w:t>
      </w:r>
      <w:r>
        <w:rPr>
          <w:rFonts w:ascii="Calibri" w:hAnsi="Calibri"/>
          <w:color w:val="000000"/>
          <w:sz w:val="22"/>
        </w:rPr>
        <w:t>SLE_RA_005.</w:t>
      </w:r>
    </w:p>
    <w:p>
      <w:pPr>
        <w:pStyle w:val="Heading3"/>
        <w:keepNext/>
      </w:pPr>
      <w:r>
        <w:t>20. Human Review Status</w:t>
      </w:r>
    </w:p>
    <w:p>
      <w:pPr>
        <w:spacing w:after="100"/>
      </w:pPr>
      <w:r>
        <w:rPr>
          <w:rFonts w:ascii="Calibri" w:hAnsi="Calibri"/>
          <w:b/>
          <w:color w:val="1F4D78"/>
          <w:sz w:val="22"/>
        </w:rPr>
        <w:t xml:space="preserve">Definition: </w:t>
      </w:r>
      <w:r>
        <w:rPr>
          <w:rFonts w:ascii="Calibri" w:hAnsi="Calibri"/>
          <w:color w:val="000000"/>
          <w:sz w:val="22"/>
        </w:rPr>
        <w:t>The candidate's position in the review workflow.</w:t>
      </w:r>
    </w:p>
    <w:p>
      <w:pPr>
        <w:spacing w:after="100"/>
      </w:pPr>
      <w:r>
        <w:rPr>
          <w:rFonts w:ascii="Calibri" w:hAnsi="Calibri"/>
          <w:b/>
          <w:color w:val="1F4D78"/>
          <w:sz w:val="22"/>
        </w:rPr>
        <w:t xml:space="preserve">Format: </w:t>
      </w:r>
      <w:r>
        <w:rPr>
          <w:rFonts w:ascii="Calibri" w:hAnsi="Calibri"/>
          <w:color w:val="000000"/>
          <w:sz w:val="22"/>
        </w:rPr>
        <w:t>Single controlled value.</w:t>
      </w:r>
    </w:p>
    <w:p>
      <w:pPr>
        <w:spacing w:after="100"/>
      </w:pPr>
      <w:r>
        <w:rPr>
          <w:rFonts w:ascii="Calibri" w:hAnsi="Calibri"/>
          <w:b/>
          <w:color w:val="1F4D78"/>
          <w:sz w:val="22"/>
        </w:rPr>
        <w:t xml:space="preserve">Controlled values: </w:t>
      </w:r>
      <w:r>
        <w:rPr>
          <w:rFonts w:ascii="Calibri" w:hAnsi="Calibri"/>
          <w:color w:val="000000"/>
          <w:sz w:val="22"/>
        </w:rPr>
        <w:t>LLM Extracted; Human First Review; Needs Review; Disputed; Revised; Validated.</w:t>
      </w:r>
    </w:p>
    <w:p>
      <w:pPr>
        <w:spacing w:after="100"/>
      </w:pPr>
      <w:r>
        <w:rPr>
          <w:rFonts w:ascii="Calibri" w:hAnsi="Calibri"/>
          <w:b/>
          <w:color w:val="1F4D78"/>
          <w:sz w:val="22"/>
        </w:rPr>
        <w:t xml:space="preserve">Coding rule: </w:t>
      </w:r>
      <w:r>
        <w:rPr>
          <w:rFonts w:ascii="Calibri" w:hAnsi="Calibri"/>
          <w:color w:val="000000"/>
          <w:sz w:val="22"/>
        </w:rPr>
        <w:t>Update this field as the candidate moves through review. It does not itself determine whether the item is counted.</w:t>
      </w:r>
    </w:p>
    <w:p>
      <w:pPr>
        <w:spacing w:after="100"/>
      </w:pPr>
      <w:r>
        <w:rPr>
          <w:rFonts w:ascii="Calibri" w:hAnsi="Calibri"/>
          <w:b/>
          <w:color w:val="1F4D78"/>
          <w:sz w:val="22"/>
        </w:rPr>
        <w:t xml:space="preserve">Treatment of reform aspirations: </w:t>
      </w:r>
      <w:r>
        <w:rPr>
          <w:rFonts w:ascii="Calibri" w:hAnsi="Calibri"/>
          <w:color w:val="000000"/>
          <w:sz w:val="22"/>
        </w:rPr>
        <w:t>Unlinked aspirations should normally remain Needs Review until included, excluded, or consolidated.</w:t>
      </w:r>
    </w:p>
    <w:p>
      <w:pPr>
        <w:spacing w:after="180"/>
      </w:pPr>
      <w:r>
        <w:rPr>
          <w:rFonts w:ascii="Calibri" w:hAnsi="Calibri"/>
          <w:b/>
          <w:color w:val="1F4D78"/>
          <w:sz w:val="22"/>
        </w:rPr>
        <w:t xml:space="preserve">Example: </w:t>
      </w:r>
      <w:r>
        <w:rPr>
          <w:rFonts w:ascii="Calibri" w:hAnsi="Calibri"/>
          <w:color w:val="000000"/>
          <w:sz w:val="22"/>
        </w:rPr>
        <w:t>Needs Review.</w:t>
      </w:r>
    </w:p>
    <w:p>
      <w:pPr>
        <w:pStyle w:val="Heading3"/>
        <w:keepNext/>
      </w:pPr>
      <w:r>
        <w:t>21. Reviewer Comment</w:t>
      </w:r>
    </w:p>
    <w:p>
      <w:pPr>
        <w:spacing w:after="100"/>
      </w:pPr>
      <w:r>
        <w:rPr>
          <w:rFonts w:ascii="Calibri" w:hAnsi="Calibri"/>
          <w:b/>
          <w:color w:val="1F4D78"/>
          <w:sz w:val="22"/>
        </w:rPr>
        <w:t xml:space="preserve">Definition: </w:t>
      </w:r>
      <w:r>
        <w:rPr>
          <w:rFonts w:ascii="Calibri" w:hAnsi="Calibri"/>
          <w:color w:val="000000"/>
          <w:sz w:val="22"/>
        </w:rPr>
        <w:t>The human reviewer's explanation, proposed edit, evidence note, or reason for disagreement.</w:t>
      </w:r>
    </w:p>
    <w:p>
      <w:pPr>
        <w:spacing w:after="100"/>
      </w:pPr>
      <w:r>
        <w:rPr>
          <w:rFonts w:ascii="Calibri" w:hAnsi="Calibri"/>
          <w:b/>
          <w:color w:val="1F4D78"/>
          <w:sz w:val="22"/>
        </w:rPr>
        <w:t xml:space="preserve">Format: </w:t>
      </w:r>
      <w:r>
        <w:rPr>
          <w:rFonts w:ascii="Calibri" w:hAnsi="Calibri"/>
          <w:color w:val="000000"/>
          <w:sz w:val="22"/>
        </w:rPr>
        <w:t>Free text; concise but sufficient for auditability.</w:t>
      </w:r>
    </w:p>
    <w:p>
      <w:pPr>
        <w:spacing w:after="100"/>
      </w:pPr>
      <w:r>
        <w:rPr>
          <w:rFonts w:ascii="Calibri" w:hAnsi="Calibri"/>
          <w:b/>
          <w:color w:val="1F4D78"/>
          <w:sz w:val="22"/>
        </w:rPr>
        <w:t xml:space="preserve">Controlled values: </w:t>
      </w:r>
      <w:r>
        <w:rPr>
          <w:rFonts w:ascii="Calibri" w:hAnsi="Calibri"/>
          <w:color w:val="000000"/>
          <w:sz w:val="22"/>
        </w:rPr>
        <w:t>Not applicable.</w:t>
      </w:r>
    </w:p>
    <w:p>
      <w:pPr>
        <w:spacing w:after="100"/>
      </w:pPr>
      <w:r>
        <w:rPr>
          <w:rFonts w:ascii="Calibri" w:hAnsi="Calibri"/>
          <w:b/>
          <w:color w:val="1F4D78"/>
          <w:sz w:val="22"/>
        </w:rPr>
        <w:t xml:space="preserve">Coding rule: </w:t>
      </w:r>
      <w:r>
        <w:rPr>
          <w:rFonts w:ascii="Calibri" w:hAnsi="Calibri"/>
          <w:color w:val="000000"/>
          <w:sz w:val="22"/>
        </w:rPr>
        <w:t>Record material judgment changes, especially promotions from Potential to Included and rejected High-confidence Reform Actions.</w:t>
      </w:r>
    </w:p>
    <w:p>
      <w:pPr>
        <w:spacing w:after="100"/>
      </w:pPr>
      <w:r>
        <w:rPr>
          <w:rFonts w:ascii="Calibri" w:hAnsi="Calibri"/>
          <w:b/>
          <w:color w:val="1F4D78"/>
          <w:sz w:val="22"/>
        </w:rPr>
        <w:t xml:space="preserve">Treatment of reform aspirations: </w:t>
      </w:r>
      <w:r>
        <w:rPr>
          <w:rFonts w:ascii="Calibri" w:hAnsi="Calibri"/>
          <w:color w:val="000000"/>
          <w:sz w:val="22"/>
        </w:rPr>
        <w:t>For aspirations, record why the language was accepted as actionable, linked, or excluded as general ambition.</w:t>
      </w:r>
    </w:p>
    <w:p>
      <w:pPr>
        <w:spacing w:after="180"/>
      </w:pPr>
      <w:r>
        <w:rPr>
          <w:rFonts w:ascii="Calibri" w:hAnsi="Calibri"/>
          <w:b/>
          <w:color w:val="1F4D78"/>
          <w:sz w:val="22"/>
        </w:rPr>
        <w:t xml:space="preserve">Example: </w:t>
      </w:r>
      <w:r>
        <w:rPr>
          <w:rFonts w:ascii="Calibri" w:hAnsi="Calibri"/>
          <w:color w:val="000000"/>
          <w:sz w:val="22"/>
        </w:rPr>
        <w:t>Include only if the interministerial council referenced on p. 10 is confirmed as the implementation mechanism.</w:t>
      </w:r>
    </w:p>
    <w:p>
      <w:pPr>
        <w:pStyle w:val="Heading3"/>
        <w:keepNext/>
      </w:pPr>
      <w:r>
        <w:t>22. Final Validated Action</w:t>
      </w:r>
    </w:p>
    <w:p>
      <w:pPr>
        <w:spacing w:after="100"/>
      </w:pPr>
      <w:r>
        <w:rPr>
          <w:rFonts w:ascii="Calibri" w:hAnsi="Calibri"/>
          <w:b/>
          <w:color w:val="1F4D78"/>
          <w:sz w:val="22"/>
        </w:rPr>
        <w:t xml:space="preserve">Definition: </w:t>
      </w:r>
      <w:r>
        <w:rPr>
          <w:rFonts w:ascii="Calibri" w:hAnsi="Calibri"/>
          <w:color w:val="000000"/>
          <w:sz w:val="22"/>
        </w:rPr>
        <w:t>The approved, dashboard-ready reform-action label after human review.</w:t>
      </w:r>
    </w:p>
    <w:p>
      <w:pPr>
        <w:spacing w:after="100"/>
      </w:pPr>
      <w:r>
        <w:rPr>
          <w:rFonts w:ascii="Calibri" w:hAnsi="Calibri"/>
          <w:b/>
          <w:color w:val="1F4D78"/>
          <w:sz w:val="22"/>
        </w:rPr>
        <w:t xml:space="preserve">Format: </w:t>
      </w:r>
      <w:r>
        <w:rPr>
          <w:rFonts w:ascii="Calibri" w:hAnsi="Calibri"/>
          <w:color w:val="000000"/>
          <w:sz w:val="22"/>
        </w:rPr>
        <w:t>Concise verb-led phrase; blank until validation.</w:t>
      </w:r>
    </w:p>
    <w:p>
      <w:pPr>
        <w:spacing w:after="100"/>
      </w:pPr>
      <w:r>
        <w:rPr>
          <w:rFonts w:ascii="Calibri" w:hAnsi="Calibri"/>
          <w:b/>
          <w:color w:val="1F4D78"/>
          <w:sz w:val="22"/>
        </w:rPr>
        <w:t xml:space="preserve">Controlled values: </w:t>
      </w:r>
      <w:r>
        <w:rPr>
          <w:rFonts w:ascii="Calibri" w:hAnsi="Calibri"/>
          <w:color w:val="000000"/>
          <w:sz w:val="22"/>
        </w:rPr>
        <w:t>Not applicable.</w:t>
      </w:r>
    </w:p>
    <w:p>
      <w:pPr>
        <w:spacing w:after="100"/>
      </w:pPr>
      <w:r>
        <w:rPr>
          <w:rFonts w:ascii="Calibri" w:hAnsi="Calibri"/>
          <w:b/>
          <w:color w:val="1F4D78"/>
          <w:sz w:val="22"/>
        </w:rPr>
        <w:t xml:space="preserve">Coding rule: </w:t>
      </w:r>
      <w:r>
        <w:rPr>
          <w:rFonts w:ascii="Calibri" w:hAnsi="Calibri"/>
          <w:color w:val="000000"/>
          <w:sz w:val="22"/>
        </w:rPr>
        <w:t>Populate only when the reviewer validates an item as an included reform. This field, together with Variable 11, supports the final dataset.</w:t>
      </w:r>
    </w:p>
    <w:p>
      <w:pPr>
        <w:spacing w:after="100"/>
      </w:pPr>
      <w:r>
        <w:rPr>
          <w:rFonts w:ascii="Calibri" w:hAnsi="Calibri"/>
          <w:b/>
          <w:color w:val="1F4D78"/>
          <w:sz w:val="22"/>
        </w:rPr>
        <w:t xml:space="preserve">Treatment of reform aspirations: </w:t>
      </w:r>
      <w:r>
        <w:rPr>
          <w:rFonts w:ascii="Calibri" w:hAnsi="Calibri"/>
          <w:color w:val="000000"/>
          <w:sz w:val="22"/>
        </w:rPr>
        <w:t>Do not populate with a vague aspiration unless the reviewer confirms a sufficiently actionable mechanism.</w:t>
      </w:r>
    </w:p>
    <w:p>
      <w:pPr>
        <w:spacing w:after="180"/>
      </w:pPr>
      <w:r>
        <w:rPr>
          <w:rFonts w:ascii="Calibri" w:hAnsi="Calibri"/>
          <w:b/>
          <w:color w:val="1F4D78"/>
          <w:sz w:val="22"/>
        </w:rPr>
        <w:t xml:space="preserve">Example: </w:t>
      </w:r>
      <w:r>
        <w:rPr>
          <w:rFonts w:ascii="Calibri" w:hAnsi="Calibri"/>
          <w:color w:val="000000"/>
          <w:sz w:val="22"/>
        </w:rPr>
        <w:t>Establish interministerial water-sector coordination council.</w:t>
      </w:r>
    </w:p>
    <w:p>
      <w:pPr>
        <w:pStyle w:val="Heading3"/>
        <w:keepNext/>
      </w:pPr>
      <w:r>
        <w:t>23. Reform Aspiration Status</w:t>
      </w:r>
    </w:p>
    <w:p>
      <w:pPr>
        <w:spacing w:after="100"/>
      </w:pPr>
      <w:r>
        <w:rPr>
          <w:rFonts w:ascii="Calibri" w:hAnsi="Calibri"/>
          <w:b/>
          <w:color w:val="1F4D78"/>
          <w:sz w:val="22"/>
        </w:rPr>
        <w:t xml:space="preserve">Definition: </w:t>
      </w:r>
      <w:r>
        <w:rPr>
          <w:rFonts w:ascii="Calibri" w:hAnsi="Calibri"/>
          <w:color w:val="000000"/>
          <w:sz w:val="22"/>
        </w:rPr>
        <w:t>Explicitly records whether the source passage is aspirational and how that aspiration has been resolved.</w:t>
      </w:r>
    </w:p>
    <w:p>
      <w:pPr>
        <w:spacing w:after="100"/>
      </w:pPr>
      <w:r>
        <w:rPr>
          <w:rFonts w:ascii="Calibri" w:hAnsi="Calibri"/>
          <w:b/>
          <w:color w:val="1F4D78"/>
          <w:sz w:val="22"/>
        </w:rPr>
        <w:t xml:space="preserve">Format: </w:t>
      </w:r>
      <w:r>
        <w:rPr>
          <w:rFonts w:ascii="Calibri" w:hAnsi="Calibri"/>
          <w:color w:val="000000"/>
          <w:sz w:val="22"/>
        </w:rPr>
        <w:t>Single controlled value.</w:t>
      </w:r>
    </w:p>
    <w:p>
      <w:pPr>
        <w:spacing w:after="100"/>
      </w:pPr>
      <w:r>
        <w:rPr>
          <w:rFonts w:ascii="Calibri" w:hAnsi="Calibri"/>
          <w:b/>
          <w:color w:val="1F4D78"/>
          <w:sz w:val="22"/>
        </w:rPr>
        <w:t xml:space="preserve">Controlled values: </w:t>
      </w:r>
      <w:r>
        <w:rPr>
          <w:rFonts w:ascii="Calibri" w:hAnsi="Calibri"/>
          <w:color w:val="000000"/>
          <w:sz w:val="22"/>
        </w:rPr>
        <w:t>Not an Aspiration; Unlinked Reform Aspiration; Aspiration Linked to Explicit Mechanism; Aspiration Validated as Actionable Reform; Aspiration Excluded as General Ambition.</w:t>
      </w:r>
    </w:p>
    <w:p>
      <w:pPr>
        <w:spacing w:after="100"/>
      </w:pPr>
      <w:r>
        <w:rPr>
          <w:rFonts w:ascii="Calibri" w:hAnsi="Calibri"/>
          <w:b/>
          <w:color w:val="1F4D78"/>
          <w:sz w:val="22"/>
        </w:rPr>
        <w:t xml:space="preserve">Coding rule: </w:t>
      </w:r>
      <w:r>
        <w:rPr>
          <w:rFonts w:ascii="Calibri" w:hAnsi="Calibri"/>
          <w:color w:val="000000"/>
          <w:sz w:val="22"/>
        </w:rPr>
        <w:t>Use this field independently of Candidate Stream. Update it when linked evidence or human review resolves the aspiration.</w:t>
      </w:r>
    </w:p>
    <w:p>
      <w:pPr>
        <w:spacing w:after="100"/>
      </w:pPr>
      <w:r>
        <w:rPr>
          <w:rFonts w:ascii="Calibri" w:hAnsi="Calibri"/>
          <w:b/>
          <w:color w:val="1F4D78"/>
          <w:sz w:val="22"/>
        </w:rPr>
        <w:t xml:space="preserve">Treatment of reform aspirations: </w:t>
      </w:r>
      <w:r>
        <w:rPr>
          <w:rFonts w:ascii="Calibri" w:hAnsi="Calibri"/>
          <w:color w:val="000000"/>
          <w:sz w:val="22"/>
        </w:rPr>
        <w:t>Every passage coded as Reform Aspiration - Potential should have a non-default aspiration status.</w:t>
      </w:r>
    </w:p>
    <w:p>
      <w:pPr>
        <w:spacing w:after="180"/>
      </w:pPr>
      <w:r>
        <w:rPr>
          <w:rFonts w:ascii="Calibri" w:hAnsi="Calibri"/>
          <w:b/>
          <w:color w:val="1F4D78"/>
          <w:sz w:val="22"/>
        </w:rPr>
        <w:t xml:space="preserve">Example: </w:t>
      </w:r>
      <w:r>
        <w:rPr>
          <w:rFonts w:ascii="Calibri" w:hAnsi="Calibri"/>
          <w:color w:val="000000"/>
          <w:sz w:val="22"/>
        </w:rPr>
        <w:t>Aspiration Linked to Explicit Mechanism.</w:t>
      </w:r>
    </w:p>
    <w:p>
      <w:pPr>
        <w:pStyle w:val="Heading3"/>
        <w:keepNext/>
      </w:pPr>
      <w:r>
        <w:t>24. Criterion Assessment</w:t>
      </w:r>
    </w:p>
    <w:p>
      <w:pPr>
        <w:spacing w:after="100"/>
      </w:pPr>
      <w:r>
        <w:rPr>
          <w:rFonts w:ascii="Calibri" w:hAnsi="Calibri"/>
          <w:b/>
          <w:color w:val="1F4D78"/>
          <w:sz w:val="22"/>
        </w:rPr>
        <w:t xml:space="preserve">Definition: </w:t>
      </w:r>
      <w:r>
        <w:rPr>
          <w:rFonts w:ascii="Calibri" w:hAnsi="Calibri"/>
          <w:color w:val="000000"/>
          <w:sz w:val="22"/>
        </w:rPr>
        <w:t>A structured record of the five tests used to support the LLM classification.</w:t>
      </w:r>
    </w:p>
    <w:p>
      <w:pPr>
        <w:spacing w:after="100"/>
      </w:pPr>
      <w:r>
        <w:rPr>
          <w:rFonts w:ascii="Calibri" w:hAnsi="Calibri"/>
          <w:b/>
          <w:color w:val="1F4D78"/>
          <w:sz w:val="22"/>
        </w:rPr>
        <w:t xml:space="preserve">Format: </w:t>
      </w:r>
      <w:r>
        <w:rPr>
          <w:rFonts w:ascii="Calibri" w:hAnsi="Calibri"/>
          <w:color w:val="000000"/>
          <w:sz w:val="22"/>
        </w:rPr>
        <w:t>Structured text or JSON containing five Yes/Partial/No values.</w:t>
      </w:r>
    </w:p>
    <w:p>
      <w:pPr>
        <w:spacing w:after="100"/>
      </w:pPr>
      <w:r>
        <w:rPr>
          <w:rFonts w:ascii="Calibri" w:hAnsi="Calibri"/>
          <w:b/>
          <w:color w:val="1F4D78"/>
          <w:sz w:val="22"/>
        </w:rPr>
        <w:t xml:space="preserve">Controlled values: </w:t>
      </w:r>
      <w:r>
        <w:rPr>
          <w:rFonts w:ascii="Calibri" w:hAnsi="Calibri"/>
          <w:color w:val="000000"/>
          <w:sz w:val="22"/>
        </w:rPr>
        <w:t>Commitment; Actionable Mechanism; System Change; Not Merely Implementation; Distinct/Aggregated - each coded Yes, Partial, or No.</w:t>
      </w:r>
    </w:p>
    <w:p>
      <w:pPr>
        <w:spacing w:after="100"/>
      </w:pPr>
      <w:r>
        <w:rPr>
          <w:rFonts w:ascii="Calibri" w:hAnsi="Calibri"/>
          <w:b/>
          <w:color w:val="1F4D78"/>
          <w:sz w:val="22"/>
        </w:rPr>
        <w:t xml:space="preserve">Coding rule: </w:t>
      </w:r>
      <w:r>
        <w:rPr>
          <w:rFonts w:ascii="Calibri" w:hAnsi="Calibri"/>
          <w:color w:val="000000"/>
          <w:sz w:val="22"/>
        </w:rPr>
        <w:t>Complete all five criteria before assigning Candidate Stream. The database may later normalize these into separate fields.</w:t>
      </w:r>
    </w:p>
    <w:p>
      <w:pPr>
        <w:spacing w:after="100"/>
      </w:pPr>
      <w:r>
        <w:rPr>
          <w:rFonts w:ascii="Calibri" w:hAnsi="Calibri"/>
          <w:b/>
          <w:color w:val="1F4D78"/>
          <w:sz w:val="22"/>
        </w:rPr>
        <w:t xml:space="preserve">Treatment of reform aspirations: </w:t>
      </w:r>
      <w:r>
        <w:rPr>
          <w:rFonts w:ascii="Calibri" w:hAnsi="Calibri"/>
          <w:color w:val="000000"/>
          <w:sz w:val="22"/>
        </w:rPr>
        <w:t>An aspiration usually has Mechanism=Partial or No; linked evidence may allow that assessment to be revised to Yes.</w:t>
      </w:r>
    </w:p>
    <w:p>
      <w:pPr>
        <w:spacing w:after="180"/>
      </w:pPr>
      <w:r>
        <w:rPr>
          <w:rFonts w:ascii="Calibri" w:hAnsi="Calibri"/>
          <w:b/>
          <w:color w:val="1F4D78"/>
          <w:sz w:val="22"/>
        </w:rPr>
        <w:t xml:space="preserve">Example: </w:t>
      </w:r>
      <w:r>
        <w:rPr>
          <w:rFonts w:ascii="Calibri" w:hAnsi="Calibri"/>
          <w:color w:val="000000"/>
          <w:sz w:val="22"/>
        </w:rPr>
        <w:t>Commitment=Yes; Mechanism=Partial; System Change=Partial; Not Implementation=Yes; Distinct=Yes.</w:t>
      </w:r>
    </w:p>
    <w:p>
      <w:pPr>
        <w:pStyle w:val="Heading1"/>
      </w:pPr>
      <w:r>
        <w:t>Annex B. Classification decision aid</w:t>
      </w:r>
    </w:p>
    <w:tbl>
      <w:tblPr>
        <w:tblW w:type="dxa" w:w="9360"/>
        <w:jc w:val="left"/>
        <w:tblLayout w:type="fixed"/>
        <w:tblLook w:firstColumn="1" w:firstRow="1" w:lastColumn="0" w:lastRow="0" w:noHBand="0" w:noVBand="1" w:val="04A0"/>
        <w:tblInd w:w="120" w:type="dxa"/>
        <w:tblBorders>
          <w:top w:val="single" w:sz="4" w:color="C8D0D8"/>
          <w:left w:val="single" w:sz="4" w:color="C8D0D8"/>
          <w:bottom w:val="single" w:sz="4" w:color="C8D0D8"/>
          <w:right w:val="single" w:sz="4" w:color="C8D0D8"/>
          <w:insideH w:val="single" w:sz="4" w:color="C8D0D8"/>
          <w:insideV w:val="single" w:sz="4" w:color="C8D0D8"/>
        </w:tblBorders>
      </w:tblPr>
      <w:tblGrid>
        <w:gridCol w:w="2600"/>
        <w:gridCol w:w="2000"/>
        <w:gridCol w:w="2460"/>
        <w:gridCol w:w="2300"/>
      </w:tblGrid>
      <w:tr>
        <w:trPr>
          <w:cantSplit/>
          <w:tblHeader w:val="true"/>
        </w:trPr>
        <w:tc>
          <w:tcPr>
            <w:tcW w:type="dxa" w:w="26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Question</w:t>
            </w:r>
          </w:p>
        </w:tc>
        <w:tc>
          <w:tcPr>
            <w:tcW w:type="dxa" w:w="20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Yes</w:t>
            </w:r>
          </w:p>
        </w:tc>
        <w:tc>
          <w:tcPr>
            <w:tcW w:type="dxa" w:w="246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Partial/uncertain</w:t>
            </w:r>
          </w:p>
        </w:tc>
        <w:tc>
          <w:tcPr>
            <w:tcW w:type="dxa" w:w="2300"/>
            <w:tcMar>
              <w:top w:w="80" w:type="dxa"/>
              <w:start w:w="120" w:type="dxa"/>
              <w:bottom w:w="80" w:type="dxa"/>
              <w:end w:w="120" w:type="dxa"/>
            </w:tcMar>
            <w:vAlign w:val="center"/>
            <w:shd w:fill="E8EEF5"/>
          </w:tcPr>
          <w:p>
            <w:pPr>
              <w:spacing w:before="0" w:after="40" w:line="252" w:lineRule="auto"/>
            </w:pPr>
            <w:r>
              <w:rPr>
                <w:rFonts w:ascii="Calibri" w:hAnsi="Calibri"/>
                <w:b/>
                <w:color w:val="0B2545"/>
                <w:sz w:val="18"/>
              </w:rPr>
              <w:t>No</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7"/>
              </w:rPr>
              <w:t>Is there an explicit government commitment?</w:t>
            </w:r>
          </w:p>
        </w:tc>
        <w:tc>
          <w:tcPr>
            <w:tcW w:type="dxa" w:w="2000"/>
            <w:tcMar>
              <w:top w:w="80" w:type="dxa"/>
              <w:start w:w="120" w:type="dxa"/>
              <w:bottom w:w="80" w:type="dxa"/>
              <w:end w:w="120" w:type="dxa"/>
            </w:tcMar>
            <w:vAlign w:val="center"/>
          </w:tcPr>
          <w:p>
            <w:pPr>
              <w:spacing w:before="0" w:after="40" w:line="252" w:lineRule="auto"/>
            </w:pPr>
            <w:r>
              <w:rPr>
                <w:rFonts w:ascii="Calibri" w:hAnsi="Calibri"/>
                <w:color w:val="000000"/>
                <w:sz w:val="17"/>
              </w:rPr>
              <w:t>Continue assessment</w:t>
            </w:r>
          </w:p>
        </w:tc>
        <w:tc>
          <w:tcPr>
            <w:tcW w:type="dxa" w:w="2460"/>
            <w:tcMar>
              <w:top w:w="80" w:type="dxa"/>
              <w:start w:w="120" w:type="dxa"/>
              <w:bottom w:w="80" w:type="dxa"/>
              <w:end w:w="120" w:type="dxa"/>
            </w:tcMar>
            <w:vAlign w:val="center"/>
          </w:tcPr>
          <w:p>
            <w:pPr>
              <w:spacing w:before="0" w:after="40" w:line="252" w:lineRule="auto"/>
            </w:pPr>
            <w:r>
              <w:rPr>
                <w:rFonts w:ascii="Calibri" w:hAnsi="Calibri"/>
                <w:color w:val="000000"/>
                <w:sz w:val="17"/>
              </w:rPr>
              <w:t>Potential candidate</w:t>
            </w:r>
          </w:p>
        </w:tc>
        <w:tc>
          <w:tcPr>
            <w:tcW w:type="dxa" w:w="2300"/>
            <w:tcMar>
              <w:top w:w="80" w:type="dxa"/>
              <w:start w:w="120" w:type="dxa"/>
              <w:bottom w:w="80" w:type="dxa"/>
              <w:end w:w="120" w:type="dxa"/>
            </w:tcMar>
            <w:vAlign w:val="center"/>
          </w:tcPr>
          <w:p>
            <w:pPr>
              <w:spacing w:before="0" w:after="40" w:line="252" w:lineRule="auto"/>
            </w:pPr>
            <w:r>
              <w:rPr>
                <w:rFonts w:ascii="Calibri" w:hAnsi="Calibri"/>
                <w:color w:val="000000"/>
                <w:sz w:val="17"/>
              </w:rPr>
              <w:t>Usually exclude unless another passage supplies commitment</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7"/>
              </w:rPr>
              <w:t>Is there a discrete mechanism?</w:t>
            </w:r>
          </w:p>
        </w:tc>
        <w:tc>
          <w:tcPr>
            <w:tcW w:type="dxa" w:w="2000"/>
            <w:tcMar>
              <w:top w:w="80" w:type="dxa"/>
              <w:start w:w="120" w:type="dxa"/>
              <w:bottom w:w="80" w:type="dxa"/>
              <w:end w:w="120" w:type="dxa"/>
            </w:tcMar>
            <w:vAlign w:val="center"/>
          </w:tcPr>
          <w:p>
            <w:pPr>
              <w:spacing w:before="0" w:after="40" w:line="252" w:lineRule="auto"/>
            </w:pPr>
            <w:r>
              <w:rPr>
                <w:rFonts w:ascii="Calibri" w:hAnsi="Calibri"/>
                <w:color w:val="000000"/>
                <w:sz w:val="17"/>
              </w:rPr>
              <w:t>Continue assessment</w:t>
            </w:r>
          </w:p>
        </w:tc>
        <w:tc>
          <w:tcPr>
            <w:tcW w:type="dxa" w:w="2460"/>
            <w:tcMar>
              <w:top w:w="80" w:type="dxa"/>
              <w:start w:w="120" w:type="dxa"/>
              <w:bottom w:w="80" w:type="dxa"/>
              <w:end w:w="120" w:type="dxa"/>
            </w:tcMar>
            <w:vAlign w:val="center"/>
          </w:tcPr>
          <w:p>
            <w:pPr>
              <w:spacing w:before="0" w:after="40" w:line="252" w:lineRule="auto"/>
            </w:pPr>
            <w:r>
              <w:rPr>
                <w:rFonts w:ascii="Calibri" w:hAnsi="Calibri"/>
                <w:color w:val="000000"/>
                <w:sz w:val="17"/>
              </w:rPr>
              <w:t>Potential reform or aspiration</w:t>
            </w:r>
          </w:p>
        </w:tc>
        <w:tc>
          <w:tcPr>
            <w:tcW w:type="dxa" w:w="2300"/>
            <w:tcMar>
              <w:top w:w="80" w:type="dxa"/>
              <w:start w:w="120" w:type="dxa"/>
              <w:bottom w:w="80" w:type="dxa"/>
              <w:end w:w="120" w:type="dxa"/>
            </w:tcMar>
            <w:vAlign w:val="center"/>
          </w:tcPr>
          <w:p>
            <w:pPr>
              <w:spacing w:before="0" w:after="40" w:line="252" w:lineRule="auto"/>
            </w:pPr>
            <w:r>
              <w:rPr>
                <w:rFonts w:ascii="Calibri" w:hAnsi="Calibri"/>
                <w:color w:val="000000"/>
                <w:sz w:val="17"/>
              </w:rPr>
              <w:t>Exclude if only ambition or outcome</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7"/>
              </w:rPr>
              <w:t>Does it change or enable a sector system?</w:t>
            </w:r>
          </w:p>
        </w:tc>
        <w:tc>
          <w:tcPr>
            <w:tcW w:type="dxa" w:w="2000"/>
            <w:tcMar>
              <w:top w:w="80" w:type="dxa"/>
              <w:start w:w="120" w:type="dxa"/>
              <w:bottom w:w="80" w:type="dxa"/>
              <w:end w:w="120" w:type="dxa"/>
            </w:tcMar>
            <w:vAlign w:val="center"/>
          </w:tcPr>
          <w:p>
            <w:pPr>
              <w:spacing w:before="0" w:after="40" w:line="252" w:lineRule="auto"/>
            </w:pPr>
            <w:r>
              <w:rPr>
                <w:rFonts w:ascii="Calibri" w:hAnsi="Calibri"/>
                <w:color w:val="000000"/>
                <w:sz w:val="17"/>
              </w:rPr>
              <w:t>Continue assessment</w:t>
            </w:r>
          </w:p>
        </w:tc>
        <w:tc>
          <w:tcPr>
            <w:tcW w:type="dxa" w:w="2460"/>
            <w:tcMar>
              <w:top w:w="80" w:type="dxa"/>
              <w:start w:w="120" w:type="dxa"/>
              <w:bottom w:w="80" w:type="dxa"/>
              <w:end w:w="120" w:type="dxa"/>
            </w:tcMar>
            <w:vAlign w:val="center"/>
          </w:tcPr>
          <w:p>
            <w:pPr>
              <w:spacing w:before="0" w:after="40" w:line="252" w:lineRule="auto"/>
            </w:pPr>
            <w:r>
              <w:rPr>
                <w:rFonts w:ascii="Calibri" w:hAnsi="Calibri"/>
                <w:color w:val="000000"/>
                <w:sz w:val="17"/>
              </w:rPr>
              <w:t>Potential reform</w:t>
            </w:r>
          </w:p>
        </w:tc>
        <w:tc>
          <w:tcPr>
            <w:tcW w:type="dxa" w:w="2300"/>
            <w:tcMar>
              <w:top w:w="80" w:type="dxa"/>
              <w:start w:w="120" w:type="dxa"/>
              <w:bottom w:w="80" w:type="dxa"/>
              <w:end w:w="120" w:type="dxa"/>
            </w:tcMar>
            <w:vAlign w:val="center"/>
          </w:tcPr>
          <w:p>
            <w:pPr>
              <w:spacing w:before="0" w:after="40" w:line="252" w:lineRule="auto"/>
            </w:pPr>
            <w:r>
              <w:rPr>
                <w:rFonts w:ascii="Calibri" w:hAnsi="Calibri"/>
                <w:color w:val="000000"/>
                <w:sz w:val="17"/>
              </w:rPr>
              <w:t>Exclude as non-reform</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7"/>
              </w:rPr>
              <w:t>Is it more than implementation, investment, or a target?</w:t>
            </w:r>
          </w:p>
        </w:tc>
        <w:tc>
          <w:tcPr>
            <w:tcW w:type="dxa" w:w="2000"/>
            <w:tcMar>
              <w:top w:w="80" w:type="dxa"/>
              <w:start w:w="120" w:type="dxa"/>
              <w:bottom w:w="80" w:type="dxa"/>
              <w:end w:w="120" w:type="dxa"/>
            </w:tcMar>
            <w:vAlign w:val="center"/>
          </w:tcPr>
          <w:p>
            <w:pPr>
              <w:spacing w:before="0" w:after="40" w:line="252" w:lineRule="auto"/>
            </w:pPr>
            <w:r>
              <w:rPr>
                <w:rFonts w:ascii="Calibri" w:hAnsi="Calibri"/>
                <w:color w:val="000000"/>
                <w:sz w:val="17"/>
              </w:rPr>
              <w:t>Continue assessment</w:t>
            </w:r>
          </w:p>
        </w:tc>
        <w:tc>
          <w:tcPr>
            <w:tcW w:type="dxa" w:w="2460"/>
            <w:tcMar>
              <w:top w:w="80" w:type="dxa"/>
              <w:start w:w="120" w:type="dxa"/>
              <w:bottom w:w="80" w:type="dxa"/>
              <w:end w:w="120" w:type="dxa"/>
            </w:tcMar>
            <w:vAlign w:val="center"/>
          </w:tcPr>
          <w:p>
            <w:pPr>
              <w:spacing w:before="0" w:after="40" w:line="252" w:lineRule="auto"/>
            </w:pPr>
            <w:r>
              <w:rPr>
                <w:rFonts w:ascii="Calibri" w:hAnsi="Calibri"/>
                <w:color w:val="000000"/>
                <w:sz w:val="17"/>
              </w:rPr>
              <w:t>Review mixed or bundled passage</w:t>
            </w:r>
          </w:p>
        </w:tc>
        <w:tc>
          <w:tcPr>
            <w:tcW w:type="dxa" w:w="2300"/>
            <w:tcMar>
              <w:top w:w="80" w:type="dxa"/>
              <w:start w:w="120" w:type="dxa"/>
              <w:bottom w:w="80" w:type="dxa"/>
              <w:end w:w="120" w:type="dxa"/>
            </w:tcMar>
            <w:vAlign w:val="center"/>
          </w:tcPr>
          <w:p>
            <w:pPr>
              <w:spacing w:before="0" w:after="40" w:line="252" w:lineRule="auto"/>
            </w:pPr>
            <w:r>
              <w:rPr>
                <w:rFonts w:ascii="Calibri" w:hAnsi="Calibri"/>
                <w:color w:val="000000"/>
                <w:sz w:val="17"/>
              </w:rPr>
              <w:t>Exclude or link as supporting activity</w:t>
            </w:r>
          </w:p>
        </w:tc>
      </w:tr>
      <w:tr>
        <w:trPr>
          <w:cantSplit/>
        </w:trPr>
        <w:tc>
          <w:tcPr>
            <w:tcW w:type="dxa" w:w="2600"/>
            <w:tcMar>
              <w:top w:w="80" w:type="dxa"/>
              <w:start w:w="120" w:type="dxa"/>
              <w:bottom w:w="80" w:type="dxa"/>
              <w:end w:w="120" w:type="dxa"/>
            </w:tcMar>
            <w:vAlign w:val="center"/>
          </w:tcPr>
          <w:p>
            <w:pPr>
              <w:spacing w:before="0" w:after="40" w:line="252" w:lineRule="auto"/>
            </w:pPr>
            <w:r>
              <w:rPr>
                <w:rFonts w:ascii="Calibri" w:hAnsi="Calibri"/>
                <w:color w:val="000000"/>
                <w:sz w:val="17"/>
              </w:rPr>
              <w:t>Is it distinct from a broader reform?</w:t>
            </w:r>
          </w:p>
        </w:tc>
        <w:tc>
          <w:tcPr>
            <w:tcW w:type="dxa" w:w="2000"/>
            <w:tcMar>
              <w:top w:w="80" w:type="dxa"/>
              <w:start w:w="120" w:type="dxa"/>
              <w:bottom w:w="80" w:type="dxa"/>
              <w:end w:w="120" w:type="dxa"/>
            </w:tcMar>
            <w:vAlign w:val="center"/>
          </w:tcPr>
          <w:p>
            <w:pPr>
              <w:spacing w:before="0" w:after="40" w:line="252" w:lineRule="auto"/>
            </w:pPr>
            <w:r>
              <w:rPr>
                <w:rFonts w:ascii="Calibri" w:hAnsi="Calibri"/>
                <w:color w:val="000000"/>
                <w:sz w:val="17"/>
              </w:rPr>
              <w:t>Count separately if validated</w:t>
            </w:r>
          </w:p>
        </w:tc>
        <w:tc>
          <w:tcPr>
            <w:tcW w:type="dxa" w:w="2460"/>
            <w:tcMar>
              <w:top w:w="80" w:type="dxa"/>
              <w:start w:w="120" w:type="dxa"/>
              <w:bottom w:w="80" w:type="dxa"/>
              <w:end w:w="120" w:type="dxa"/>
            </w:tcMar>
            <w:vAlign w:val="center"/>
          </w:tcPr>
          <w:p>
            <w:pPr>
              <w:spacing w:before="0" w:after="40" w:line="252" w:lineRule="auto"/>
            </w:pPr>
            <w:r>
              <w:rPr>
                <w:rFonts w:ascii="Calibri" w:hAnsi="Calibri"/>
                <w:color w:val="000000"/>
                <w:sz w:val="17"/>
              </w:rPr>
              <w:t>Review aggregation</w:t>
            </w:r>
          </w:p>
        </w:tc>
        <w:tc>
          <w:tcPr>
            <w:tcW w:type="dxa" w:w="2300"/>
            <w:tcMar>
              <w:top w:w="80" w:type="dxa"/>
              <w:start w:w="120" w:type="dxa"/>
              <w:bottom w:w="80" w:type="dxa"/>
              <w:end w:w="120" w:type="dxa"/>
            </w:tcMar>
            <w:vAlign w:val="center"/>
          </w:tcPr>
          <w:p>
            <w:pPr>
              <w:spacing w:before="0" w:after="40" w:line="252" w:lineRule="auto"/>
            </w:pPr>
            <w:r>
              <w:rPr>
                <w:rFonts w:ascii="Calibri" w:hAnsi="Calibri"/>
                <w:color w:val="000000"/>
                <w:sz w:val="17"/>
              </w:rPr>
              <w:t>Consolidate under parent</w:t>
            </w:r>
          </w:p>
        </w:tc>
      </w:tr>
    </w:tbl>
    <w:p>
      <w:pPr>
        <w:pStyle w:val="Heading2"/>
      </w:pPr>
      <w:r>
        <w:t>Final interpretation rule</w:t>
      </w:r>
    </w:p>
    <w:p>
      <w:r>
        <w:t>When reasonable reviewers could disagree because the Compact signals a possible system change but does not specify a complete mechanism, retain the passage as a Potential Reform Action - Human Review. When the passage clearly lacks a reform mechanism, retain it in the non-reform audit log. When all inclusion conditions are supported, classify it as a High-confidence Reform Action and submit it for human validation.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C6670"/>
        <w:sz w:val="17"/>
      </w:rPr>
      <w:t xml:space="preserve">Page </w:t>
    </w:r>
    <w:r>
      <w:rPr>
        <w:rFonts w:ascii="Calibri" w:hAnsi="Calibri"/>
        <w:color w:val="5C66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C6670"/>
        <w:sz w:val="17"/>
      </w:rPr>
      <w:t>COUNTRY WATER COMPACTS | METHODOLOGICAL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1008"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Reform Action Identification, Coding, and Review for Country Water Compacts</dc:title>
  <dc:subject>Methodological note for LLM-assisted reform action identification and human validation</dc:subject>
  <dc:creator>python-docx</dc:creator>
  <cp:keywords>Water Compacts, reform actions, methodology, LLM, human review</cp:keywords>
  <dc:description>Draft for pilot application - August 2026</dc:description>
  <cp:lastModifiedBy/>
  <cp:revision>1</cp:revision>
  <dcterms:created xsi:type="dcterms:W3CDTF">2013-12-23T23:15:00Z</dcterms:created>
  <dcterms:modified xsi:type="dcterms:W3CDTF">2013-12-23T23:15:00Z</dcterms:modified>
  <cp:category/>
</cp:coreProperties>
</file>