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1C1" w14:textId="487062EF" w:rsidR="005D01C5" w:rsidRPr="001458FF" w:rsidRDefault="008540C3" w:rsidP="001B4B3B">
      <w:pPr>
        <w:pStyle w:val="Heading1"/>
      </w:pPr>
      <w:r w:rsidRPr="001458FF">
        <w:t>Annex A: Glossary of Terms and Acronyms</w:t>
      </w:r>
    </w:p>
    <w:p w14:paraId="1D537E12" w14:textId="3A47B9BA" w:rsidR="008540C3" w:rsidRPr="001458FF" w:rsidRDefault="008540C3" w:rsidP="008540C3">
      <w:pPr>
        <w:pStyle w:val="ListParagraph"/>
        <w:numPr>
          <w:ilvl w:val="0"/>
          <w:numId w:val="2"/>
        </w:numPr>
        <w:rPr>
          <w:rFonts w:ascii="Poppins" w:hAnsi="Poppins" w:cs="Poppins"/>
          <w:b/>
          <w:bCs/>
          <w:sz w:val="20"/>
          <w:szCs w:val="20"/>
        </w:rPr>
      </w:pPr>
      <w:r w:rsidRPr="001458FF">
        <w:rPr>
          <w:rFonts w:ascii="Poppins" w:hAnsi="Poppins" w:cs="Poppins"/>
          <w:b/>
          <w:bCs/>
          <w:sz w:val="20"/>
          <w:szCs w:val="20"/>
        </w:rPr>
        <w:t xml:space="preserve">Acronym </w:t>
      </w:r>
    </w:p>
    <w:tbl>
      <w:tblPr>
        <w:tblStyle w:val="TableGrid"/>
        <w:tblW w:w="0" w:type="auto"/>
        <w:tblLook w:val="04A0" w:firstRow="1" w:lastRow="0" w:firstColumn="1" w:lastColumn="0" w:noHBand="0" w:noVBand="1"/>
      </w:tblPr>
      <w:tblGrid>
        <w:gridCol w:w="1745"/>
        <w:gridCol w:w="8015"/>
      </w:tblGrid>
      <w:tr w:rsidR="00EE13BC" w:rsidRPr="007477C2" w14:paraId="5FD430EE" w14:textId="77777777" w:rsidTr="00872D45">
        <w:trPr>
          <w:trHeight w:val="290"/>
        </w:trPr>
        <w:tc>
          <w:tcPr>
            <w:tcW w:w="1745" w:type="dxa"/>
            <w:hideMark/>
          </w:tcPr>
          <w:p w14:paraId="60D1CD07" w14:textId="3451BF96" w:rsidR="00EE13BC" w:rsidRPr="007477C2" w:rsidRDefault="00EE13BC" w:rsidP="007477C2">
            <w:pPr>
              <w:rPr>
                <w:rFonts w:ascii="Poppins" w:hAnsi="Poppins" w:cs="Poppins"/>
                <w:b/>
                <w:bCs/>
                <w:sz w:val="20"/>
                <w:szCs w:val="20"/>
              </w:rPr>
            </w:pPr>
            <w:r w:rsidRPr="007477C2">
              <w:rPr>
                <w:rFonts w:ascii="Poppins" w:hAnsi="Poppins" w:cs="Poppins"/>
                <w:b/>
                <w:bCs/>
                <w:sz w:val="20"/>
                <w:szCs w:val="20"/>
              </w:rPr>
              <w:t>Acronym</w:t>
            </w:r>
          </w:p>
        </w:tc>
        <w:tc>
          <w:tcPr>
            <w:tcW w:w="8015" w:type="dxa"/>
            <w:hideMark/>
          </w:tcPr>
          <w:p w14:paraId="6BB37D20" w14:textId="77777777" w:rsidR="00EE13BC" w:rsidRPr="007477C2" w:rsidRDefault="00EE13BC" w:rsidP="007477C2">
            <w:pPr>
              <w:rPr>
                <w:rFonts w:ascii="Poppins" w:hAnsi="Poppins" w:cs="Poppins"/>
                <w:b/>
                <w:bCs/>
                <w:sz w:val="20"/>
                <w:szCs w:val="20"/>
              </w:rPr>
            </w:pPr>
            <w:r w:rsidRPr="007477C2">
              <w:rPr>
                <w:rFonts w:ascii="Poppins" w:hAnsi="Poppins" w:cs="Poppins"/>
                <w:b/>
                <w:bCs/>
                <w:sz w:val="20"/>
                <w:szCs w:val="20"/>
              </w:rPr>
              <w:t>Full Form</w:t>
            </w:r>
          </w:p>
        </w:tc>
      </w:tr>
      <w:tr w:rsidR="007D7239" w:rsidRPr="007477C2" w14:paraId="6D058FE1" w14:textId="77777777" w:rsidTr="00872D45">
        <w:trPr>
          <w:trHeight w:val="290"/>
        </w:trPr>
        <w:tc>
          <w:tcPr>
            <w:tcW w:w="1745" w:type="dxa"/>
            <w:hideMark/>
          </w:tcPr>
          <w:p w14:paraId="49A48189"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AML</w:t>
            </w:r>
          </w:p>
        </w:tc>
        <w:tc>
          <w:tcPr>
            <w:tcW w:w="8015" w:type="dxa"/>
            <w:hideMark/>
          </w:tcPr>
          <w:p w14:paraId="470A30F9" w14:textId="77777777" w:rsidR="007D7239" w:rsidRPr="007477C2" w:rsidRDefault="007D7239">
            <w:pPr>
              <w:rPr>
                <w:rFonts w:ascii="Poppins" w:hAnsi="Poppins" w:cs="Poppins"/>
                <w:sz w:val="20"/>
                <w:szCs w:val="20"/>
              </w:rPr>
            </w:pPr>
            <w:r w:rsidRPr="007477C2">
              <w:rPr>
                <w:rFonts w:ascii="Poppins" w:hAnsi="Poppins" w:cs="Poppins"/>
                <w:sz w:val="20"/>
                <w:szCs w:val="20"/>
              </w:rPr>
              <w:t>Anti-Money Laundering</w:t>
            </w:r>
          </w:p>
        </w:tc>
      </w:tr>
      <w:tr w:rsidR="007D7239" w:rsidRPr="007477C2" w14:paraId="4A0BF2C5" w14:textId="77777777" w:rsidTr="00872D45">
        <w:trPr>
          <w:trHeight w:val="290"/>
        </w:trPr>
        <w:tc>
          <w:tcPr>
            <w:tcW w:w="1745" w:type="dxa"/>
            <w:hideMark/>
          </w:tcPr>
          <w:p w14:paraId="096D9943"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BCP</w:t>
            </w:r>
          </w:p>
        </w:tc>
        <w:tc>
          <w:tcPr>
            <w:tcW w:w="8015" w:type="dxa"/>
            <w:hideMark/>
          </w:tcPr>
          <w:p w14:paraId="4C9D4FD1" w14:textId="77777777" w:rsidR="007D7239" w:rsidRPr="007477C2" w:rsidRDefault="007D7239">
            <w:pPr>
              <w:rPr>
                <w:rFonts w:ascii="Poppins" w:hAnsi="Poppins" w:cs="Poppins"/>
                <w:sz w:val="20"/>
                <w:szCs w:val="20"/>
              </w:rPr>
            </w:pPr>
            <w:r w:rsidRPr="007477C2">
              <w:rPr>
                <w:rFonts w:ascii="Poppins" w:hAnsi="Poppins" w:cs="Poppins"/>
                <w:sz w:val="20"/>
                <w:szCs w:val="20"/>
              </w:rPr>
              <w:t>Business Continuity Planning</w:t>
            </w:r>
          </w:p>
        </w:tc>
      </w:tr>
      <w:tr w:rsidR="007D7239" w:rsidRPr="007477C2" w14:paraId="4A955B91" w14:textId="77777777" w:rsidTr="00872D45">
        <w:trPr>
          <w:trHeight w:val="290"/>
        </w:trPr>
        <w:tc>
          <w:tcPr>
            <w:tcW w:w="1745" w:type="dxa"/>
            <w:hideMark/>
          </w:tcPr>
          <w:p w14:paraId="476D5458"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BRCC</w:t>
            </w:r>
          </w:p>
        </w:tc>
        <w:tc>
          <w:tcPr>
            <w:tcW w:w="8015" w:type="dxa"/>
            <w:hideMark/>
          </w:tcPr>
          <w:p w14:paraId="48499992" w14:textId="77777777" w:rsidR="007D7239" w:rsidRPr="007477C2" w:rsidRDefault="007D7239">
            <w:pPr>
              <w:rPr>
                <w:rFonts w:ascii="Poppins" w:hAnsi="Poppins" w:cs="Poppins"/>
                <w:sz w:val="20"/>
                <w:szCs w:val="20"/>
              </w:rPr>
            </w:pPr>
            <w:r w:rsidRPr="007477C2">
              <w:rPr>
                <w:rFonts w:ascii="Poppins" w:hAnsi="Poppins" w:cs="Poppins"/>
                <w:sz w:val="20"/>
                <w:szCs w:val="20"/>
              </w:rPr>
              <w:t>Board Risk and Compliance Committee</w:t>
            </w:r>
          </w:p>
        </w:tc>
      </w:tr>
      <w:tr w:rsidR="007D7239" w:rsidRPr="007477C2" w14:paraId="567372A0" w14:textId="77777777" w:rsidTr="00872D45">
        <w:trPr>
          <w:trHeight w:val="290"/>
        </w:trPr>
        <w:tc>
          <w:tcPr>
            <w:tcW w:w="1745" w:type="dxa"/>
            <w:hideMark/>
          </w:tcPr>
          <w:p w14:paraId="5EE6A83C"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CRS</w:t>
            </w:r>
          </w:p>
        </w:tc>
        <w:tc>
          <w:tcPr>
            <w:tcW w:w="8015" w:type="dxa"/>
            <w:hideMark/>
          </w:tcPr>
          <w:p w14:paraId="51D0E87A" w14:textId="77777777" w:rsidR="007D7239" w:rsidRPr="007477C2" w:rsidRDefault="007D7239">
            <w:pPr>
              <w:rPr>
                <w:rFonts w:ascii="Poppins" w:hAnsi="Poppins" w:cs="Poppins"/>
                <w:sz w:val="20"/>
                <w:szCs w:val="20"/>
              </w:rPr>
            </w:pPr>
            <w:r w:rsidRPr="007477C2">
              <w:rPr>
                <w:rFonts w:ascii="Poppins" w:hAnsi="Poppins" w:cs="Poppins"/>
                <w:sz w:val="20"/>
                <w:szCs w:val="20"/>
              </w:rPr>
              <w:t>Climate Resilience Strategy</w:t>
            </w:r>
          </w:p>
        </w:tc>
      </w:tr>
      <w:tr w:rsidR="007D7239" w:rsidRPr="007477C2" w14:paraId="11D8BD51" w14:textId="77777777" w:rsidTr="00872D45">
        <w:trPr>
          <w:trHeight w:val="290"/>
        </w:trPr>
        <w:tc>
          <w:tcPr>
            <w:tcW w:w="1745" w:type="dxa"/>
            <w:hideMark/>
          </w:tcPr>
          <w:p w14:paraId="260149F4"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DRP</w:t>
            </w:r>
          </w:p>
        </w:tc>
        <w:tc>
          <w:tcPr>
            <w:tcW w:w="8015" w:type="dxa"/>
            <w:hideMark/>
          </w:tcPr>
          <w:p w14:paraId="1A7EE9B6" w14:textId="77777777" w:rsidR="007D7239" w:rsidRPr="007477C2" w:rsidRDefault="007D7239">
            <w:pPr>
              <w:rPr>
                <w:rFonts w:ascii="Poppins" w:hAnsi="Poppins" w:cs="Poppins"/>
                <w:sz w:val="20"/>
                <w:szCs w:val="20"/>
              </w:rPr>
            </w:pPr>
            <w:r w:rsidRPr="007477C2">
              <w:rPr>
                <w:rFonts w:ascii="Poppins" w:hAnsi="Poppins" w:cs="Poppins"/>
                <w:sz w:val="20"/>
                <w:szCs w:val="20"/>
              </w:rPr>
              <w:t>Disaster Recovery Planning</w:t>
            </w:r>
          </w:p>
        </w:tc>
      </w:tr>
      <w:tr w:rsidR="007D7239" w:rsidRPr="007477C2" w14:paraId="0ACF87B5" w14:textId="77777777" w:rsidTr="00872D45">
        <w:trPr>
          <w:trHeight w:val="290"/>
        </w:trPr>
        <w:tc>
          <w:tcPr>
            <w:tcW w:w="1745" w:type="dxa"/>
            <w:hideMark/>
          </w:tcPr>
          <w:p w14:paraId="42E389DE"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ERM</w:t>
            </w:r>
          </w:p>
        </w:tc>
        <w:tc>
          <w:tcPr>
            <w:tcW w:w="8015" w:type="dxa"/>
            <w:hideMark/>
          </w:tcPr>
          <w:p w14:paraId="2E2CE164" w14:textId="77777777" w:rsidR="007D7239" w:rsidRPr="007477C2" w:rsidRDefault="007D7239">
            <w:pPr>
              <w:rPr>
                <w:rFonts w:ascii="Poppins" w:hAnsi="Poppins" w:cs="Poppins"/>
                <w:sz w:val="20"/>
                <w:szCs w:val="20"/>
              </w:rPr>
            </w:pPr>
            <w:r w:rsidRPr="007477C2">
              <w:rPr>
                <w:rFonts w:ascii="Poppins" w:hAnsi="Poppins" w:cs="Poppins"/>
                <w:sz w:val="20"/>
                <w:szCs w:val="20"/>
              </w:rPr>
              <w:t>Enterprise Risk Management</w:t>
            </w:r>
          </w:p>
        </w:tc>
      </w:tr>
      <w:tr w:rsidR="007D7239" w:rsidRPr="007477C2" w14:paraId="0F09C46C" w14:textId="77777777" w:rsidTr="00872D45">
        <w:trPr>
          <w:trHeight w:val="290"/>
        </w:trPr>
        <w:tc>
          <w:tcPr>
            <w:tcW w:w="1745" w:type="dxa"/>
            <w:hideMark/>
          </w:tcPr>
          <w:p w14:paraId="5695DE14"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ESDD</w:t>
            </w:r>
          </w:p>
        </w:tc>
        <w:tc>
          <w:tcPr>
            <w:tcW w:w="8015" w:type="dxa"/>
            <w:hideMark/>
          </w:tcPr>
          <w:p w14:paraId="4E758F5D" w14:textId="77777777" w:rsidR="007D7239" w:rsidRPr="007477C2" w:rsidRDefault="007D7239">
            <w:pPr>
              <w:rPr>
                <w:rFonts w:ascii="Poppins" w:hAnsi="Poppins" w:cs="Poppins"/>
                <w:sz w:val="20"/>
                <w:szCs w:val="20"/>
              </w:rPr>
            </w:pPr>
            <w:r w:rsidRPr="007477C2">
              <w:rPr>
                <w:rFonts w:ascii="Poppins" w:hAnsi="Poppins" w:cs="Poppins"/>
                <w:sz w:val="20"/>
                <w:szCs w:val="20"/>
              </w:rPr>
              <w:t>Environmental and Social Due Diligence</w:t>
            </w:r>
          </w:p>
        </w:tc>
      </w:tr>
      <w:tr w:rsidR="007D7239" w:rsidRPr="007477C2" w14:paraId="0B9B7FD1" w14:textId="77777777" w:rsidTr="00872D45">
        <w:trPr>
          <w:trHeight w:val="290"/>
        </w:trPr>
        <w:tc>
          <w:tcPr>
            <w:tcW w:w="1745" w:type="dxa"/>
            <w:hideMark/>
          </w:tcPr>
          <w:p w14:paraId="04C10A5A"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ESG</w:t>
            </w:r>
          </w:p>
        </w:tc>
        <w:tc>
          <w:tcPr>
            <w:tcW w:w="8015" w:type="dxa"/>
            <w:hideMark/>
          </w:tcPr>
          <w:p w14:paraId="7CB6CB20" w14:textId="77777777" w:rsidR="007D7239" w:rsidRPr="007477C2" w:rsidRDefault="007D7239">
            <w:pPr>
              <w:rPr>
                <w:rFonts w:ascii="Poppins" w:hAnsi="Poppins" w:cs="Poppins"/>
                <w:sz w:val="20"/>
                <w:szCs w:val="20"/>
              </w:rPr>
            </w:pPr>
            <w:r w:rsidRPr="007477C2">
              <w:rPr>
                <w:rFonts w:ascii="Poppins" w:hAnsi="Poppins" w:cs="Poppins"/>
                <w:sz w:val="20"/>
                <w:szCs w:val="20"/>
              </w:rPr>
              <w:t>Environmental, Social, and Governance</w:t>
            </w:r>
          </w:p>
        </w:tc>
      </w:tr>
      <w:tr w:rsidR="007D7239" w:rsidRPr="007477C2" w14:paraId="0C9683F0" w14:textId="77777777" w:rsidTr="00872D45">
        <w:trPr>
          <w:trHeight w:val="290"/>
        </w:trPr>
        <w:tc>
          <w:tcPr>
            <w:tcW w:w="1745" w:type="dxa"/>
            <w:hideMark/>
          </w:tcPr>
          <w:p w14:paraId="67832BB2"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ESRM</w:t>
            </w:r>
          </w:p>
        </w:tc>
        <w:tc>
          <w:tcPr>
            <w:tcW w:w="8015" w:type="dxa"/>
            <w:hideMark/>
          </w:tcPr>
          <w:p w14:paraId="2E304367" w14:textId="77777777" w:rsidR="007D7239" w:rsidRPr="007477C2" w:rsidRDefault="007D7239">
            <w:pPr>
              <w:rPr>
                <w:rFonts w:ascii="Poppins" w:hAnsi="Poppins" w:cs="Poppins"/>
                <w:sz w:val="20"/>
                <w:szCs w:val="20"/>
              </w:rPr>
            </w:pPr>
            <w:r w:rsidRPr="007477C2">
              <w:rPr>
                <w:rFonts w:ascii="Poppins" w:hAnsi="Poppins" w:cs="Poppins"/>
                <w:sz w:val="20"/>
                <w:szCs w:val="20"/>
              </w:rPr>
              <w:t>Environmental and Social Risk Management</w:t>
            </w:r>
          </w:p>
        </w:tc>
      </w:tr>
      <w:tr w:rsidR="007D7239" w:rsidRPr="007477C2" w14:paraId="1209803F" w14:textId="77777777" w:rsidTr="00872D45">
        <w:trPr>
          <w:trHeight w:val="290"/>
        </w:trPr>
        <w:tc>
          <w:tcPr>
            <w:tcW w:w="1745" w:type="dxa"/>
            <w:hideMark/>
          </w:tcPr>
          <w:p w14:paraId="0550468A"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GHG</w:t>
            </w:r>
          </w:p>
        </w:tc>
        <w:tc>
          <w:tcPr>
            <w:tcW w:w="8015" w:type="dxa"/>
            <w:hideMark/>
          </w:tcPr>
          <w:p w14:paraId="73AEC005" w14:textId="77777777" w:rsidR="007D7239" w:rsidRPr="007477C2" w:rsidRDefault="007D7239">
            <w:pPr>
              <w:rPr>
                <w:rFonts w:ascii="Poppins" w:hAnsi="Poppins" w:cs="Poppins"/>
                <w:sz w:val="20"/>
                <w:szCs w:val="20"/>
              </w:rPr>
            </w:pPr>
            <w:r w:rsidRPr="007477C2">
              <w:rPr>
                <w:rFonts w:ascii="Poppins" w:hAnsi="Poppins" w:cs="Poppins"/>
                <w:sz w:val="20"/>
                <w:szCs w:val="20"/>
              </w:rPr>
              <w:t>Greenhouse Gas</w:t>
            </w:r>
          </w:p>
        </w:tc>
      </w:tr>
      <w:tr w:rsidR="007D7239" w:rsidRPr="007477C2" w14:paraId="42F16816" w14:textId="77777777" w:rsidTr="00872D45">
        <w:trPr>
          <w:trHeight w:val="290"/>
        </w:trPr>
        <w:tc>
          <w:tcPr>
            <w:tcW w:w="1745" w:type="dxa"/>
            <w:hideMark/>
          </w:tcPr>
          <w:p w14:paraId="1189B141"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GRI</w:t>
            </w:r>
          </w:p>
        </w:tc>
        <w:tc>
          <w:tcPr>
            <w:tcW w:w="8015" w:type="dxa"/>
            <w:hideMark/>
          </w:tcPr>
          <w:p w14:paraId="6A61BF36" w14:textId="77777777" w:rsidR="007D7239" w:rsidRPr="007477C2" w:rsidRDefault="007D7239">
            <w:pPr>
              <w:rPr>
                <w:rFonts w:ascii="Poppins" w:hAnsi="Poppins" w:cs="Poppins"/>
                <w:sz w:val="20"/>
                <w:szCs w:val="20"/>
              </w:rPr>
            </w:pPr>
            <w:r w:rsidRPr="007477C2">
              <w:rPr>
                <w:rFonts w:ascii="Poppins" w:hAnsi="Poppins" w:cs="Poppins"/>
                <w:sz w:val="20"/>
                <w:szCs w:val="20"/>
              </w:rPr>
              <w:t>Global Reporting Initiative</w:t>
            </w:r>
          </w:p>
        </w:tc>
      </w:tr>
      <w:tr w:rsidR="007D7239" w:rsidRPr="007477C2" w14:paraId="27685F03" w14:textId="77777777" w:rsidTr="00872D45">
        <w:trPr>
          <w:trHeight w:val="290"/>
        </w:trPr>
        <w:tc>
          <w:tcPr>
            <w:tcW w:w="1745" w:type="dxa"/>
            <w:hideMark/>
          </w:tcPr>
          <w:p w14:paraId="4232FC4B"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ICAAP</w:t>
            </w:r>
          </w:p>
        </w:tc>
        <w:tc>
          <w:tcPr>
            <w:tcW w:w="8015" w:type="dxa"/>
            <w:hideMark/>
          </w:tcPr>
          <w:p w14:paraId="39059D17" w14:textId="77777777" w:rsidR="007D7239" w:rsidRPr="007477C2" w:rsidRDefault="007D7239">
            <w:pPr>
              <w:rPr>
                <w:rFonts w:ascii="Poppins" w:hAnsi="Poppins" w:cs="Poppins"/>
                <w:sz w:val="20"/>
                <w:szCs w:val="20"/>
              </w:rPr>
            </w:pPr>
            <w:r w:rsidRPr="007477C2">
              <w:rPr>
                <w:rFonts w:ascii="Poppins" w:hAnsi="Poppins" w:cs="Poppins"/>
                <w:sz w:val="20"/>
                <w:szCs w:val="20"/>
              </w:rPr>
              <w:t>Internal Capital Adequacy Assessment Process</w:t>
            </w:r>
          </w:p>
        </w:tc>
      </w:tr>
      <w:tr w:rsidR="007D7239" w:rsidRPr="007477C2" w14:paraId="5E090023" w14:textId="77777777" w:rsidTr="00872D45">
        <w:trPr>
          <w:trHeight w:val="290"/>
        </w:trPr>
        <w:tc>
          <w:tcPr>
            <w:tcW w:w="1745" w:type="dxa"/>
            <w:hideMark/>
          </w:tcPr>
          <w:p w14:paraId="6A11BFE4"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ICMA SLBP</w:t>
            </w:r>
          </w:p>
        </w:tc>
        <w:tc>
          <w:tcPr>
            <w:tcW w:w="8015" w:type="dxa"/>
            <w:hideMark/>
          </w:tcPr>
          <w:p w14:paraId="45FB8ACF" w14:textId="77777777" w:rsidR="007D7239" w:rsidRPr="007477C2" w:rsidRDefault="007D7239">
            <w:pPr>
              <w:rPr>
                <w:rFonts w:ascii="Poppins" w:hAnsi="Poppins" w:cs="Poppins"/>
                <w:sz w:val="20"/>
                <w:szCs w:val="20"/>
              </w:rPr>
            </w:pPr>
            <w:r w:rsidRPr="007477C2">
              <w:rPr>
                <w:rFonts w:ascii="Poppins" w:hAnsi="Poppins" w:cs="Poppins"/>
                <w:sz w:val="20"/>
                <w:szCs w:val="20"/>
              </w:rPr>
              <w:t>International Capital Market Association Sustainability-Linked Bond Principles</w:t>
            </w:r>
          </w:p>
        </w:tc>
      </w:tr>
      <w:tr w:rsidR="007D7239" w:rsidRPr="007477C2" w14:paraId="60D44E5C" w14:textId="77777777" w:rsidTr="00872D45">
        <w:trPr>
          <w:trHeight w:val="290"/>
        </w:trPr>
        <w:tc>
          <w:tcPr>
            <w:tcW w:w="1745" w:type="dxa"/>
            <w:hideMark/>
          </w:tcPr>
          <w:p w14:paraId="1A572FDC"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IFRS</w:t>
            </w:r>
          </w:p>
        </w:tc>
        <w:tc>
          <w:tcPr>
            <w:tcW w:w="8015" w:type="dxa"/>
            <w:hideMark/>
          </w:tcPr>
          <w:p w14:paraId="1DD3C90A" w14:textId="77777777" w:rsidR="007D7239" w:rsidRPr="007477C2" w:rsidRDefault="007D7239">
            <w:pPr>
              <w:rPr>
                <w:rFonts w:ascii="Poppins" w:hAnsi="Poppins" w:cs="Poppins"/>
                <w:sz w:val="20"/>
                <w:szCs w:val="20"/>
              </w:rPr>
            </w:pPr>
            <w:r w:rsidRPr="007477C2">
              <w:rPr>
                <w:rFonts w:ascii="Poppins" w:hAnsi="Poppins" w:cs="Poppins"/>
                <w:sz w:val="20"/>
                <w:szCs w:val="20"/>
              </w:rPr>
              <w:t>International Financial Reporting Standards</w:t>
            </w:r>
          </w:p>
        </w:tc>
      </w:tr>
      <w:tr w:rsidR="007D7239" w:rsidRPr="007477C2" w14:paraId="68C5405E" w14:textId="77777777" w:rsidTr="00872D45">
        <w:trPr>
          <w:trHeight w:val="290"/>
        </w:trPr>
        <w:tc>
          <w:tcPr>
            <w:tcW w:w="1745" w:type="dxa"/>
            <w:hideMark/>
          </w:tcPr>
          <w:p w14:paraId="4BCF156F"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IFRS S1</w:t>
            </w:r>
          </w:p>
        </w:tc>
        <w:tc>
          <w:tcPr>
            <w:tcW w:w="8015" w:type="dxa"/>
            <w:hideMark/>
          </w:tcPr>
          <w:p w14:paraId="62762062" w14:textId="77777777" w:rsidR="007D7239" w:rsidRPr="007477C2" w:rsidRDefault="007D7239">
            <w:pPr>
              <w:rPr>
                <w:rFonts w:ascii="Poppins" w:hAnsi="Poppins" w:cs="Poppins"/>
                <w:sz w:val="20"/>
                <w:szCs w:val="20"/>
              </w:rPr>
            </w:pPr>
            <w:r w:rsidRPr="007477C2">
              <w:rPr>
                <w:rFonts w:ascii="Poppins" w:hAnsi="Poppins" w:cs="Poppins"/>
                <w:sz w:val="20"/>
                <w:szCs w:val="20"/>
              </w:rPr>
              <w:t>General Requirements for Disclosure of Sustainability-related Financial Information</w:t>
            </w:r>
          </w:p>
        </w:tc>
      </w:tr>
      <w:tr w:rsidR="007D7239" w:rsidRPr="007477C2" w14:paraId="4FC230EE" w14:textId="77777777" w:rsidTr="00872D45">
        <w:trPr>
          <w:trHeight w:val="290"/>
        </w:trPr>
        <w:tc>
          <w:tcPr>
            <w:tcW w:w="1745" w:type="dxa"/>
            <w:hideMark/>
          </w:tcPr>
          <w:p w14:paraId="72433E25"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IFRS S2</w:t>
            </w:r>
          </w:p>
        </w:tc>
        <w:tc>
          <w:tcPr>
            <w:tcW w:w="8015" w:type="dxa"/>
            <w:hideMark/>
          </w:tcPr>
          <w:p w14:paraId="18B41624" w14:textId="77777777" w:rsidR="007D7239" w:rsidRPr="007477C2" w:rsidRDefault="007D7239">
            <w:pPr>
              <w:rPr>
                <w:rFonts w:ascii="Poppins" w:hAnsi="Poppins" w:cs="Poppins"/>
                <w:sz w:val="20"/>
                <w:szCs w:val="20"/>
              </w:rPr>
            </w:pPr>
            <w:r w:rsidRPr="007477C2">
              <w:rPr>
                <w:rFonts w:ascii="Poppins" w:hAnsi="Poppins" w:cs="Poppins"/>
                <w:sz w:val="20"/>
                <w:szCs w:val="20"/>
              </w:rPr>
              <w:t>Climate-related Disclosures</w:t>
            </w:r>
          </w:p>
        </w:tc>
      </w:tr>
      <w:tr w:rsidR="007D7239" w:rsidRPr="007477C2" w14:paraId="4E8EE3BF" w14:textId="77777777" w:rsidTr="00872D45">
        <w:trPr>
          <w:trHeight w:val="290"/>
        </w:trPr>
        <w:tc>
          <w:tcPr>
            <w:tcW w:w="1745" w:type="dxa"/>
            <w:hideMark/>
          </w:tcPr>
          <w:p w14:paraId="67DBE9BC"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KPI</w:t>
            </w:r>
          </w:p>
        </w:tc>
        <w:tc>
          <w:tcPr>
            <w:tcW w:w="8015" w:type="dxa"/>
            <w:hideMark/>
          </w:tcPr>
          <w:p w14:paraId="7AA2B1E0" w14:textId="77777777" w:rsidR="007D7239" w:rsidRPr="007477C2" w:rsidRDefault="007D7239">
            <w:pPr>
              <w:rPr>
                <w:rFonts w:ascii="Poppins" w:hAnsi="Poppins" w:cs="Poppins"/>
                <w:sz w:val="20"/>
                <w:szCs w:val="20"/>
              </w:rPr>
            </w:pPr>
            <w:r w:rsidRPr="007477C2">
              <w:rPr>
                <w:rFonts w:ascii="Poppins" w:hAnsi="Poppins" w:cs="Poppins"/>
                <w:sz w:val="20"/>
                <w:szCs w:val="20"/>
              </w:rPr>
              <w:t>Key Performance Indicator</w:t>
            </w:r>
          </w:p>
        </w:tc>
      </w:tr>
      <w:tr w:rsidR="007D7239" w:rsidRPr="007477C2" w14:paraId="4468D27B" w14:textId="77777777" w:rsidTr="00872D45">
        <w:trPr>
          <w:trHeight w:val="290"/>
        </w:trPr>
        <w:tc>
          <w:tcPr>
            <w:tcW w:w="1745" w:type="dxa"/>
            <w:hideMark/>
          </w:tcPr>
          <w:p w14:paraId="5AC3FC83"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ORMC</w:t>
            </w:r>
          </w:p>
        </w:tc>
        <w:tc>
          <w:tcPr>
            <w:tcW w:w="8015" w:type="dxa"/>
            <w:hideMark/>
          </w:tcPr>
          <w:p w14:paraId="2BBB1D89" w14:textId="77777777" w:rsidR="007D7239" w:rsidRPr="007477C2" w:rsidRDefault="007D7239">
            <w:pPr>
              <w:rPr>
                <w:rFonts w:ascii="Poppins" w:hAnsi="Poppins" w:cs="Poppins"/>
                <w:sz w:val="20"/>
                <w:szCs w:val="20"/>
              </w:rPr>
            </w:pPr>
            <w:r w:rsidRPr="007477C2">
              <w:rPr>
                <w:rFonts w:ascii="Poppins" w:hAnsi="Poppins" w:cs="Poppins"/>
                <w:sz w:val="20"/>
                <w:szCs w:val="20"/>
              </w:rPr>
              <w:t>Operational Risk Management Committee</w:t>
            </w:r>
          </w:p>
        </w:tc>
      </w:tr>
      <w:tr w:rsidR="007D7239" w:rsidRPr="007477C2" w14:paraId="2C1ACF5C" w14:textId="77777777" w:rsidTr="00872D45">
        <w:trPr>
          <w:trHeight w:val="290"/>
        </w:trPr>
        <w:tc>
          <w:tcPr>
            <w:tcW w:w="1745" w:type="dxa"/>
            <w:hideMark/>
          </w:tcPr>
          <w:p w14:paraId="045F9DFE"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PLR</w:t>
            </w:r>
          </w:p>
        </w:tc>
        <w:tc>
          <w:tcPr>
            <w:tcW w:w="8015" w:type="dxa"/>
            <w:hideMark/>
          </w:tcPr>
          <w:p w14:paraId="633CBC90" w14:textId="77777777" w:rsidR="007D7239" w:rsidRPr="007477C2" w:rsidRDefault="007D7239">
            <w:pPr>
              <w:rPr>
                <w:rFonts w:ascii="Poppins" w:hAnsi="Poppins" w:cs="Poppins"/>
                <w:sz w:val="20"/>
                <w:szCs w:val="20"/>
              </w:rPr>
            </w:pPr>
            <w:r w:rsidRPr="007477C2">
              <w:rPr>
                <w:rFonts w:ascii="Poppins" w:hAnsi="Poppins" w:cs="Poppins"/>
                <w:sz w:val="20"/>
                <w:szCs w:val="20"/>
              </w:rPr>
              <w:t>Policy-Level Recommendation</w:t>
            </w:r>
          </w:p>
        </w:tc>
      </w:tr>
      <w:tr w:rsidR="007D7239" w:rsidRPr="007477C2" w14:paraId="7BA2FFBE" w14:textId="77777777" w:rsidTr="00872D45">
        <w:trPr>
          <w:trHeight w:val="290"/>
        </w:trPr>
        <w:tc>
          <w:tcPr>
            <w:tcW w:w="1745" w:type="dxa"/>
            <w:hideMark/>
          </w:tcPr>
          <w:p w14:paraId="1B91B73E"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PSX</w:t>
            </w:r>
          </w:p>
        </w:tc>
        <w:tc>
          <w:tcPr>
            <w:tcW w:w="8015" w:type="dxa"/>
            <w:hideMark/>
          </w:tcPr>
          <w:p w14:paraId="402F8F8E" w14:textId="77777777" w:rsidR="007D7239" w:rsidRPr="007477C2" w:rsidRDefault="007D7239">
            <w:pPr>
              <w:rPr>
                <w:rFonts w:ascii="Poppins" w:hAnsi="Poppins" w:cs="Poppins"/>
                <w:sz w:val="20"/>
                <w:szCs w:val="20"/>
              </w:rPr>
            </w:pPr>
            <w:r w:rsidRPr="007477C2">
              <w:rPr>
                <w:rFonts w:ascii="Poppins" w:hAnsi="Poppins" w:cs="Poppins"/>
                <w:sz w:val="20"/>
                <w:szCs w:val="20"/>
              </w:rPr>
              <w:t>Pakistan Stock Exchange</w:t>
            </w:r>
          </w:p>
        </w:tc>
      </w:tr>
      <w:tr w:rsidR="007D7239" w:rsidRPr="007477C2" w14:paraId="0BE81183" w14:textId="77777777" w:rsidTr="00872D45">
        <w:trPr>
          <w:trHeight w:val="290"/>
        </w:trPr>
        <w:tc>
          <w:tcPr>
            <w:tcW w:w="1745" w:type="dxa"/>
            <w:hideMark/>
          </w:tcPr>
          <w:p w14:paraId="373A0EF7"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SBP</w:t>
            </w:r>
          </w:p>
        </w:tc>
        <w:tc>
          <w:tcPr>
            <w:tcW w:w="8015" w:type="dxa"/>
            <w:hideMark/>
          </w:tcPr>
          <w:p w14:paraId="495CE5C8" w14:textId="77777777" w:rsidR="007D7239" w:rsidRPr="007477C2" w:rsidRDefault="007D7239">
            <w:pPr>
              <w:rPr>
                <w:rFonts w:ascii="Poppins" w:hAnsi="Poppins" w:cs="Poppins"/>
                <w:sz w:val="20"/>
                <w:szCs w:val="20"/>
              </w:rPr>
            </w:pPr>
            <w:r w:rsidRPr="007477C2">
              <w:rPr>
                <w:rFonts w:ascii="Poppins" w:hAnsi="Poppins" w:cs="Poppins"/>
                <w:sz w:val="20"/>
                <w:szCs w:val="20"/>
              </w:rPr>
              <w:t>State Bank of Pakistan</w:t>
            </w:r>
          </w:p>
        </w:tc>
      </w:tr>
      <w:tr w:rsidR="007D7239" w:rsidRPr="007477C2" w14:paraId="12DC1B00" w14:textId="77777777" w:rsidTr="00872D45">
        <w:trPr>
          <w:trHeight w:val="290"/>
        </w:trPr>
        <w:tc>
          <w:tcPr>
            <w:tcW w:w="1745" w:type="dxa"/>
            <w:hideMark/>
          </w:tcPr>
          <w:p w14:paraId="60F4789F"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SDGs</w:t>
            </w:r>
          </w:p>
        </w:tc>
        <w:tc>
          <w:tcPr>
            <w:tcW w:w="8015" w:type="dxa"/>
            <w:hideMark/>
          </w:tcPr>
          <w:p w14:paraId="1DC46825" w14:textId="77777777" w:rsidR="007D7239" w:rsidRPr="007477C2" w:rsidRDefault="007D7239">
            <w:pPr>
              <w:rPr>
                <w:rFonts w:ascii="Poppins" w:hAnsi="Poppins" w:cs="Poppins"/>
                <w:sz w:val="20"/>
                <w:szCs w:val="20"/>
              </w:rPr>
            </w:pPr>
            <w:r w:rsidRPr="007477C2">
              <w:rPr>
                <w:rFonts w:ascii="Poppins" w:hAnsi="Poppins" w:cs="Poppins"/>
                <w:sz w:val="20"/>
                <w:szCs w:val="20"/>
              </w:rPr>
              <w:t>Sustainable Development Goals</w:t>
            </w:r>
          </w:p>
        </w:tc>
      </w:tr>
      <w:tr w:rsidR="007D7239" w:rsidRPr="007477C2" w14:paraId="4575EC88" w14:textId="77777777" w:rsidTr="00872D45">
        <w:trPr>
          <w:trHeight w:val="290"/>
        </w:trPr>
        <w:tc>
          <w:tcPr>
            <w:tcW w:w="1745" w:type="dxa"/>
            <w:hideMark/>
          </w:tcPr>
          <w:p w14:paraId="21049463"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lastRenderedPageBreak/>
              <w:t>SECP</w:t>
            </w:r>
          </w:p>
        </w:tc>
        <w:tc>
          <w:tcPr>
            <w:tcW w:w="8015" w:type="dxa"/>
            <w:hideMark/>
          </w:tcPr>
          <w:p w14:paraId="47BD5515" w14:textId="77777777" w:rsidR="007D7239" w:rsidRPr="007477C2" w:rsidRDefault="007D7239">
            <w:pPr>
              <w:rPr>
                <w:rFonts w:ascii="Poppins" w:hAnsi="Poppins" w:cs="Poppins"/>
                <w:sz w:val="20"/>
                <w:szCs w:val="20"/>
              </w:rPr>
            </w:pPr>
            <w:r w:rsidRPr="007477C2">
              <w:rPr>
                <w:rFonts w:ascii="Poppins" w:hAnsi="Poppins" w:cs="Poppins"/>
                <w:sz w:val="20"/>
                <w:szCs w:val="20"/>
              </w:rPr>
              <w:t>Securities and Exchange Commission of Pakistan</w:t>
            </w:r>
          </w:p>
        </w:tc>
      </w:tr>
      <w:tr w:rsidR="007D7239" w:rsidRPr="007477C2" w14:paraId="7EBECE96" w14:textId="77777777" w:rsidTr="00872D45">
        <w:trPr>
          <w:trHeight w:val="290"/>
        </w:trPr>
        <w:tc>
          <w:tcPr>
            <w:tcW w:w="1745" w:type="dxa"/>
            <w:hideMark/>
          </w:tcPr>
          <w:p w14:paraId="57FFF871"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SMF</w:t>
            </w:r>
          </w:p>
        </w:tc>
        <w:tc>
          <w:tcPr>
            <w:tcW w:w="8015" w:type="dxa"/>
            <w:hideMark/>
          </w:tcPr>
          <w:p w14:paraId="11EAFB7E" w14:textId="77777777" w:rsidR="007D7239" w:rsidRPr="007477C2" w:rsidRDefault="007D7239">
            <w:pPr>
              <w:rPr>
                <w:rFonts w:ascii="Poppins" w:hAnsi="Poppins" w:cs="Poppins"/>
                <w:sz w:val="20"/>
                <w:szCs w:val="20"/>
              </w:rPr>
            </w:pPr>
            <w:r w:rsidRPr="007477C2">
              <w:rPr>
                <w:rFonts w:ascii="Poppins" w:hAnsi="Poppins" w:cs="Poppins"/>
                <w:sz w:val="20"/>
                <w:szCs w:val="20"/>
              </w:rPr>
              <w:t>Senior Management Function</w:t>
            </w:r>
          </w:p>
        </w:tc>
      </w:tr>
      <w:tr w:rsidR="007D7239" w:rsidRPr="007477C2" w14:paraId="611C4CE8" w14:textId="77777777" w:rsidTr="00872D45">
        <w:trPr>
          <w:trHeight w:val="290"/>
        </w:trPr>
        <w:tc>
          <w:tcPr>
            <w:tcW w:w="1745" w:type="dxa"/>
            <w:hideMark/>
          </w:tcPr>
          <w:p w14:paraId="79084B12"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SOP</w:t>
            </w:r>
          </w:p>
        </w:tc>
        <w:tc>
          <w:tcPr>
            <w:tcW w:w="8015" w:type="dxa"/>
            <w:hideMark/>
          </w:tcPr>
          <w:p w14:paraId="4E34F809" w14:textId="77777777" w:rsidR="007D7239" w:rsidRPr="007477C2" w:rsidRDefault="007D7239">
            <w:pPr>
              <w:rPr>
                <w:rFonts w:ascii="Poppins" w:hAnsi="Poppins" w:cs="Poppins"/>
                <w:sz w:val="20"/>
                <w:szCs w:val="20"/>
              </w:rPr>
            </w:pPr>
            <w:r w:rsidRPr="007477C2">
              <w:rPr>
                <w:rFonts w:ascii="Poppins" w:hAnsi="Poppins" w:cs="Poppins"/>
                <w:sz w:val="20"/>
                <w:szCs w:val="20"/>
              </w:rPr>
              <w:t>Standard Operating Procedure</w:t>
            </w:r>
          </w:p>
        </w:tc>
      </w:tr>
      <w:tr w:rsidR="007D7239" w:rsidRPr="007477C2" w14:paraId="5DA41803" w14:textId="77777777" w:rsidTr="00872D45">
        <w:trPr>
          <w:trHeight w:val="290"/>
        </w:trPr>
        <w:tc>
          <w:tcPr>
            <w:tcW w:w="1745" w:type="dxa"/>
            <w:hideMark/>
          </w:tcPr>
          <w:p w14:paraId="15BF3FBE"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TCFD</w:t>
            </w:r>
          </w:p>
        </w:tc>
        <w:tc>
          <w:tcPr>
            <w:tcW w:w="8015" w:type="dxa"/>
            <w:hideMark/>
          </w:tcPr>
          <w:p w14:paraId="64FD1F3B" w14:textId="77777777" w:rsidR="007D7239" w:rsidRPr="007477C2" w:rsidRDefault="007D7239">
            <w:pPr>
              <w:rPr>
                <w:rFonts w:ascii="Poppins" w:hAnsi="Poppins" w:cs="Poppins"/>
                <w:sz w:val="20"/>
                <w:szCs w:val="20"/>
              </w:rPr>
            </w:pPr>
            <w:r w:rsidRPr="007477C2">
              <w:rPr>
                <w:rFonts w:ascii="Poppins" w:hAnsi="Poppins" w:cs="Poppins"/>
                <w:sz w:val="20"/>
                <w:szCs w:val="20"/>
              </w:rPr>
              <w:t>Task Force on Climate-related Financial Disclosures</w:t>
            </w:r>
          </w:p>
        </w:tc>
      </w:tr>
      <w:tr w:rsidR="007D7239" w:rsidRPr="007477C2" w14:paraId="041B21D7" w14:textId="77777777" w:rsidTr="00872D45">
        <w:trPr>
          <w:trHeight w:val="290"/>
        </w:trPr>
        <w:tc>
          <w:tcPr>
            <w:tcW w:w="1745" w:type="dxa"/>
            <w:hideMark/>
          </w:tcPr>
          <w:p w14:paraId="7B3A1569" w14:textId="77777777" w:rsidR="007D7239" w:rsidRPr="007477C2" w:rsidRDefault="007D7239">
            <w:pPr>
              <w:rPr>
                <w:rFonts w:ascii="Poppins" w:hAnsi="Poppins" w:cs="Poppins"/>
                <w:b/>
                <w:bCs/>
                <w:sz w:val="20"/>
                <w:szCs w:val="20"/>
              </w:rPr>
            </w:pPr>
            <w:r w:rsidRPr="007477C2">
              <w:rPr>
                <w:rFonts w:ascii="Poppins" w:hAnsi="Poppins" w:cs="Poppins"/>
                <w:b/>
                <w:bCs/>
                <w:sz w:val="20"/>
                <w:szCs w:val="20"/>
              </w:rPr>
              <w:t>UNEP FI PRB</w:t>
            </w:r>
          </w:p>
        </w:tc>
        <w:tc>
          <w:tcPr>
            <w:tcW w:w="8015" w:type="dxa"/>
            <w:hideMark/>
          </w:tcPr>
          <w:p w14:paraId="7E5453AD" w14:textId="77777777" w:rsidR="007D7239" w:rsidRPr="007477C2" w:rsidRDefault="007D7239">
            <w:pPr>
              <w:rPr>
                <w:rFonts w:ascii="Poppins" w:hAnsi="Poppins" w:cs="Poppins"/>
                <w:sz w:val="20"/>
                <w:szCs w:val="20"/>
              </w:rPr>
            </w:pPr>
            <w:r w:rsidRPr="007477C2">
              <w:rPr>
                <w:rFonts w:ascii="Poppins" w:hAnsi="Poppins" w:cs="Poppins"/>
                <w:sz w:val="20"/>
                <w:szCs w:val="20"/>
              </w:rPr>
              <w:t xml:space="preserve">United Nations Environment </w:t>
            </w:r>
            <w:proofErr w:type="spellStart"/>
            <w:r w:rsidRPr="007477C2">
              <w:rPr>
                <w:rFonts w:ascii="Poppins" w:hAnsi="Poppins" w:cs="Poppins"/>
                <w:sz w:val="20"/>
                <w:szCs w:val="20"/>
              </w:rPr>
              <w:t>Programme</w:t>
            </w:r>
            <w:proofErr w:type="spellEnd"/>
            <w:r w:rsidRPr="007477C2">
              <w:rPr>
                <w:rFonts w:ascii="Poppins" w:hAnsi="Poppins" w:cs="Poppins"/>
                <w:sz w:val="20"/>
                <w:szCs w:val="20"/>
              </w:rPr>
              <w:t xml:space="preserve"> Finance Initiative – Principles for Responsible Banking</w:t>
            </w:r>
          </w:p>
        </w:tc>
      </w:tr>
    </w:tbl>
    <w:p w14:paraId="5803C0F0" w14:textId="77777777" w:rsidR="008540C3" w:rsidRPr="001458FF" w:rsidRDefault="008540C3">
      <w:pPr>
        <w:rPr>
          <w:rFonts w:ascii="Poppins" w:hAnsi="Poppins" w:cs="Poppins"/>
          <w:sz w:val="20"/>
          <w:szCs w:val="20"/>
        </w:rPr>
      </w:pPr>
    </w:p>
    <w:p w14:paraId="2513E881" w14:textId="07CB560A" w:rsidR="008540C3" w:rsidRPr="001458FF" w:rsidRDefault="008540C3">
      <w:pPr>
        <w:rPr>
          <w:rFonts w:ascii="Poppins" w:hAnsi="Poppins" w:cs="Poppins"/>
          <w:sz w:val="20"/>
          <w:szCs w:val="20"/>
        </w:rPr>
      </w:pPr>
      <w:r w:rsidRPr="001458FF">
        <w:rPr>
          <w:rFonts w:ascii="Poppins" w:hAnsi="Poppins" w:cs="Poppins"/>
          <w:sz w:val="20"/>
          <w:szCs w:val="20"/>
        </w:rPr>
        <w:br w:type="page"/>
      </w:r>
    </w:p>
    <w:p w14:paraId="1EB06173" w14:textId="5654A99A" w:rsidR="008540C3" w:rsidRPr="001458FF" w:rsidRDefault="008540C3" w:rsidP="008540C3">
      <w:pPr>
        <w:pStyle w:val="ListParagraph"/>
        <w:numPr>
          <w:ilvl w:val="0"/>
          <w:numId w:val="2"/>
        </w:numPr>
        <w:rPr>
          <w:rFonts w:ascii="Poppins" w:hAnsi="Poppins" w:cs="Poppins"/>
          <w:b/>
          <w:bCs/>
          <w:sz w:val="20"/>
          <w:szCs w:val="20"/>
        </w:rPr>
      </w:pPr>
      <w:r w:rsidRPr="001458FF">
        <w:rPr>
          <w:rFonts w:ascii="Poppins" w:hAnsi="Poppins" w:cs="Poppins"/>
          <w:b/>
          <w:bCs/>
          <w:sz w:val="20"/>
          <w:szCs w:val="20"/>
        </w:rPr>
        <w:lastRenderedPageBreak/>
        <w:t xml:space="preserve">Glossary </w:t>
      </w:r>
    </w:p>
    <w:tbl>
      <w:tblPr>
        <w:tblStyle w:val="TableGrid"/>
        <w:tblW w:w="12500" w:type="dxa"/>
        <w:tblLook w:val="04A0" w:firstRow="1" w:lastRow="0" w:firstColumn="1" w:lastColumn="0" w:noHBand="0" w:noVBand="1"/>
      </w:tblPr>
      <w:tblGrid>
        <w:gridCol w:w="2320"/>
        <w:gridCol w:w="10180"/>
      </w:tblGrid>
      <w:tr w:rsidR="007D7239" w:rsidRPr="00621DA5" w14:paraId="53F3BD0A" w14:textId="77777777" w:rsidTr="007D7239">
        <w:trPr>
          <w:trHeight w:val="1200"/>
        </w:trPr>
        <w:tc>
          <w:tcPr>
            <w:tcW w:w="2320" w:type="dxa"/>
            <w:hideMark/>
          </w:tcPr>
          <w:p w14:paraId="762EA06A"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Term</w:t>
            </w:r>
          </w:p>
        </w:tc>
        <w:tc>
          <w:tcPr>
            <w:tcW w:w="10180" w:type="dxa"/>
            <w:hideMark/>
          </w:tcPr>
          <w:p w14:paraId="75CCFC30"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Definition</w:t>
            </w:r>
          </w:p>
        </w:tc>
      </w:tr>
      <w:tr w:rsidR="007D7239" w:rsidRPr="00621DA5" w14:paraId="4943E48E" w14:textId="77777777" w:rsidTr="007D7239">
        <w:trPr>
          <w:trHeight w:val="1200"/>
        </w:trPr>
        <w:tc>
          <w:tcPr>
            <w:tcW w:w="2320" w:type="dxa"/>
            <w:hideMark/>
          </w:tcPr>
          <w:p w14:paraId="7A8427CB"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AML</w:t>
            </w:r>
          </w:p>
        </w:tc>
        <w:tc>
          <w:tcPr>
            <w:tcW w:w="10180" w:type="dxa"/>
            <w:hideMark/>
          </w:tcPr>
          <w:p w14:paraId="3AF7A363"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Anti-Money Laundering—regulatory practices that are increasingly integrated into ESG frameworks due to overlap in governance and ethical risk areas.</w:t>
            </w:r>
          </w:p>
        </w:tc>
      </w:tr>
      <w:tr w:rsidR="007D7239" w:rsidRPr="00621DA5" w14:paraId="51AA478A" w14:textId="77777777" w:rsidTr="007D7239">
        <w:trPr>
          <w:trHeight w:val="1200"/>
        </w:trPr>
        <w:tc>
          <w:tcPr>
            <w:tcW w:w="2320" w:type="dxa"/>
            <w:hideMark/>
          </w:tcPr>
          <w:p w14:paraId="4CA40263"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Centralized ESG Data Platform</w:t>
            </w:r>
          </w:p>
        </w:tc>
        <w:tc>
          <w:tcPr>
            <w:tcW w:w="10180" w:type="dxa"/>
            <w:hideMark/>
          </w:tcPr>
          <w:p w14:paraId="4AFC71E5"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unified digital tool enabling departments across a bank to collect, monitor, and report ESG data for decision-making and compliance.</w:t>
            </w:r>
          </w:p>
        </w:tc>
      </w:tr>
      <w:tr w:rsidR="007D7239" w:rsidRPr="00621DA5" w14:paraId="23936DBB" w14:textId="77777777" w:rsidTr="007D7239">
        <w:trPr>
          <w:trHeight w:val="1200"/>
        </w:trPr>
        <w:tc>
          <w:tcPr>
            <w:tcW w:w="2320" w:type="dxa"/>
            <w:hideMark/>
          </w:tcPr>
          <w:p w14:paraId="0C8761D0"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Climate Resilience Strategy (CRS)</w:t>
            </w:r>
          </w:p>
        </w:tc>
        <w:tc>
          <w:tcPr>
            <w:tcW w:w="10180" w:type="dxa"/>
            <w:hideMark/>
          </w:tcPr>
          <w:p w14:paraId="40C01286"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roadmap designed to ensure an organization’s strategic, operational, and risk management functions are adaptive to climate-related shocks and long-term changes.</w:t>
            </w:r>
          </w:p>
        </w:tc>
      </w:tr>
      <w:tr w:rsidR="007D7239" w:rsidRPr="00621DA5" w14:paraId="74E860FF" w14:textId="77777777" w:rsidTr="007D7239">
        <w:trPr>
          <w:trHeight w:val="1200"/>
        </w:trPr>
        <w:tc>
          <w:tcPr>
            <w:tcW w:w="2320" w:type="dxa"/>
            <w:hideMark/>
          </w:tcPr>
          <w:p w14:paraId="69E56A9C"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Disaster Recovery Planning (DRP)</w:t>
            </w:r>
          </w:p>
        </w:tc>
        <w:tc>
          <w:tcPr>
            <w:tcW w:w="10180" w:type="dxa"/>
            <w:hideMark/>
          </w:tcPr>
          <w:p w14:paraId="2137CE0C"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Strategic protocols to restore business operations after catastrophic events, including those triggered by climate-related disasters. ESG frameworks increasingly require climate-specific DRP integration.</w:t>
            </w:r>
          </w:p>
        </w:tc>
      </w:tr>
      <w:tr w:rsidR="007D7239" w:rsidRPr="00621DA5" w14:paraId="5495A6DD" w14:textId="77777777" w:rsidTr="007D7239">
        <w:trPr>
          <w:trHeight w:val="1200"/>
        </w:trPr>
        <w:tc>
          <w:tcPr>
            <w:tcW w:w="2320" w:type="dxa"/>
            <w:hideMark/>
          </w:tcPr>
          <w:p w14:paraId="11DE1126"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Enterprise Risk Management (ERM)</w:t>
            </w:r>
          </w:p>
        </w:tc>
        <w:tc>
          <w:tcPr>
            <w:tcW w:w="10180" w:type="dxa"/>
            <w:hideMark/>
          </w:tcPr>
          <w:p w14:paraId="0F4491AF"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holistic approach to managing all risks (financial, operational, environmental, etc.) within an organization, integrating ESG and climate risks into traditional frameworks.</w:t>
            </w:r>
          </w:p>
        </w:tc>
      </w:tr>
      <w:tr w:rsidR="007D7239" w:rsidRPr="00621DA5" w14:paraId="2623F887" w14:textId="77777777" w:rsidTr="007D7239">
        <w:trPr>
          <w:trHeight w:val="1200"/>
        </w:trPr>
        <w:tc>
          <w:tcPr>
            <w:tcW w:w="2320" w:type="dxa"/>
            <w:hideMark/>
          </w:tcPr>
          <w:p w14:paraId="0C2F4049"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Environmental and Social Due Diligence (ESDD)</w:t>
            </w:r>
          </w:p>
        </w:tc>
        <w:tc>
          <w:tcPr>
            <w:tcW w:w="10180" w:type="dxa"/>
            <w:hideMark/>
          </w:tcPr>
          <w:p w14:paraId="0BC1D563"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mandatory credit screening process assessing environmental and social risks before approving financing, aligned with ESRM protocols.</w:t>
            </w:r>
          </w:p>
        </w:tc>
      </w:tr>
      <w:tr w:rsidR="007D7239" w:rsidRPr="00621DA5" w14:paraId="1736FDEE" w14:textId="77777777" w:rsidTr="007D7239">
        <w:trPr>
          <w:trHeight w:val="1200"/>
        </w:trPr>
        <w:tc>
          <w:tcPr>
            <w:tcW w:w="2320" w:type="dxa"/>
            <w:hideMark/>
          </w:tcPr>
          <w:p w14:paraId="4D022A69"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lastRenderedPageBreak/>
              <w:t>Environmental and Social Risk Management (ESRM)</w:t>
            </w:r>
          </w:p>
        </w:tc>
        <w:tc>
          <w:tcPr>
            <w:tcW w:w="10180" w:type="dxa"/>
            <w:hideMark/>
          </w:tcPr>
          <w:p w14:paraId="6721D00A"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formalized system within banks to assess, mitigate, and report environmental and social risks tied to financial activities.</w:t>
            </w:r>
          </w:p>
        </w:tc>
      </w:tr>
      <w:tr w:rsidR="007D7239" w:rsidRPr="00621DA5" w14:paraId="4FC2DA51" w14:textId="77777777" w:rsidTr="007D7239">
        <w:trPr>
          <w:trHeight w:val="1200"/>
        </w:trPr>
        <w:tc>
          <w:tcPr>
            <w:tcW w:w="2320" w:type="dxa"/>
            <w:hideMark/>
          </w:tcPr>
          <w:p w14:paraId="33B85553"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Green Banking</w:t>
            </w:r>
          </w:p>
        </w:tc>
        <w:tc>
          <w:tcPr>
            <w:tcW w:w="10180" w:type="dxa"/>
            <w:hideMark/>
          </w:tcPr>
          <w:p w14:paraId="41AE1E07"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Banking operations that consciously aim to reduce environmental impact and promote sustainability through financing, internal operations, and product design.</w:t>
            </w:r>
          </w:p>
        </w:tc>
      </w:tr>
      <w:tr w:rsidR="007D7239" w:rsidRPr="00621DA5" w14:paraId="06E00F3C" w14:textId="77777777" w:rsidTr="007D7239">
        <w:trPr>
          <w:trHeight w:val="1200"/>
        </w:trPr>
        <w:tc>
          <w:tcPr>
            <w:tcW w:w="2320" w:type="dxa"/>
            <w:hideMark/>
          </w:tcPr>
          <w:p w14:paraId="013E4539"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Green Finance</w:t>
            </w:r>
          </w:p>
        </w:tc>
        <w:tc>
          <w:tcPr>
            <w:tcW w:w="10180" w:type="dxa"/>
            <w:hideMark/>
          </w:tcPr>
          <w:p w14:paraId="4CF24F7B"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Investments and financial services that support environmentally sustainable projects, including renewable energy, sustainable agriculture, and climate-resilient infrastructure.</w:t>
            </w:r>
          </w:p>
        </w:tc>
      </w:tr>
      <w:tr w:rsidR="007D7239" w:rsidRPr="00621DA5" w14:paraId="57FB83D1" w14:textId="77777777" w:rsidTr="007D7239">
        <w:trPr>
          <w:trHeight w:val="1200"/>
        </w:trPr>
        <w:tc>
          <w:tcPr>
            <w:tcW w:w="2320" w:type="dxa"/>
            <w:hideMark/>
          </w:tcPr>
          <w:p w14:paraId="5CB51ECD"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Green IT</w:t>
            </w:r>
          </w:p>
        </w:tc>
        <w:tc>
          <w:tcPr>
            <w:tcW w:w="10180" w:type="dxa"/>
            <w:hideMark/>
          </w:tcPr>
          <w:p w14:paraId="2B6B8C8B"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Environmentally sustainable computing that reduces carbon footprint through energy-efficient systems, data centers, and sustainable procurement practices.</w:t>
            </w:r>
          </w:p>
        </w:tc>
      </w:tr>
      <w:tr w:rsidR="007D7239" w:rsidRPr="00621DA5" w14:paraId="001CDDA5" w14:textId="77777777" w:rsidTr="007D7239">
        <w:trPr>
          <w:trHeight w:val="1200"/>
        </w:trPr>
        <w:tc>
          <w:tcPr>
            <w:tcW w:w="2320" w:type="dxa"/>
            <w:hideMark/>
          </w:tcPr>
          <w:p w14:paraId="66FCC22A"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GRI</w:t>
            </w:r>
          </w:p>
        </w:tc>
        <w:tc>
          <w:tcPr>
            <w:tcW w:w="10180" w:type="dxa"/>
            <w:hideMark/>
          </w:tcPr>
          <w:p w14:paraId="09B1ABEA"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Global Reporting Initiative—a globally recognized standard for sustainability reporting, helping organizations disclose impacts on economy, environment, and people in a structured manner.</w:t>
            </w:r>
          </w:p>
        </w:tc>
      </w:tr>
      <w:tr w:rsidR="007D7239" w:rsidRPr="00621DA5" w14:paraId="366A2BAB" w14:textId="77777777" w:rsidTr="007D7239">
        <w:trPr>
          <w:trHeight w:val="1200"/>
        </w:trPr>
        <w:tc>
          <w:tcPr>
            <w:tcW w:w="2320" w:type="dxa"/>
            <w:hideMark/>
          </w:tcPr>
          <w:p w14:paraId="6E6FA7CE"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ICAAP</w:t>
            </w:r>
          </w:p>
        </w:tc>
        <w:tc>
          <w:tcPr>
            <w:tcW w:w="10180" w:type="dxa"/>
            <w:hideMark/>
          </w:tcPr>
          <w:p w14:paraId="4C8571C3"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Internal Capital Adequacy Assessment Process used by banks to evaluate capital needs relative to risk exposure, including ESG and climate-related risks.</w:t>
            </w:r>
          </w:p>
        </w:tc>
      </w:tr>
      <w:tr w:rsidR="007D7239" w:rsidRPr="00621DA5" w14:paraId="231BEA71" w14:textId="77777777" w:rsidTr="007D7239">
        <w:trPr>
          <w:trHeight w:val="1200"/>
        </w:trPr>
        <w:tc>
          <w:tcPr>
            <w:tcW w:w="2320" w:type="dxa"/>
            <w:hideMark/>
          </w:tcPr>
          <w:p w14:paraId="221A1331"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ICMA SLBP</w:t>
            </w:r>
          </w:p>
        </w:tc>
        <w:tc>
          <w:tcPr>
            <w:tcW w:w="10180" w:type="dxa"/>
            <w:hideMark/>
          </w:tcPr>
          <w:p w14:paraId="5D5F10FF"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 xml:space="preserve">The International Capital Market Association’s Sustainability-Linked Bond Principles, which guide </w:t>
            </w:r>
            <w:r w:rsidRPr="00621DA5">
              <w:rPr>
                <w:rFonts w:ascii="Poppins" w:eastAsia="Times New Roman" w:hAnsi="Poppins" w:cs="Poppins"/>
                <w:color w:val="000000"/>
                <w:sz w:val="20"/>
                <w:szCs w:val="20"/>
              </w:rPr>
              <w:t>issues</w:t>
            </w:r>
            <w:r w:rsidRPr="00621DA5">
              <w:rPr>
                <w:rFonts w:ascii="Poppins" w:eastAsia="Times New Roman" w:hAnsi="Poppins" w:cs="Poppins"/>
                <w:color w:val="000000"/>
                <w:sz w:val="20"/>
                <w:szCs w:val="20"/>
              </w:rPr>
              <w:t xml:space="preserve"> on structuring bonds tied to sustainability performance targets, ensuring transparency, reporting, and verification.</w:t>
            </w:r>
          </w:p>
        </w:tc>
      </w:tr>
      <w:tr w:rsidR="007D7239" w:rsidRPr="00621DA5" w14:paraId="404B98F4" w14:textId="77777777" w:rsidTr="007D7239">
        <w:trPr>
          <w:trHeight w:val="1200"/>
        </w:trPr>
        <w:tc>
          <w:tcPr>
            <w:tcW w:w="2320" w:type="dxa"/>
            <w:hideMark/>
          </w:tcPr>
          <w:p w14:paraId="00FDC8CC"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lastRenderedPageBreak/>
              <w:t>IFRS S1</w:t>
            </w:r>
          </w:p>
        </w:tc>
        <w:tc>
          <w:tcPr>
            <w:tcW w:w="10180" w:type="dxa"/>
            <w:hideMark/>
          </w:tcPr>
          <w:p w14:paraId="230CE220"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The General Requirements for Disclosure of Sustainability-related Financial Information, issued by the International Sustainability Standards Board (ISSB), setting foundational rules for reporting ESG risks and opportunities.</w:t>
            </w:r>
          </w:p>
        </w:tc>
      </w:tr>
      <w:tr w:rsidR="007D7239" w:rsidRPr="00621DA5" w14:paraId="284FF6FC" w14:textId="77777777" w:rsidTr="007D7239">
        <w:trPr>
          <w:trHeight w:val="1200"/>
        </w:trPr>
        <w:tc>
          <w:tcPr>
            <w:tcW w:w="2320" w:type="dxa"/>
            <w:hideMark/>
          </w:tcPr>
          <w:p w14:paraId="2F3797E1"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IFRS S2</w:t>
            </w:r>
          </w:p>
        </w:tc>
        <w:tc>
          <w:tcPr>
            <w:tcW w:w="10180" w:type="dxa"/>
            <w:hideMark/>
          </w:tcPr>
          <w:p w14:paraId="02CA5C9F"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Climate-related Disclosures standard by ISSB. It focuses on governance, strategy, risk management, and metrics/targets related to climate change and is aligned with TCFD recommendations.</w:t>
            </w:r>
          </w:p>
        </w:tc>
      </w:tr>
      <w:tr w:rsidR="007D7239" w:rsidRPr="00621DA5" w14:paraId="1565C63B" w14:textId="77777777" w:rsidTr="007D7239">
        <w:trPr>
          <w:trHeight w:val="1200"/>
        </w:trPr>
        <w:tc>
          <w:tcPr>
            <w:tcW w:w="2320" w:type="dxa"/>
            <w:hideMark/>
          </w:tcPr>
          <w:p w14:paraId="1EC2F65F"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Integrated ESG Framework</w:t>
            </w:r>
          </w:p>
        </w:tc>
        <w:tc>
          <w:tcPr>
            <w:tcW w:w="10180" w:type="dxa"/>
            <w:hideMark/>
          </w:tcPr>
          <w:p w14:paraId="3872564E"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structured approach to embed ESG principles across governance, risk, credit, data, and reporting within a financial institution, ensuring internal alignment and regulatory compliance.</w:t>
            </w:r>
          </w:p>
        </w:tc>
      </w:tr>
      <w:tr w:rsidR="007D7239" w:rsidRPr="00621DA5" w14:paraId="08E42749" w14:textId="77777777" w:rsidTr="007D7239">
        <w:trPr>
          <w:trHeight w:val="1200"/>
        </w:trPr>
        <w:tc>
          <w:tcPr>
            <w:tcW w:w="2320" w:type="dxa"/>
            <w:hideMark/>
          </w:tcPr>
          <w:p w14:paraId="7C727B61"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Materiality Assessment</w:t>
            </w:r>
          </w:p>
        </w:tc>
        <w:tc>
          <w:tcPr>
            <w:tcW w:w="10180" w:type="dxa"/>
            <w:hideMark/>
          </w:tcPr>
          <w:p w14:paraId="4EF4300C"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method to identify and prioritize ESG topics that are significant to stakeholders and impactful to the business, guiding disclosures and strategy.</w:t>
            </w:r>
          </w:p>
        </w:tc>
      </w:tr>
      <w:tr w:rsidR="007D7239" w:rsidRPr="00621DA5" w14:paraId="53F9F0D3" w14:textId="77777777" w:rsidTr="007D7239">
        <w:trPr>
          <w:trHeight w:val="1200"/>
        </w:trPr>
        <w:tc>
          <w:tcPr>
            <w:tcW w:w="2320" w:type="dxa"/>
            <w:hideMark/>
          </w:tcPr>
          <w:p w14:paraId="33C3D6B7"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Pakistan Green Taxonomy (Draft 2025)</w:t>
            </w:r>
          </w:p>
        </w:tc>
        <w:tc>
          <w:tcPr>
            <w:tcW w:w="10180" w:type="dxa"/>
            <w:hideMark/>
          </w:tcPr>
          <w:p w14:paraId="7B10F0FC"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draft classification system developed for identifying environmentally sustainable economic activities in Pakistan. It helps in aligning green finance, reducing greenwashing, and standardizing disclosures.</w:t>
            </w:r>
          </w:p>
        </w:tc>
      </w:tr>
      <w:tr w:rsidR="007D7239" w:rsidRPr="00621DA5" w14:paraId="271CC672" w14:textId="77777777" w:rsidTr="007D7239">
        <w:trPr>
          <w:trHeight w:val="1200"/>
        </w:trPr>
        <w:tc>
          <w:tcPr>
            <w:tcW w:w="2320" w:type="dxa"/>
            <w:hideMark/>
          </w:tcPr>
          <w:p w14:paraId="3698C377"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Physical Risk</w:t>
            </w:r>
          </w:p>
        </w:tc>
        <w:tc>
          <w:tcPr>
            <w:tcW w:w="10180" w:type="dxa"/>
            <w:hideMark/>
          </w:tcPr>
          <w:p w14:paraId="1D8F8CE4"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Risks arising from the physical impacts of climate change, including extreme weather events, rising sea levels, and chronic changes in temperature or precipitation.</w:t>
            </w:r>
          </w:p>
        </w:tc>
      </w:tr>
      <w:tr w:rsidR="007D7239" w:rsidRPr="00621DA5" w14:paraId="57DE8FF8" w14:textId="77777777" w:rsidTr="007D7239">
        <w:trPr>
          <w:trHeight w:val="1200"/>
        </w:trPr>
        <w:tc>
          <w:tcPr>
            <w:tcW w:w="2320" w:type="dxa"/>
            <w:hideMark/>
          </w:tcPr>
          <w:p w14:paraId="15F5BF0F"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PSX ESG Primer</w:t>
            </w:r>
          </w:p>
        </w:tc>
        <w:tc>
          <w:tcPr>
            <w:tcW w:w="10180" w:type="dxa"/>
            <w:hideMark/>
          </w:tcPr>
          <w:p w14:paraId="0FAF6C68"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publication by the Pakistan Stock Exchange outlining ESG reporting expectations for listed companies. It aligns with global standards and guides firms on disclosures, ESG risk assessment, and stakeholder communication.</w:t>
            </w:r>
          </w:p>
        </w:tc>
      </w:tr>
      <w:tr w:rsidR="007D7239" w:rsidRPr="00621DA5" w14:paraId="2AA832E3" w14:textId="77777777" w:rsidTr="007D7239">
        <w:trPr>
          <w:trHeight w:val="1200"/>
        </w:trPr>
        <w:tc>
          <w:tcPr>
            <w:tcW w:w="2320" w:type="dxa"/>
            <w:hideMark/>
          </w:tcPr>
          <w:p w14:paraId="10461428"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lastRenderedPageBreak/>
              <w:t>SBP ESRM Manual (2022)</w:t>
            </w:r>
          </w:p>
        </w:tc>
        <w:tc>
          <w:tcPr>
            <w:tcW w:w="10180" w:type="dxa"/>
            <w:hideMark/>
          </w:tcPr>
          <w:p w14:paraId="6B800E0E"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mandatory framework that guides banks in implementing Environmental and Social Risk Management practices across credit and investment portfolios. It outlines due diligence requirements, sector screening, and reporting for sustainable finance decisions.</w:t>
            </w:r>
          </w:p>
        </w:tc>
      </w:tr>
      <w:tr w:rsidR="007D7239" w:rsidRPr="00621DA5" w14:paraId="0EFB6BAC" w14:textId="77777777" w:rsidTr="007D7239">
        <w:trPr>
          <w:trHeight w:val="1200"/>
        </w:trPr>
        <w:tc>
          <w:tcPr>
            <w:tcW w:w="2320" w:type="dxa"/>
            <w:hideMark/>
          </w:tcPr>
          <w:p w14:paraId="11B4F56D"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SBP Green Banking Guidelines (2017)</w:t>
            </w:r>
          </w:p>
        </w:tc>
        <w:tc>
          <w:tcPr>
            <w:tcW w:w="10180" w:type="dxa"/>
            <w:hideMark/>
          </w:tcPr>
          <w:p w14:paraId="66380A99"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Issued by the State Bank of Pakistan to promote environmentally responsible banking. These guidelines encourage financial institutions to adopt green policies, integrate ESG risk assessments, and reduce environmental impact through internal operations and lending activities.</w:t>
            </w:r>
          </w:p>
        </w:tc>
      </w:tr>
      <w:tr w:rsidR="007D7239" w:rsidRPr="00621DA5" w14:paraId="626810CA" w14:textId="77777777" w:rsidTr="007D7239">
        <w:trPr>
          <w:trHeight w:val="1200"/>
        </w:trPr>
        <w:tc>
          <w:tcPr>
            <w:tcW w:w="2320" w:type="dxa"/>
            <w:hideMark/>
          </w:tcPr>
          <w:p w14:paraId="5E5E6206"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SECP Green Bond Guidelines</w:t>
            </w:r>
          </w:p>
        </w:tc>
        <w:tc>
          <w:tcPr>
            <w:tcW w:w="10180" w:type="dxa"/>
            <w:hideMark/>
          </w:tcPr>
          <w:p w14:paraId="65E37763"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A regulatory framework issued by the Securities and Exchange Commission of Pakistan to enable the issuance of green bonds. It includes standards for use of proceeds, project eligibility, third-party assurance, and post-issuance reporting.</w:t>
            </w:r>
          </w:p>
        </w:tc>
      </w:tr>
      <w:tr w:rsidR="007D7239" w:rsidRPr="00621DA5" w14:paraId="2992986E" w14:textId="77777777" w:rsidTr="007D7239">
        <w:trPr>
          <w:trHeight w:val="1200"/>
        </w:trPr>
        <w:tc>
          <w:tcPr>
            <w:tcW w:w="2320" w:type="dxa"/>
            <w:hideMark/>
          </w:tcPr>
          <w:p w14:paraId="4D5910F0"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Stakeholder Engagement</w:t>
            </w:r>
          </w:p>
        </w:tc>
        <w:tc>
          <w:tcPr>
            <w:tcW w:w="10180" w:type="dxa"/>
            <w:hideMark/>
          </w:tcPr>
          <w:p w14:paraId="6CEBB52E"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Structured interaction with internal and external stakeholders (e.g., regulators, investors, customers, employees) to ensure alignment of ESG policies and reporting with expectations.</w:t>
            </w:r>
          </w:p>
        </w:tc>
      </w:tr>
      <w:tr w:rsidR="007D7239" w:rsidRPr="00621DA5" w14:paraId="0C254EB7" w14:textId="77777777" w:rsidTr="007D7239">
        <w:trPr>
          <w:trHeight w:val="1200"/>
        </w:trPr>
        <w:tc>
          <w:tcPr>
            <w:tcW w:w="2320" w:type="dxa"/>
            <w:hideMark/>
          </w:tcPr>
          <w:p w14:paraId="77EE6B08"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Sustainability Reporting</w:t>
            </w:r>
          </w:p>
        </w:tc>
        <w:tc>
          <w:tcPr>
            <w:tcW w:w="10180" w:type="dxa"/>
            <w:hideMark/>
          </w:tcPr>
          <w:p w14:paraId="108CFF28"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Regular, transparent disclosure of an entity’s ESG performance, risks, and governance in accordance with international standards like IFRS, GRI, and SECP guidelines.</w:t>
            </w:r>
          </w:p>
        </w:tc>
      </w:tr>
      <w:tr w:rsidR="007D7239" w:rsidRPr="00621DA5" w14:paraId="50ED239B" w14:textId="77777777" w:rsidTr="007D7239">
        <w:trPr>
          <w:trHeight w:val="1200"/>
        </w:trPr>
        <w:tc>
          <w:tcPr>
            <w:tcW w:w="2320" w:type="dxa"/>
            <w:hideMark/>
          </w:tcPr>
          <w:p w14:paraId="0E498A44"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Taxonomy Tagging</w:t>
            </w:r>
          </w:p>
        </w:tc>
        <w:tc>
          <w:tcPr>
            <w:tcW w:w="10180" w:type="dxa"/>
            <w:hideMark/>
          </w:tcPr>
          <w:p w14:paraId="364A06A1"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The classification of loans, investments, or products as ‘green’, ‘amber’, or ‘red’ according to regulatory taxonomies such as the Pakistan Green Taxonomy.</w:t>
            </w:r>
          </w:p>
        </w:tc>
      </w:tr>
      <w:tr w:rsidR="007D7239" w:rsidRPr="00621DA5" w14:paraId="0FC4E878" w14:textId="77777777" w:rsidTr="007D7239">
        <w:trPr>
          <w:trHeight w:val="1200"/>
        </w:trPr>
        <w:tc>
          <w:tcPr>
            <w:tcW w:w="2320" w:type="dxa"/>
            <w:hideMark/>
          </w:tcPr>
          <w:p w14:paraId="347BD856"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Transition Risk</w:t>
            </w:r>
          </w:p>
        </w:tc>
        <w:tc>
          <w:tcPr>
            <w:tcW w:w="10180" w:type="dxa"/>
            <w:hideMark/>
          </w:tcPr>
          <w:p w14:paraId="0E272BB8"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Risks resulting from the policy, legal, technological, or market shifts required to move toward a low-carbon economy. Includes regulatory changes and shifting investor sentiment.</w:t>
            </w:r>
          </w:p>
        </w:tc>
      </w:tr>
      <w:tr w:rsidR="007D7239" w:rsidRPr="00621DA5" w14:paraId="5D48EEB7" w14:textId="77777777" w:rsidTr="007D7239">
        <w:trPr>
          <w:trHeight w:val="1200"/>
        </w:trPr>
        <w:tc>
          <w:tcPr>
            <w:tcW w:w="2320" w:type="dxa"/>
            <w:hideMark/>
          </w:tcPr>
          <w:p w14:paraId="10170708"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lastRenderedPageBreak/>
              <w:t>UN SDGs</w:t>
            </w:r>
          </w:p>
        </w:tc>
        <w:tc>
          <w:tcPr>
            <w:tcW w:w="10180" w:type="dxa"/>
            <w:hideMark/>
          </w:tcPr>
          <w:p w14:paraId="5E7583AA"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The United Nations Sustainable Development Goals—17 global goals for social, environmental, and economic sustainability by 2030. They serve as a strategic lens for corporate ESG alignment.</w:t>
            </w:r>
          </w:p>
        </w:tc>
      </w:tr>
      <w:tr w:rsidR="007D7239" w:rsidRPr="00621DA5" w14:paraId="5D6193BD" w14:textId="77777777" w:rsidTr="007D7239">
        <w:trPr>
          <w:trHeight w:val="1200"/>
        </w:trPr>
        <w:tc>
          <w:tcPr>
            <w:tcW w:w="2320" w:type="dxa"/>
            <w:hideMark/>
          </w:tcPr>
          <w:p w14:paraId="51FADA24" w14:textId="77777777" w:rsidR="007D7239" w:rsidRPr="00621DA5" w:rsidRDefault="007D7239" w:rsidP="004B2865">
            <w:pPr>
              <w:rPr>
                <w:rFonts w:ascii="Poppins" w:eastAsia="Times New Roman" w:hAnsi="Poppins" w:cs="Poppins"/>
                <w:b/>
                <w:bCs/>
                <w:color w:val="000000"/>
                <w:sz w:val="20"/>
                <w:szCs w:val="20"/>
              </w:rPr>
            </w:pPr>
            <w:r w:rsidRPr="00621DA5">
              <w:rPr>
                <w:rFonts w:ascii="Poppins" w:eastAsia="Times New Roman" w:hAnsi="Poppins" w:cs="Poppins"/>
                <w:b/>
                <w:bCs/>
                <w:color w:val="000000"/>
                <w:sz w:val="20"/>
                <w:szCs w:val="20"/>
              </w:rPr>
              <w:t>UNEP FI PRB</w:t>
            </w:r>
          </w:p>
        </w:tc>
        <w:tc>
          <w:tcPr>
            <w:tcW w:w="10180" w:type="dxa"/>
            <w:hideMark/>
          </w:tcPr>
          <w:p w14:paraId="1F8F73FE" w14:textId="77777777" w:rsidR="007D7239" w:rsidRPr="00621DA5" w:rsidRDefault="007D7239" w:rsidP="004B2865">
            <w:pPr>
              <w:rPr>
                <w:rFonts w:ascii="Poppins" w:eastAsia="Times New Roman" w:hAnsi="Poppins" w:cs="Poppins"/>
                <w:color w:val="000000"/>
                <w:sz w:val="20"/>
                <w:szCs w:val="20"/>
              </w:rPr>
            </w:pPr>
            <w:r w:rsidRPr="00621DA5">
              <w:rPr>
                <w:rFonts w:ascii="Poppins" w:eastAsia="Times New Roman" w:hAnsi="Poppins" w:cs="Poppins"/>
                <w:color w:val="000000"/>
                <w:sz w:val="20"/>
                <w:szCs w:val="20"/>
              </w:rPr>
              <w:t xml:space="preserve">United Nations Environment </w:t>
            </w:r>
            <w:proofErr w:type="spellStart"/>
            <w:r w:rsidRPr="00621DA5">
              <w:rPr>
                <w:rFonts w:ascii="Poppins" w:eastAsia="Times New Roman" w:hAnsi="Poppins" w:cs="Poppins"/>
                <w:color w:val="000000"/>
                <w:sz w:val="20"/>
                <w:szCs w:val="20"/>
              </w:rPr>
              <w:t>Programme</w:t>
            </w:r>
            <w:proofErr w:type="spellEnd"/>
            <w:r w:rsidRPr="00621DA5">
              <w:rPr>
                <w:rFonts w:ascii="Poppins" w:eastAsia="Times New Roman" w:hAnsi="Poppins" w:cs="Poppins"/>
                <w:color w:val="000000"/>
                <w:sz w:val="20"/>
                <w:szCs w:val="20"/>
              </w:rPr>
              <w:t xml:space="preserve"> Finance Initiative’s Principles for Responsible Banking—a global framework that aligns banking practices with the SDGs and Paris Agreement.</w:t>
            </w:r>
          </w:p>
        </w:tc>
      </w:tr>
    </w:tbl>
    <w:p w14:paraId="5BC68FA5" w14:textId="77777777" w:rsidR="00A863C0" w:rsidRDefault="00A863C0" w:rsidP="008540C3">
      <w:pPr>
        <w:ind w:left="360"/>
        <w:rPr>
          <w:rFonts w:ascii="Poppins" w:hAnsi="Poppins" w:cs="Poppins"/>
          <w:sz w:val="20"/>
          <w:szCs w:val="20"/>
        </w:rPr>
      </w:pPr>
    </w:p>
    <w:p w14:paraId="08E8598A" w14:textId="77777777" w:rsidR="00A863C0" w:rsidRDefault="00A863C0" w:rsidP="008540C3">
      <w:pPr>
        <w:ind w:left="360"/>
        <w:rPr>
          <w:rFonts w:ascii="Poppins" w:hAnsi="Poppins" w:cs="Poppins"/>
          <w:sz w:val="20"/>
          <w:szCs w:val="20"/>
        </w:rPr>
      </w:pPr>
    </w:p>
    <w:p w14:paraId="5A6B693B" w14:textId="77777777" w:rsidR="00A863C0" w:rsidRDefault="00A863C0" w:rsidP="008540C3">
      <w:pPr>
        <w:ind w:left="360"/>
        <w:rPr>
          <w:rFonts w:ascii="Poppins" w:hAnsi="Poppins" w:cs="Poppins"/>
          <w:sz w:val="20"/>
          <w:szCs w:val="20"/>
        </w:rPr>
      </w:pPr>
    </w:p>
    <w:p w14:paraId="6FB20239" w14:textId="77777777" w:rsidR="00881BC8" w:rsidRDefault="00881BC8" w:rsidP="008540C3">
      <w:pPr>
        <w:ind w:left="360"/>
        <w:rPr>
          <w:rFonts w:ascii="Poppins" w:hAnsi="Poppins" w:cs="Poppins"/>
          <w:sz w:val="20"/>
          <w:szCs w:val="20"/>
        </w:rPr>
      </w:pPr>
    </w:p>
    <w:p w14:paraId="3AB4C25E" w14:textId="30939676" w:rsidR="00EF488D" w:rsidRDefault="00170946" w:rsidP="007A5B6F">
      <w:pPr>
        <w:pStyle w:val="Heading1"/>
      </w:pPr>
      <w:r>
        <w:br w:type="page"/>
      </w:r>
      <w:r w:rsidR="007A5B6F" w:rsidRPr="00F35195">
        <w:lastRenderedPageBreak/>
        <w:t>Annex C: Sample ESG Policies and Procedures</w:t>
      </w:r>
    </w:p>
    <w:p w14:paraId="249088D0" w14:textId="77777777" w:rsidR="0032017C" w:rsidRDefault="0032017C">
      <w:pPr>
        <w:rPr>
          <w:rFonts w:ascii="Poppins" w:hAnsi="Poppins" w:cs="Poppins"/>
          <w:sz w:val="20"/>
          <w:szCs w:val="20"/>
        </w:rPr>
      </w:pPr>
    </w:p>
    <w:tbl>
      <w:tblPr>
        <w:tblW w:w="12064" w:type="dxa"/>
        <w:tblLayout w:type="fixed"/>
        <w:tblLook w:val="04A0" w:firstRow="1" w:lastRow="0" w:firstColumn="1" w:lastColumn="0" w:noHBand="0" w:noVBand="1"/>
      </w:tblPr>
      <w:tblGrid>
        <w:gridCol w:w="517"/>
        <w:gridCol w:w="1345"/>
        <w:gridCol w:w="2552"/>
        <w:gridCol w:w="2520"/>
        <w:gridCol w:w="5130"/>
      </w:tblGrid>
      <w:tr w:rsidR="00EE3831" w:rsidRPr="0032017C" w14:paraId="2B70506E" w14:textId="77777777" w:rsidTr="00582847">
        <w:trPr>
          <w:trHeight w:val="1030"/>
          <w:tblHeader/>
        </w:trPr>
        <w:tc>
          <w:tcPr>
            <w:tcW w:w="517" w:type="dxa"/>
            <w:tcBorders>
              <w:top w:val="single" w:sz="4" w:space="0" w:color="000000"/>
              <w:left w:val="single" w:sz="4" w:space="0" w:color="000000"/>
              <w:bottom w:val="single" w:sz="4" w:space="0" w:color="000000"/>
              <w:right w:val="single" w:sz="4" w:space="0" w:color="000000"/>
            </w:tcBorders>
            <w:shd w:val="clear" w:color="auto" w:fill="auto"/>
            <w:hideMark/>
          </w:tcPr>
          <w:p w14:paraId="4BF25C60" w14:textId="77777777" w:rsidR="00EE3831" w:rsidRPr="0032017C" w:rsidRDefault="00EE3831" w:rsidP="00F86C2D">
            <w:pPr>
              <w:spacing w:after="0" w:line="240" w:lineRule="auto"/>
              <w:rPr>
                <w:rFonts w:ascii="Poppins" w:eastAsia="Times New Roman" w:hAnsi="Poppins" w:cs="Poppins"/>
                <w:b/>
                <w:bCs/>
                <w:color w:val="000000"/>
                <w:sz w:val="18"/>
                <w:szCs w:val="18"/>
              </w:rPr>
            </w:pPr>
            <w:r w:rsidRPr="0032017C">
              <w:rPr>
                <w:rFonts w:ascii="Poppins" w:eastAsia="Times New Roman" w:hAnsi="Poppins" w:cs="Poppins"/>
                <w:b/>
                <w:bCs/>
                <w:color w:val="000000"/>
                <w:sz w:val="18"/>
                <w:szCs w:val="18"/>
              </w:rPr>
              <w:t xml:space="preserve">Sr. No. </w:t>
            </w:r>
          </w:p>
        </w:tc>
        <w:tc>
          <w:tcPr>
            <w:tcW w:w="1345" w:type="dxa"/>
            <w:tcBorders>
              <w:top w:val="single" w:sz="4" w:space="0" w:color="000000"/>
              <w:left w:val="nil"/>
              <w:bottom w:val="single" w:sz="4" w:space="0" w:color="000000"/>
              <w:right w:val="single" w:sz="4" w:space="0" w:color="000000"/>
            </w:tcBorders>
            <w:shd w:val="clear" w:color="auto" w:fill="auto"/>
            <w:hideMark/>
          </w:tcPr>
          <w:p w14:paraId="2BCE9FCD" w14:textId="77777777" w:rsidR="00EE3831" w:rsidRPr="0032017C" w:rsidRDefault="00EE3831" w:rsidP="00F86C2D">
            <w:pPr>
              <w:spacing w:after="0" w:line="240" w:lineRule="auto"/>
              <w:rPr>
                <w:rFonts w:ascii="Poppins" w:eastAsia="Times New Roman" w:hAnsi="Poppins" w:cs="Poppins"/>
                <w:b/>
                <w:bCs/>
                <w:color w:val="000000"/>
                <w:sz w:val="18"/>
                <w:szCs w:val="18"/>
              </w:rPr>
            </w:pPr>
            <w:r w:rsidRPr="0032017C">
              <w:rPr>
                <w:rFonts w:ascii="Poppins" w:eastAsia="Times New Roman" w:hAnsi="Poppins" w:cs="Poppins"/>
                <w:b/>
                <w:bCs/>
                <w:color w:val="000000"/>
                <w:sz w:val="18"/>
                <w:szCs w:val="18"/>
              </w:rPr>
              <w:t>ESG Category</w:t>
            </w:r>
          </w:p>
        </w:tc>
        <w:tc>
          <w:tcPr>
            <w:tcW w:w="2552" w:type="dxa"/>
            <w:tcBorders>
              <w:top w:val="single" w:sz="4" w:space="0" w:color="000000"/>
              <w:left w:val="nil"/>
              <w:bottom w:val="single" w:sz="4" w:space="0" w:color="000000"/>
              <w:right w:val="single" w:sz="4" w:space="0" w:color="000000"/>
            </w:tcBorders>
            <w:shd w:val="clear" w:color="auto" w:fill="auto"/>
            <w:hideMark/>
          </w:tcPr>
          <w:p w14:paraId="7E73E691" w14:textId="77777777" w:rsidR="00EE3831" w:rsidRPr="0032017C" w:rsidRDefault="00EE3831" w:rsidP="00F86C2D">
            <w:pPr>
              <w:spacing w:after="0" w:line="240" w:lineRule="auto"/>
              <w:rPr>
                <w:rFonts w:ascii="Poppins" w:eastAsia="Times New Roman" w:hAnsi="Poppins" w:cs="Poppins"/>
                <w:b/>
                <w:bCs/>
                <w:color w:val="000000"/>
                <w:sz w:val="18"/>
                <w:szCs w:val="18"/>
              </w:rPr>
            </w:pPr>
            <w:r w:rsidRPr="0032017C">
              <w:rPr>
                <w:rFonts w:ascii="Poppins" w:eastAsia="Times New Roman" w:hAnsi="Poppins" w:cs="Poppins"/>
                <w:b/>
                <w:bCs/>
                <w:color w:val="000000"/>
                <w:sz w:val="18"/>
                <w:szCs w:val="18"/>
              </w:rPr>
              <w:t>Policy &amp; Approach - Name</w:t>
            </w:r>
          </w:p>
        </w:tc>
        <w:tc>
          <w:tcPr>
            <w:tcW w:w="2520" w:type="dxa"/>
            <w:tcBorders>
              <w:top w:val="single" w:sz="4" w:space="0" w:color="000000"/>
              <w:left w:val="nil"/>
              <w:bottom w:val="single" w:sz="4" w:space="0" w:color="000000"/>
              <w:right w:val="single" w:sz="4" w:space="0" w:color="000000"/>
            </w:tcBorders>
            <w:shd w:val="clear" w:color="auto" w:fill="auto"/>
            <w:hideMark/>
          </w:tcPr>
          <w:p w14:paraId="3F61370C" w14:textId="77777777" w:rsidR="00EE3831" w:rsidRPr="0032017C" w:rsidRDefault="00EE3831" w:rsidP="00F86C2D">
            <w:pPr>
              <w:spacing w:after="0" w:line="240" w:lineRule="auto"/>
              <w:rPr>
                <w:rFonts w:ascii="Poppins" w:eastAsia="Times New Roman" w:hAnsi="Poppins" w:cs="Poppins"/>
                <w:b/>
                <w:bCs/>
                <w:color w:val="000000"/>
                <w:sz w:val="18"/>
                <w:szCs w:val="18"/>
              </w:rPr>
            </w:pPr>
            <w:r w:rsidRPr="0032017C">
              <w:rPr>
                <w:rFonts w:ascii="Poppins" w:eastAsia="Times New Roman" w:hAnsi="Poppins" w:cs="Poppins"/>
                <w:b/>
                <w:bCs/>
                <w:color w:val="000000"/>
                <w:sz w:val="18"/>
                <w:szCs w:val="18"/>
              </w:rPr>
              <w:t>Display Name</w:t>
            </w:r>
          </w:p>
        </w:tc>
        <w:tc>
          <w:tcPr>
            <w:tcW w:w="5130" w:type="dxa"/>
            <w:tcBorders>
              <w:top w:val="single" w:sz="4" w:space="0" w:color="000000"/>
              <w:left w:val="nil"/>
              <w:bottom w:val="single" w:sz="4" w:space="0" w:color="000000"/>
              <w:right w:val="single" w:sz="4" w:space="0" w:color="000000"/>
            </w:tcBorders>
            <w:shd w:val="clear" w:color="auto" w:fill="auto"/>
            <w:hideMark/>
          </w:tcPr>
          <w:p w14:paraId="0F899045" w14:textId="77777777" w:rsidR="00EE3831" w:rsidRPr="0032017C" w:rsidRDefault="00EE3831" w:rsidP="00F86C2D">
            <w:pPr>
              <w:spacing w:after="0" w:line="240" w:lineRule="auto"/>
              <w:rPr>
                <w:rFonts w:ascii="Poppins" w:eastAsia="Times New Roman" w:hAnsi="Poppins" w:cs="Poppins"/>
                <w:b/>
                <w:bCs/>
                <w:color w:val="000000"/>
                <w:sz w:val="18"/>
                <w:szCs w:val="18"/>
              </w:rPr>
            </w:pPr>
            <w:r w:rsidRPr="0032017C">
              <w:rPr>
                <w:rFonts w:ascii="Poppins" w:eastAsia="Times New Roman" w:hAnsi="Poppins" w:cs="Poppins"/>
                <w:b/>
                <w:bCs/>
                <w:color w:val="000000"/>
                <w:sz w:val="18"/>
                <w:szCs w:val="18"/>
              </w:rPr>
              <w:t>Description</w:t>
            </w:r>
          </w:p>
        </w:tc>
      </w:tr>
      <w:tr w:rsidR="00EE3831" w:rsidRPr="0032017C" w14:paraId="71699875"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ECA49A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w:t>
            </w:r>
          </w:p>
        </w:tc>
        <w:tc>
          <w:tcPr>
            <w:tcW w:w="1345" w:type="dxa"/>
            <w:tcBorders>
              <w:top w:val="nil"/>
              <w:left w:val="nil"/>
              <w:bottom w:val="single" w:sz="4" w:space="0" w:color="000000"/>
              <w:right w:val="single" w:sz="4" w:space="0" w:color="000000"/>
            </w:tcBorders>
            <w:shd w:val="clear" w:color="auto" w:fill="auto"/>
            <w:hideMark/>
          </w:tcPr>
          <w:p w14:paraId="01776BC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6B8A945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Product stewardship policy</w:t>
            </w:r>
          </w:p>
        </w:tc>
        <w:tc>
          <w:tcPr>
            <w:tcW w:w="2520" w:type="dxa"/>
            <w:tcBorders>
              <w:top w:val="nil"/>
              <w:left w:val="nil"/>
              <w:bottom w:val="single" w:sz="4" w:space="0" w:color="000000"/>
              <w:right w:val="single" w:sz="4" w:space="0" w:color="000000"/>
            </w:tcBorders>
            <w:shd w:val="clear" w:color="auto" w:fill="auto"/>
            <w:hideMark/>
          </w:tcPr>
          <w:p w14:paraId="3E6A9EC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Stewardship Policy</w:t>
            </w:r>
          </w:p>
        </w:tc>
        <w:tc>
          <w:tcPr>
            <w:tcW w:w="5130" w:type="dxa"/>
            <w:tcBorders>
              <w:top w:val="nil"/>
              <w:left w:val="nil"/>
              <w:bottom w:val="single" w:sz="4" w:space="0" w:color="000000"/>
              <w:right w:val="single" w:sz="4" w:space="0" w:color="000000"/>
            </w:tcBorders>
            <w:shd w:val="clear" w:color="auto" w:fill="auto"/>
            <w:hideMark/>
          </w:tcPr>
          <w:p w14:paraId="1B5A472F"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promoting sustainable product design, manufacturing, and disposal to minimize environmental impacts.</w:t>
            </w:r>
          </w:p>
        </w:tc>
      </w:tr>
      <w:tr w:rsidR="00EE3831" w:rsidRPr="0032017C" w14:paraId="3CC45ED1"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7B0ABE2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w:t>
            </w:r>
          </w:p>
        </w:tc>
        <w:tc>
          <w:tcPr>
            <w:tcW w:w="1345" w:type="dxa"/>
            <w:tcBorders>
              <w:top w:val="nil"/>
              <w:left w:val="nil"/>
              <w:bottom w:val="single" w:sz="4" w:space="0" w:color="000000"/>
              <w:right w:val="single" w:sz="4" w:space="0" w:color="000000"/>
            </w:tcBorders>
            <w:shd w:val="clear" w:color="auto" w:fill="auto"/>
            <w:hideMark/>
          </w:tcPr>
          <w:p w14:paraId="662DF5E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73460A0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Carbon Footprint policy</w:t>
            </w:r>
          </w:p>
        </w:tc>
        <w:tc>
          <w:tcPr>
            <w:tcW w:w="2520" w:type="dxa"/>
            <w:tcBorders>
              <w:top w:val="nil"/>
              <w:left w:val="nil"/>
              <w:bottom w:val="single" w:sz="4" w:space="0" w:color="000000"/>
              <w:right w:val="single" w:sz="4" w:space="0" w:color="000000"/>
            </w:tcBorders>
            <w:shd w:val="clear" w:color="auto" w:fill="auto"/>
            <w:hideMark/>
          </w:tcPr>
          <w:p w14:paraId="60FA950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Carbon Policy</w:t>
            </w:r>
          </w:p>
        </w:tc>
        <w:tc>
          <w:tcPr>
            <w:tcW w:w="5130" w:type="dxa"/>
            <w:tcBorders>
              <w:top w:val="nil"/>
              <w:left w:val="nil"/>
              <w:bottom w:val="single" w:sz="4" w:space="0" w:color="000000"/>
              <w:right w:val="single" w:sz="4" w:space="0" w:color="000000"/>
            </w:tcBorders>
            <w:shd w:val="clear" w:color="auto" w:fill="auto"/>
            <w:hideMark/>
          </w:tcPr>
          <w:p w14:paraId="08338D67"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to track, measure, and reduce the company's carbon footprint through efficiency and sustainable practices.</w:t>
            </w:r>
          </w:p>
        </w:tc>
      </w:tr>
      <w:tr w:rsidR="00EE3831" w:rsidRPr="0032017C" w14:paraId="7D4ABA30"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54764CD2"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3</w:t>
            </w:r>
          </w:p>
        </w:tc>
        <w:tc>
          <w:tcPr>
            <w:tcW w:w="1345" w:type="dxa"/>
            <w:tcBorders>
              <w:top w:val="nil"/>
              <w:left w:val="nil"/>
              <w:bottom w:val="single" w:sz="4" w:space="0" w:color="000000"/>
              <w:right w:val="single" w:sz="4" w:space="0" w:color="000000"/>
            </w:tcBorders>
            <w:shd w:val="clear" w:color="auto" w:fill="auto"/>
            <w:hideMark/>
          </w:tcPr>
          <w:p w14:paraId="596DE66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273D470C"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Water management policy</w:t>
            </w:r>
          </w:p>
        </w:tc>
        <w:tc>
          <w:tcPr>
            <w:tcW w:w="2520" w:type="dxa"/>
            <w:tcBorders>
              <w:top w:val="nil"/>
              <w:left w:val="nil"/>
              <w:bottom w:val="single" w:sz="4" w:space="0" w:color="000000"/>
              <w:right w:val="single" w:sz="4" w:space="0" w:color="000000"/>
            </w:tcBorders>
            <w:shd w:val="clear" w:color="auto" w:fill="auto"/>
            <w:hideMark/>
          </w:tcPr>
          <w:p w14:paraId="74DB655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Water Policy</w:t>
            </w:r>
          </w:p>
        </w:tc>
        <w:tc>
          <w:tcPr>
            <w:tcW w:w="5130" w:type="dxa"/>
            <w:tcBorders>
              <w:top w:val="nil"/>
              <w:left w:val="nil"/>
              <w:bottom w:val="single" w:sz="4" w:space="0" w:color="000000"/>
              <w:right w:val="single" w:sz="4" w:space="0" w:color="000000"/>
            </w:tcBorders>
            <w:shd w:val="clear" w:color="auto" w:fill="auto"/>
            <w:hideMark/>
          </w:tcPr>
          <w:p w14:paraId="1FCC57A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to manage water resources sustainably, reducing consumption and addressing water-related impacts.</w:t>
            </w:r>
          </w:p>
        </w:tc>
      </w:tr>
      <w:tr w:rsidR="00EE3831" w:rsidRPr="0032017C" w14:paraId="16103547"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36D5C98F"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4</w:t>
            </w:r>
          </w:p>
        </w:tc>
        <w:tc>
          <w:tcPr>
            <w:tcW w:w="1345" w:type="dxa"/>
            <w:tcBorders>
              <w:top w:val="nil"/>
              <w:left w:val="nil"/>
              <w:bottom w:val="single" w:sz="4" w:space="0" w:color="000000"/>
              <w:right w:val="single" w:sz="4" w:space="0" w:color="000000"/>
            </w:tcBorders>
            <w:shd w:val="clear" w:color="auto" w:fill="auto"/>
            <w:hideMark/>
          </w:tcPr>
          <w:p w14:paraId="42A2522F"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3A77C19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Waste reduction policy</w:t>
            </w:r>
          </w:p>
        </w:tc>
        <w:tc>
          <w:tcPr>
            <w:tcW w:w="2520" w:type="dxa"/>
            <w:tcBorders>
              <w:top w:val="nil"/>
              <w:left w:val="nil"/>
              <w:bottom w:val="single" w:sz="4" w:space="0" w:color="000000"/>
              <w:right w:val="single" w:sz="4" w:space="0" w:color="000000"/>
            </w:tcBorders>
            <w:shd w:val="clear" w:color="auto" w:fill="auto"/>
            <w:hideMark/>
          </w:tcPr>
          <w:p w14:paraId="1F4B1A2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Waste Policy</w:t>
            </w:r>
          </w:p>
        </w:tc>
        <w:tc>
          <w:tcPr>
            <w:tcW w:w="5130" w:type="dxa"/>
            <w:tcBorders>
              <w:top w:val="nil"/>
              <w:left w:val="nil"/>
              <w:bottom w:val="single" w:sz="4" w:space="0" w:color="000000"/>
              <w:right w:val="single" w:sz="4" w:space="0" w:color="000000"/>
            </w:tcBorders>
            <w:shd w:val="clear" w:color="auto" w:fill="auto"/>
            <w:hideMark/>
          </w:tcPr>
          <w:p w14:paraId="1F36D82F"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Strategies to reduce waste generation and promote recycling or recovery in operations and supply chains.</w:t>
            </w:r>
          </w:p>
        </w:tc>
      </w:tr>
      <w:tr w:rsidR="00EE3831" w:rsidRPr="0032017C" w14:paraId="098FAE48"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6D8B31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5</w:t>
            </w:r>
          </w:p>
        </w:tc>
        <w:tc>
          <w:tcPr>
            <w:tcW w:w="1345" w:type="dxa"/>
            <w:tcBorders>
              <w:top w:val="nil"/>
              <w:left w:val="nil"/>
              <w:bottom w:val="single" w:sz="4" w:space="0" w:color="000000"/>
              <w:right w:val="single" w:sz="4" w:space="0" w:color="000000"/>
            </w:tcBorders>
            <w:shd w:val="clear" w:color="auto" w:fill="auto"/>
            <w:hideMark/>
          </w:tcPr>
          <w:p w14:paraId="425B727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08F5458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Environmental policy</w:t>
            </w:r>
          </w:p>
        </w:tc>
        <w:tc>
          <w:tcPr>
            <w:tcW w:w="2520" w:type="dxa"/>
            <w:tcBorders>
              <w:top w:val="nil"/>
              <w:left w:val="nil"/>
              <w:bottom w:val="single" w:sz="4" w:space="0" w:color="000000"/>
              <w:right w:val="single" w:sz="4" w:space="0" w:color="000000"/>
            </w:tcBorders>
            <w:shd w:val="clear" w:color="auto" w:fill="auto"/>
            <w:hideMark/>
          </w:tcPr>
          <w:p w14:paraId="4479902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Environmental Policy</w:t>
            </w:r>
          </w:p>
        </w:tc>
        <w:tc>
          <w:tcPr>
            <w:tcW w:w="5130" w:type="dxa"/>
            <w:tcBorders>
              <w:top w:val="nil"/>
              <w:left w:val="nil"/>
              <w:bottom w:val="single" w:sz="4" w:space="0" w:color="000000"/>
              <w:right w:val="single" w:sz="4" w:space="0" w:color="000000"/>
            </w:tcBorders>
            <w:shd w:val="clear" w:color="auto" w:fill="auto"/>
            <w:hideMark/>
          </w:tcPr>
          <w:p w14:paraId="069B296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addressing environmental management, ensuring sustainable practices and minimizing negative environmental impacts.</w:t>
            </w:r>
          </w:p>
        </w:tc>
      </w:tr>
      <w:tr w:rsidR="00EE3831" w:rsidRPr="0032017C" w14:paraId="07749E2A"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681DC88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6</w:t>
            </w:r>
          </w:p>
        </w:tc>
        <w:tc>
          <w:tcPr>
            <w:tcW w:w="1345" w:type="dxa"/>
            <w:tcBorders>
              <w:top w:val="nil"/>
              <w:left w:val="nil"/>
              <w:bottom w:val="single" w:sz="4" w:space="0" w:color="000000"/>
              <w:right w:val="single" w:sz="4" w:space="0" w:color="000000"/>
            </w:tcBorders>
            <w:shd w:val="clear" w:color="auto" w:fill="auto"/>
            <w:hideMark/>
          </w:tcPr>
          <w:p w14:paraId="59A31B7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51C9B65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Energy and carbon management policy</w:t>
            </w:r>
          </w:p>
        </w:tc>
        <w:tc>
          <w:tcPr>
            <w:tcW w:w="2520" w:type="dxa"/>
            <w:tcBorders>
              <w:top w:val="nil"/>
              <w:left w:val="nil"/>
              <w:bottom w:val="single" w:sz="4" w:space="0" w:color="000000"/>
              <w:right w:val="single" w:sz="4" w:space="0" w:color="000000"/>
            </w:tcBorders>
            <w:shd w:val="clear" w:color="auto" w:fill="auto"/>
            <w:hideMark/>
          </w:tcPr>
          <w:p w14:paraId="4264DBE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Energy &amp; Carbon Policy</w:t>
            </w:r>
          </w:p>
        </w:tc>
        <w:tc>
          <w:tcPr>
            <w:tcW w:w="5130" w:type="dxa"/>
            <w:tcBorders>
              <w:top w:val="nil"/>
              <w:left w:val="nil"/>
              <w:bottom w:val="single" w:sz="4" w:space="0" w:color="000000"/>
              <w:right w:val="single" w:sz="4" w:space="0" w:color="000000"/>
            </w:tcBorders>
            <w:shd w:val="clear" w:color="auto" w:fill="auto"/>
            <w:hideMark/>
          </w:tcPr>
          <w:p w14:paraId="325524E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integrating energy management with carbon reduction strategies to ensure sustainability and compliance.</w:t>
            </w:r>
          </w:p>
        </w:tc>
      </w:tr>
      <w:tr w:rsidR="00EE3831" w:rsidRPr="0032017C" w14:paraId="6C8D6F07"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1FE45D3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lastRenderedPageBreak/>
              <w:t>7</w:t>
            </w:r>
          </w:p>
        </w:tc>
        <w:tc>
          <w:tcPr>
            <w:tcW w:w="1345" w:type="dxa"/>
            <w:tcBorders>
              <w:top w:val="nil"/>
              <w:left w:val="nil"/>
              <w:bottom w:val="single" w:sz="4" w:space="0" w:color="000000"/>
              <w:right w:val="single" w:sz="4" w:space="0" w:color="000000"/>
            </w:tcBorders>
            <w:shd w:val="clear" w:color="auto" w:fill="auto"/>
            <w:hideMark/>
          </w:tcPr>
          <w:p w14:paraId="16D9DEE7"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Environment</w:t>
            </w:r>
          </w:p>
        </w:tc>
        <w:tc>
          <w:tcPr>
            <w:tcW w:w="2552" w:type="dxa"/>
            <w:tcBorders>
              <w:top w:val="nil"/>
              <w:left w:val="nil"/>
              <w:bottom w:val="single" w:sz="4" w:space="0" w:color="000000"/>
              <w:right w:val="single" w:sz="4" w:space="0" w:color="000000"/>
            </w:tcBorders>
            <w:shd w:val="clear" w:color="auto" w:fill="auto"/>
            <w:hideMark/>
          </w:tcPr>
          <w:p w14:paraId="717ABEF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Energy efficiency policy</w:t>
            </w:r>
          </w:p>
        </w:tc>
        <w:tc>
          <w:tcPr>
            <w:tcW w:w="2520" w:type="dxa"/>
            <w:tcBorders>
              <w:top w:val="nil"/>
              <w:left w:val="nil"/>
              <w:bottom w:val="single" w:sz="4" w:space="0" w:color="000000"/>
              <w:right w:val="single" w:sz="4" w:space="0" w:color="000000"/>
            </w:tcBorders>
            <w:shd w:val="clear" w:color="auto" w:fill="auto"/>
            <w:hideMark/>
          </w:tcPr>
          <w:p w14:paraId="0CFE0F4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Energy Efficiency Policy</w:t>
            </w:r>
          </w:p>
        </w:tc>
        <w:tc>
          <w:tcPr>
            <w:tcW w:w="5130" w:type="dxa"/>
            <w:tcBorders>
              <w:top w:val="nil"/>
              <w:left w:val="nil"/>
              <w:bottom w:val="single" w:sz="4" w:space="0" w:color="000000"/>
              <w:right w:val="single" w:sz="4" w:space="0" w:color="000000"/>
            </w:tcBorders>
            <w:shd w:val="clear" w:color="auto" w:fill="auto"/>
            <w:hideMark/>
          </w:tcPr>
          <w:p w14:paraId="099D247C"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Efforts to improve energy efficiency, reducing energy consumption and associated environmental impacts.</w:t>
            </w:r>
          </w:p>
        </w:tc>
      </w:tr>
      <w:tr w:rsidR="00EE3831" w:rsidRPr="0032017C" w14:paraId="4E9C3963"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8E9526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8</w:t>
            </w:r>
          </w:p>
        </w:tc>
        <w:tc>
          <w:tcPr>
            <w:tcW w:w="1345" w:type="dxa"/>
            <w:tcBorders>
              <w:top w:val="nil"/>
              <w:left w:val="nil"/>
              <w:bottom w:val="single" w:sz="4" w:space="0" w:color="000000"/>
              <w:right w:val="single" w:sz="4" w:space="0" w:color="000000"/>
            </w:tcBorders>
            <w:shd w:val="clear" w:color="auto" w:fill="auto"/>
            <w:hideMark/>
          </w:tcPr>
          <w:p w14:paraId="7A0B4B2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572CF82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Freedom of association policy</w:t>
            </w:r>
          </w:p>
        </w:tc>
        <w:tc>
          <w:tcPr>
            <w:tcW w:w="2520" w:type="dxa"/>
            <w:tcBorders>
              <w:top w:val="nil"/>
              <w:left w:val="nil"/>
              <w:bottom w:val="single" w:sz="4" w:space="0" w:color="000000"/>
              <w:right w:val="single" w:sz="4" w:space="0" w:color="000000"/>
            </w:tcBorders>
            <w:shd w:val="clear" w:color="auto" w:fill="auto"/>
            <w:hideMark/>
          </w:tcPr>
          <w:p w14:paraId="7337E32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Freedom of Association Policy</w:t>
            </w:r>
          </w:p>
        </w:tc>
        <w:tc>
          <w:tcPr>
            <w:tcW w:w="5130" w:type="dxa"/>
            <w:tcBorders>
              <w:top w:val="nil"/>
              <w:left w:val="nil"/>
              <w:bottom w:val="single" w:sz="4" w:space="0" w:color="000000"/>
              <w:right w:val="single" w:sz="4" w:space="0" w:color="000000"/>
            </w:tcBorders>
            <w:shd w:val="clear" w:color="auto" w:fill="auto"/>
            <w:hideMark/>
          </w:tcPr>
          <w:p w14:paraId="42122EDA"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 xml:space="preserve">Corporate commitment to </w:t>
            </w:r>
            <w:proofErr w:type="spellStart"/>
            <w:r w:rsidRPr="0032017C">
              <w:rPr>
                <w:rFonts w:ascii="Poppins" w:eastAsia="Times New Roman" w:hAnsi="Poppins" w:cs="Poppins"/>
                <w:color w:val="000000"/>
                <w:sz w:val="18"/>
                <w:szCs w:val="18"/>
              </w:rPr>
              <w:t>employeesâ</w:t>
            </w:r>
            <w:proofErr w:type="spellEnd"/>
            <w:r w:rsidRPr="0032017C">
              <w:rPr>
                <w:rFonts w:ascii="Poppins" w:eastAsia="Times New Roman" w:hAnsi="Poppins" w:cs="Poppins"/>
                <w:color w:val="000000"/>
                <w:sz w:val="18"/>
                <w:szCs w:val="18"/>
              </w:rPr>
              <w:t>€™ right to organize and join labor unions freely.</w:t>
            </w:r>
          </w:p>
        </w:tc>
      </w:tr>
      <w:tr w:rsidR="00EE3831" w:rsidRPr="0032017C" w14:paraId="051FEFD7"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5A525CC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9</w:t>
            </w:r>
          </w:p>
        </w:tc>
        <w:tc>
          <w:tcPr>
            <w:tcW w:w="1345" w:type="dxa"/>
            <w:tcBorders>
              <w:top w:val="nil"/>
              <w:left w:val="nil"/>
              <w:bottom w:val="single" w:sz="4" w:space="0" w:color="000000"/>
              <w:right w:val="single" w:sz="4" w:space="0" w:color="000000"/>
            </w:tcBorders>
            <w:shd w:val="clear" w:color="auto" w:fill="auto"/>
            <w:hideMark/>
          </w:tcPr>
          <w:p w14:paraId="24BE725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556E9DE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 policy</w:t>
            </w:r>
          </w:p>
        </w:tc>
        <w:tc>
          <w:tcPr>
            <w:tcW w:w="2520" w:type="dxa"/>
            <w:tcBorders>
              <w:top w:val="nil"/>
              <w:left w:val="nil"/>
              <w:bottom w:val="single" w:sz="4" w:space="0" w:color="000000"/>
              <w:right w:val="single" w:sz="4" w:space="0" w:color="000000"/>
            </w:tcBorders>
            <w:shd w:val="clear" w:color="auto" w:fill="auto"/>
            <w:hideMark/>
          </w:tcPr>
          <w:p w14:paraId="0FAD786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 Approach</w:t>
            </w:r>
          </w:p>
        </w:tc>
        <w:tc>
          <w:tcPr>
            <w:tcW w:w="5130" w:type="dxa"/>
            <w:tcBorders>
              <w:top w:val="nil"/>
              <w:left w:val="nil"/>
              <w:bottom w:val="single" w:sz="4" w:space="0" w:color="000000"/>
              <w:right w:val="single" w:sz="4" w:space="0" w:color="000000"/>
            </w:tcBorders>
            <w:shd w:val="clear" w:color="auto" w:fill="auto"/>
            <w:hideMark/>
          </w:tcPr>
          <w:p w14:paraId="0CF098B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 Policy</w:t>
            </w:r>
          </w:p>
        </w:tc>
      </w:tr>
      <w:tr w:rsidR="00EE3831" w:rsidRPr="0032017C" w14:paraId="7E4532A1"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3540BD8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10</w:t>
            </w:r>
          </w:p>
        </w:tc>
        <w:tc>
          <w:tcPr>
            <w:tcW w:w="1345" w:type="dxa"/>
            <w:tcBorders>
              <w:top w:val="nil"/>
              <w:left w:val="nil"/>
              <w:bottom w:val="single" w:sz="4" w:space="0" w:color="000000"/>
              <w:right w:val="single" w:sz="4" w:space="0" w:color="000000"/>
            </w:tcBorders>
            <w:shd w:val="clear" w:color="auto" w:fill="auto"/>
            <w:hideMark/>
          </w:tcPr>
          <w:p w14:paraId="0FB3ED9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57F7F9AC"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Whistleblowing policy</w:t>
            </w:r>
          </w:p>
        </w:tc>
        <w:tc>
          <w:tcPr>
            <w:tcW w:w="2520" w:type="dxa"/>
            <w:tcBorders>
              <w:top w:val="nil"/>
              <w:left w:val="nil"/>
              <w:bottom w:val="single" w:sz="4" w:space="0" w:color="000000"/>
              <w:right w:val="single" w:sz="4" w:space="0" w:color="000000"/>
            </w:tcBorders>
            <w:shd w:val="clear" w:color="auto" w:fill="auto"/>
            <w:hideMark/>
          </w:tcPr>
          <w:p w14:paraId="5F32122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Whistleblowing</w:t>
            </w:r>
          </w:p>
        </w:tc>
        <w:tc>
          <w:tcPr>
            <w:tcW w:w="5130" w:type="dxa"/>
            <w:tcBorders>
              <w:top w:val="nil"/>
              <w:left w:val="nil"/>
              <w:bottom w:val="single" w:sz="4" w:space="0" w:color="000000"/>
              <w:right w:val="single" w:sz="4" w:space="0" w:color="000000"/>
            </w:tcBorders>
            <w:shd w:val="clear" w:color="auto" w:fill="auto"/>
            <w:hideMark/>
          </w:tcPr>
          <w:p w14:paraId="1EF02842"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 xml:space="preserve">Policies </w:t>
            </w:r>
            <w:proofErr w:type="gramStart"/>
            <w:r w:rsidRPr="0032017C">
              <w:rPr>
                <w:rFonts w:ascii="Poppins" w:eastAsia="Times New Roman" w:hAnsi="Poppins" w:cs="Poppins"/>
                <w:color w:val="000000"/>
                <w:sz w:val="18"/>
                <w:szCs w:val="18"/>
              </w:rPr>
              <w:t>allowing</w:t>
            </w:r>
            <w:proofErr w:type="gramEnd"/>
            <w:r w:rsidRPr="0032017C">
              <w:rPr>
                <w:rFonts w:ascii="Poppins" w:eastAsia="Times New Roman" w:hAnsi="Poppins" w:cs="Poppins"/>
                <w:color w:val="000000"/>
                <w:sz w:val="18"/>
                <w:szCs w:val="18"/>
              </w:rPr>
              <w:t xml:space="preserve"> employees to report unethical or unlawful behavior anonymously without retaliation.</w:t>
            </w:r>
          </w:p>
        </w:tc>
      </w:tr>
      <w:tr w:rsidR="00EE3831" w:rsidRPr="0032017C" w14:paraId="671069F0"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3FB455B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11</w:t>
            </w:r>
          </w:p>
        </w:tc>
        <w:tc>
          <w:tcPr>
            <w:tcW w:w="1345" w:type="dxa"/>
            <w:tcBorders>
              <w:top w:val="nil"/>
              <w:left w:val="nil"/>
              <w:bottom w:val="single" w:sz="4" w:space="0" w:color="000000"/>
              <w:right w:val="single" w:sz="4" w:space="0" w:color="000000"/>
            </w:tcBorders>
            <w:shd w:val="clear" w:color="auto" w:fill="auto"/>
            <w:hideMark/>
          </w:tcPr>
          <w:p w14:paraId="0448C71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0C4EDAA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Remuneration policy - members &amp; senior executives</w:t>
            </w:r>
          </w:p>
        </w:tc>
        <w:tc>
          <w:tcPr>
            <w:tcW w:w="2520" w:type="dxa"/>
            <w:tcBorders>
              <w:top w:val="nil"/>
              <w:left w:val="nil"/>
              <w:bottom w:val="single" w:sz="4" w:space="0" w:color="000000"/>
              <w:right w:val="single" w:sz="4" w:space="0" w:color="000000"/>
            </w:tcBorders>
            <w:shd w:val="clear" w:color="auto" w:fill="auto"/>
            <w:hideMark/>
          </w:tcPr>
          <w:p w14:paraId="4826CBE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Executive Remuneration Policy</w:t>
            </w:r>
          </w:p>
        </w:tc>
        <w:tc>
          <w:tcPr>
            <w:tcW w:w="5130" w:type="dxa"/>
            <w:tcBorders>
              <w:top w:val="nil"/>
              <w:left w:val="nil"/>
              <w:bottom w:val="single" w:sz="4" w:space="0" w:color="000000"/>
              <w:right w:val="single" w:sz="4" w:space="0" w:color="000000"/>
            </w:tcBorders>
            <w:shd w:val="clear" w:color="auto" w:fill="auto"/>
            <w:hideMark/>
          </w:tcPr>
          <w:p w14:paraId="136A10BA"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defining remuneration for governing body members and senior executives, aligning compensation with organizational objectives.</w:t>
            </w:r>
          </w:p>
        </w:tc>
      </w:tr>
      <w:tr w:rsidR="00EE3831" w:rsidRPr="0032017C" w14:paraId="4F1BFDAF"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7BBD092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12</w:t>
            </w:r>
          </w:p>
        </w:tc>
        <w:tc>
          <w:tcPr>
            <w:tcW w:w="1345" w:type="dxa"/>
            <w:tcBorders>
              <w:top w:val="nil"/>
              <w:left w:val="nil"/>
              <w:bottom w:val="single" w:sz="4" w:space="0" w:color="000000"/>
              <w:right w:val="single" w:sz="4" w:space="0" w:color="000000"/>
            </w:tcBorders>
            <w:shd w:val="clear" w:color="auto" w:fill="auto"/>
            <w:hideMark/>
          </w:tcPr>
          <w:p w14:paraId="1E143B3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45DF455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Marketing &amp; Advertisement Policy</w:t>
            </w:r>
          </w:p>
        </w:tc>
        <w:tc>
          <w:tcPr>
            <w:tcW w:w="2520" w:type="dxa"/>
            <w:tcBorders>
              <w:top w:val="nil"/>
              <w:left w:val="nil"/>
              <w:bottom w:val="single" w:sz="4" w:space="0" w:color="000000"/>
              <w:right w:val="single" w:sz="4" w:space="0" w:color="000000"/>
            </w:tcBorders>
            <w:shd w:val="clear" w:color="auto" w:fill="auto"/>
            <w:hideMark/>
          </w:tcPr>
          <w:p w14:paraId="2172EC6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Marketing Policy</w:t>
            </w:r>
          </w:p>
        </w:tc>
        <w:tc>
          <w:tcPr>
            <w:tcW w:w="5130" w:type="dxa"/>
            <w:tcBorders>
              <w:top w:val="nil"/>
              <w:left w:val="nil"/>
              <w:bottom w:val="single" w:sz="4" w:space="0" w:color="000000"/>
              <w:right w:val="single" w:sz="4" w:space="0" w:color="000000"/>
            </w:tcBorders>
            <w:shd w:val="clear" w:color="auto" w:fill="auto"/>
            <w:hideMark/>
          </w:tcPr>
          <w:p w14:paraId="50E3D2D4"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Guidelines for responsible marketing and advertising practices, ensuring truthful and ethical communication.</w:t>
            </w:r>
          </w:p>
        </w:tc>
      </w:tr>
      <w:tr w:rsidR="00EE3831" w:rsidRPr="0032017C" w14:paraId="5AC95024"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7FE0074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13</w:t>
            </w:r>
          </w:p>
        </w:tc>
        <w:tc>
          <w:tcPr>
            <w:tcW w:w="1345" w:type="dxa"/>
            <w:tcBorders>
              <w:top w:val="nil"/>
              <w:left w:val="nil"/>
              <w:bottom w:val="single" w:sz="4" w:space="0" w:color="000000"/>
              <w:right w:val="single" w:sz="4" w:space="0" w:color="000000"/>
            </w:tcBorders>
            <w:shd w:val="clear" w:color="auto" w:fill="auto"/>
            <w:hideMark/>
          </w:tcPr>
          <w:p w14:paraId="50840D6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345A46F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Approach to stakeholder engagement</w:t>
            </w:r>
          </w:p>
        </w:tc>
        <w:tc>
          <w:tcPr>
            <w:tcW w:w="2520" w:type="dxa"/>
            <w:tcBorders>
              <w:top w:val="nil"/>
              <w:left w:val="nil"/>
              <w:bottom w:val="single" w:sz="4" w:space="0" w:color="000000"/>
              <w:right w:val="single" w:sz="4" w:space="0" w:color="000000"/>
            </w:tcBorders>
            <w:shd w:val="clear" w:color="auto" w:fill="auto"/>
            <w:hideMark/>
          </w:tcPr>
          <w:p w14:paraId="06606DC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Stakeholder Engagement Approach</w:t>
            </w:r>
          </w:p>
        </w:tc>
        <w:tc>
          <w:tcPr>
            <w:tcW w:w="5130" w:type="dxa"/>
            <w:tcBorders>
              <w:top w:val="nil"/>
              <w:left w:val="nil"/>
              <w:bottom w:val="single" w:sz="4" w:space="0" w:color="000000"/>
              <w:right w:val="single" w:sz="4" w:space="0" w:color="000000"/>
            </w:tcBorders>
            <w:shd w:val="clear" w:color="auto" w:fill="auto"/>
            <w:hideMark/>
          </w:tcPr>
          <w:p w14:paraId="3C607084"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Efforts to engage stakeholders, ensuring their input and concerns are incorporated into decision-making and operations.</w:t>
            </w:r>
          </w:p>
        </w:tc>
      </w:tr>
      <w:tr w:rsidR="00EE3831" w:rsidRPr="0032017C" w14:paraId="6879831E"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78146D4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lastRenderedPageBreak/>
              <w:t>14</w:t>
            </w:r>
          </w:p>
        </w:tc>
        <w:tc>
          <w:tcPr>
            <w:tcW w:w="1345" w:type="dxa"/>
            <w:tcBorders>
              <w:top w:val="nil"/>
              <w:left w:val="nil"/>
              <w:bottom w:val="single" w:sz="4" w:space="0" w:color="000000"/>
              <w:right w:val="single" w:sz="4" w:space="0" w:color="000000"/>
            </w:tcBorders>
            <w:shd w:val="clear" w:color="auto" w:fill="auto"/>
            <w:hideMark/>
          </w:tcPr>
          <w:p w14:paraId="42B08AA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53A9202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Approach to engagement with tax authorities</w:t>
            </w:r>
          </w:p>
        </w:tc>
        <w:tc>
          <w:tcPr>
            <w:tcW w:w="2520" w:type="dxa"/>
            <w:tcBorders>
              <w:top w:val="nil"/>
              <w:left w:val="nil"/>
              <w:bottom w:val="single" w:sz="4" w:space="0" w:color="000000"/>
              <w:right w:val="single" w:sz="4" w:space="0" w:color="000000"/>
            </w:tcBorders>
            <w:shd w:val="clear" w:color="auto" w:fill="auto"/>
            <w:hideMark/>
          </w:tcPr>
          <w:p w14:paraId="1A446BE4"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Tax Authority Engagement</w:t>
            </w:r>
          </w:p>
        </w:tc>
        <w:tc>
          <w:tcPr>
            <w:tcW w:w="5130" w:type="dxa"/>
            <w:tcBorders>
              <w:top w:val="nil"/>
              <w:left w:val="nil"/>
              <w:bottom w:val="single" w:sz="4" w:space="0" w:color="000000"/>
              <w:right w:val="single" w:sz="4" w:space="0" w:color="000000"/>
            </w:tcBorders>
            <w:shd w:val="clear" w:color="auto" w:fill="auto"/>
            <w:hideMark/>
          </w:tcPr>
          <w:p w14:paraId="4DEBC1E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Approaches to engaging with tax authorities, ensuring transparency and cooperative compliance.</w:t>
            </w:r>
          </w:p>
        </w:tc>
      </w:tr>
      <w:tr w:rsidR="00EE3831" w:rsidRPr="0032017C" w14:paraId="1C16CF28"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18A8007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15</w:t>
            </w:r>
          </w:p>
        </w:tc>
        <w:tc>
          <w:tcPr>
            <w:tcW w:w="1345" w:type="dxa"/>
            <w:tcBorders>
              <w:top w:val="nil"/>
              <w:left w:val="nil"/>
              <w:bottom w:val="single" w:sz="4" w:space="0" w:color="000000"/>
              <w:right w:val="single" w:sz="4" w:space="0" w:color="000000"/>
            </w:tcBorders>
            <w:shd w:val="clear" w:color="auto" w:fill="auto"/>
            <w:hideMark/>
          </w:tcPr>
          <w:p w14:paraId="0025FA7F"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59016F82"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Anti-corruption policy</w:t>
            </w:r>
          </w:p>
        </w:tc>
        <w:tc>
          <w:tcPr>
            <w:tcW w:w="2520" w:type="dxa"/>
            <w:tcBorders>
              <w:top w:val="nil"/>
              <w:left w:val="nil"/>
              <w:bottom w:val="single" w:sz="4" w:space="0" w:color="000000"/>
              <w:right w:val="single" w:sz="4" w:space="0" w:color="000000"/>
            </w:tcBorders>
            <w:shd w:val="clear" w:color="auto" w:fill="auto"/>
            <w:hideMark/>
          </w:tcPr>
          <w:p w14:paraId="271FBCAC"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Anti-Corruption Policy</w:t>
            </w:r>
          </w:p>
        </w:tc>
        <w:tc>
          <w:tcPr>
            <w:tcW w:w="5130" w:type="dxa"/>
            <w:tcBorders>
              <w:top w:val="nil"/>
              <w:left w:val="nil"/>
              <w:bottom w:val="single" w:sz="4" w:space="0" w:color="000000"/>
              <w:right w:val="single" w:sz="4" w:space="0" w:color="000000"/>
            </w:tcBorders>
            <w:shd w:val="clear" w:color="auto" w:fill="auto"/>
            <w:hideMark/>
          </w:tcPr>
          <w:p w14:paraId="0795E24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Guidelines to prevent corruption, ensuring ethical practices and compliance within operations.</w:t>
            </w:r>
          </w:p>
        </w:tc>
      </w:tr>
      <w:tr w:rsidR="00EE3831" w:rsidRPr="0032017C" w14:paraId="27F523B7"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3215F3B2"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16</w:t>
            </w:r>
          </w:p>
        </w:tc>
        <w:tc>
          <w:tcPr>
            <w:tcW w:w="1345" w:type="dxa"/>
            <w:tcBorders>
              <w:top w:val="nil"/>
              <w:left w:val="nil"/>
              <w:bottom w:val="single" w:sz="4" w:space="0" w:color="000000"/>
              <w:right w:val="single" w:sz="4" w:space="0" w:color="000000"/>
            </w:tcBorders>
            <w:shd w:val="clear" w:color="auto" w:fill="auto"/>
            <w:hideMark/>
          </w:tcPr>
          <w:p w14:paraId="0F32B60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Governance</w:t>
            </w:r>
          </w:p>
        </w:tc>
        <w:tc>
          <w:tcPr>
            <w:tcW w:w="2552" w:type="dxa"/>
            <w:tcBorders>
              <w:top w:val="nil"/>
              <w:left w:val="nil"/>
              <w:bottom w:val="single" w:sz="4" w:space="0" w:color="000000"/>
              <w:right w:val="single" w:sz="4" w:space="0" w:color="000000"/>
            </w:tcBorders>
            <w:shd w:val="clear" w:color="auto" w:fill="auto"/>
            <w:hideMark/>
          </w:tcPr>
          <w:p w14:paraId="4A97AC62"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Procurement policy &amp; practice</w:t>
            </w:r>
          </w:p>
        </w:tc>
        <w:tc>
          <w:tcPr>
            <w:tcW w:w="2520" w:type="dxa"/>
            <w:tcBorders>
              <w:top w:val="nil"/>
              <w:left w:val="nil"/>
              <w:bottom w:val="single" w:sz="4" w:space="0" w:color="000000"/>
              <w:right w:val="single" w:sz="4" w:space="0" w:color="000000"/>
            </w:tcBorders>
            <w:shd w:val="clear" w:color="auto" w:fill="auto"/>
            <w:hideMark/>
          </w:tcPr>
          <w:p w14:paraId="37BCF7A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Procurement Policy &amp; Practice</w:t>
            </w:r>
          </w:p>
        </w:tc>
        <w:tc>
          <w:tcPr>
            <w:tcW w:w="5130" w:type="dxa"/>
            <w:tcBorders>
              <w:top w:val="nil"/>
              <w:left w:val="nil"/>
              <w:bottom w:val="single" w:sz="4" w:space="0" w:color="000000"/>
              <w:right w:val="single" w:sz="4" w:space="0" w:color="000000"/>
            </w:tcBorders>
            <w:shd w:val="clear" w:color="auto" w:fill="auto"/>
            <w:hideMark/>
          </w:tcPr>
          <w:p w14:paraId="6775A984"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Procurement policies outlining ethical and sustainable sourcing practices, ensuring compliance with company values.</w:t>
            </w:r>
          </w:p>
        </w:tc>
      </w:tr>
      <w:tr w:rsidR="00EE3831" w:rsidRPr="0032017C" w14:paraId="48C94BA0"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267F98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17</w:t>
            </w:r>
          </w:p>
        </w:tc>
        <w:tc>
          <w:tcPr>
            <w:tcW w:w="1345" w:type="dxa"/>
            <w:tcBorders>
              <w:top w:val="nil"/>
              <w:left w:val="nil"/>
              <w:bottom w:val="single" w:sz="4" w:space="0" w:color="000000"/>
              <w:right w:val="single" w:sz="4" w:space="0" w:color="000000"/>
            </w:tcBorders>
            <w:shd w:val="clear" w:color="auto" w:fill="auto"/>
            <w:hideMark/>
          </w:tcPr>
          <w:p w14:paraId="69DB6B0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1A7F5AD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 Policy</w:t>
            </w:r>
          </w:p>
        </w:tc>
        <w:tc>
          <w:tcPr>
            <w:tcW w:w="2520" w:type="dxa"/>
            <w:tcBorders>
              <w:top w:val="nil"/>
              <w:left w:val="nil"/>
              <w:bottom w:val="single" w:sz="4" w:space="0" w:color="000000"/>
              <w:right w:val="single" w:sz="4" w:space="0" w:color="000000"/>
            </w:tcBorders>
            <w:shd w:val="clear" w:color="auto" w:fill="auto"/>
            <w:hideMark/>
          </w:tcPr>
          <w:p w14:paraId="22CDAD2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 Policy</w:t>
            </w:r>
          </w:p>
        </w:tc>
        <w:tc>
          <w:tcPr>
            <w:tcW w:w="5130" w:type="dxa"/>
            <w:tcBorders>
              <w:top w:val="nil"/>
              <w:left w:val="nil"/>
              <w:bottom w:val="single" w:sz="4" w:space="0" w:color="000000"/>
              <w:right w:val="single" w:sz="4" w:space="0" w:color="000000"/>
            </w:tcBorders>
            <w:shd w:val="clear" w:color="auto" w:fill="auto"/>
            <w:hideMark/>
          </w:tcPr>
          <w:p w14:paraId="47775A2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 Policy</w:t>
            </w:r>
          </w:p>
        </w:tc>
      </w:tr>
      <w:tr w:rsidR="00EE3831" w:rsidRPr="0032017C" w14:paraId="71E630AF"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6D67165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18</w:t>
            </w:r>
          </w:p>
        </w:tc>
        <w:tc>
          <w:tcPr>
            <w:tcW w:w="1345" w:type="dxa"/>
            <w:tcBorders>
              <w:top w:val="nil"/>
              <w:left w:val="nil"/>
              <w:bottom w:val="single" w:sz="4" w:space="0" w:color="000000"/>
              <w:right w:val="single" w:sz="4" w:space="0" w:color="000000"/>
            </w:tcBorders>
            <w:shd w:val="clear" w:color="auto" w:fill="auto"/>
            <w:hideMark/>
          </w:tcPr>
          <w:p w14:paraId="26D0B99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4A038B6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Sexual harassment policy</w:t>
            </w:r>
          </w:p>
        </w:tc>
        <w:tc>
          <w:tcPr>
            <w:tcW w:w="2520" w:type="dxa"/>
            <w:tcBorders>
              <w:top w:val="nil"/>
              <w:left w:val="nil"/>
              <w:bottom w:val="single" w:sz="4" w:space="0" w:color="000000"/>
              <w:right w:val="single" w:sz="4" w:space="0" w:color="000000"/>
            </w:tcBorders>
            <w:shd w:val="clear" w:color="auto" w:fill="auto"/>
            <w:hideMark/>
          </w:tcPr>
          <w:p w14:paraId="050870D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Harassment Policy</w:t>
            </w:r>
          </w:p>
        </w:tc>
        <w:tc>
          <w:tcPr>
            <w:tcW w:w="5130" w:type="dxa"/>
            <w:tcBorders>
              <w:top w:val="nil"/>
              <w:left w:val="nil"/>
              <w:bottom w:val="single" w:sz="4" w:space="0" w:color="000000"/>
              <w:right w:val="single" w:sz="4" w:space="0" w:color="000000"/>
            </w:tcBorders>
            <w:shd w:val="clear" w:color="auto" w:fill="auto"/>
            <w:hideMark/>
          </w:tcPr>
          <w:p w14:paraId="2FDDFAA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preventing and addressing sexual harassment, ensuring a safe and respectful workplace.</w:t>
            </w:r>
          </w:p>
        </w:tc>
      </w:tr>
      <w:tr w:rsidR="00EE3831" w:rsidRPr="0032017C" w14:paraId="6FA702AF"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26E69D1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19</w:t>
            </w:r>
          </w:p>
        </w:tc>
        <w:tc>
          <w:tcPr>
            <w:tcW w:w="1345" w:type="dxa"/>
            <w:tcBorders>
              <w:top w:val="nil"/>
              <w:left w:val="nil"/>
              <w:bottom w:val="single" w:sz="4" w:space="0" w:color="000000"/>
              <w:right w:val="single" w:sz="4" w:space="0" w:color="000000"/>
            </w:tcBorders>
            <w:shd w:val="clear" w:color="auto" w:fill="auto"/>
            <w:hideMark/>
          </w:tcPr>
          <w:p w14:paraId="78263EF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3F82E627"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Animal welfare policy</w:t>
            </w:r>
          </w:p>
        </w:tc>
        <w:tc>
          <w:tcPr>
            <w:tcW w:w="2520" w:type="dxa"/>
            <w:tcBorders>
              <w:top w:val="nil"/>
              <w:left w:val="nil"/>
              <w:bottom w:val="single" w:sz="4" w:space="0" w:color="000000"/>
              <w:right w:val="single" w:sz="4" w:space="0" w:color="000000"/>
            </w:tcBorders>
            <w:shd w:val="clear" w:color="auto" w:fill="auto"/>
            <w:hideMark/>
          </w:tcPr>
          <w:p w14:paraId="1BC42E07"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Animal Welfare Policy</w:t>
            </w:r>
          </w:p>
        </w:tc>
        <w:tc>
          <w:tcPr>
            <w:tcW w:w="5130" w:type="dxa"/>
            <w:tcBorders>
              <w:top w:val="nil"/>
              <w:left w:val="nil"/>
              <w:bottom w:val="single" w:sz="4" w:space="0" w:color="000000"/>
              <w:right w:val="single" w:sz="4" w:space="0" w:color="000000"/>
            </w:tcBorders>
            <w:shd w:val="clear" w:color="auto" w:fill="auto"/>
            <w:hideMark/>
          </w:tcPr>
          <w:p w14:paraId="50267D7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Guidelines ensuring animal welfare across operations, including ethical treatment and habitat protection.</w:t>
            </w:r>
          </w:p>
        </w:tc>
      </w:tr>
      <w:tr w:rsidR="00EE3831" w:rsidRPr="0032017C" w14:paraId="5F19EAEC"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751EDAF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20</w:t>
            </w:r>
          </w:p>
        </w:tc>
        <w:tc>
          <w:tcPr>
            <w:tcW w:w="1345" w:type="dxa"/>
            <w:tcBorders>
              <w:top w:val="nil"/>
              <w:left w:val="nil"/>
              <w:bottom w:val="single" w:sz="4" w:space="0" w:color="000000"/>
              <w:right w:val="single" w:sz="4" w:space="0" w:color="000000"/>
            </w:tcBorders>
            <w:shd w:val="clear" w:color="auto" w:fill="auto"/>
            <w:hideMark/>
          </w:tcPr>
          <w:p w14:paraId="3BC375C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4B97A33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Health and safety policy</w:t>
            </w:r>
          </w:p>
        </w:tc>
        <w:tc>
          <w:tcPr>
            <w:tcW w:w="2520" w:type="dxa"/>
            <w:tcBorders>
              <w:top w:val="nil"/>
              <w:left w:val="nil"/>
              <w:bottom w:val="single" w:sz="4" w:space="0" w:color="000000"/>
              <w:right w:val="single" w:sz="4" w:space="0" w:color="000000"/>
            </w:tcBorders>
            <w:shd w:val="clear" w:color="auto" w:fill="auto"/>
            <w:hideMark/>
          </w:tcPr>
          <w:p w14:paraId="135E57E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Health &amp; Safety Policy</w:t>
            </w:r>
          </w:p>
        </w:tc>
        <w:tc>
          <w:tcPr>
            <w:tcW w:w="5130" w:type="dxa"/>
            <w:tcBorders>
              <w:top w:val="nil"/>
              <w:left w:val="nil"/>
              <w:bottom w:val="single" w:sz="4" w:space="0" w:color="000000"/>
              <w:right w:val="single" w:sz="4" w:space="0" w:color="000000"/>
            </w:tcBorders>
            <w:shd w:val="clear" w:color="auto" w:fill="auto"/>
            <w:hideMark/>
          </w:tcPr>
          <w:p w14:paraId="255F966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Measures ensuring the health and safety of employees and contractors in all operational environments.</w:t>
            </w:r>
          </w:p>
        </w:tc>
      </w:tr>
      <w:tr w:rsidR="00EE3831" w:rsidRPr="0032017C" w14:paraId="5F28A06A"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056431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lastRenderedPageBreak/>
              <w:t>21</w:t>
            </w:r>
          </w:p>
        </w:tc>
        <w:tc>
          <w:tcPr>
            <w:tcW w:w="1345" w:type="dxa"/>
            <w:tcBorders>
              <w:top w:val="nil"/>
              <w:left w:val="nil"/>
              <w:bottom w:val="single" w:sz="4" w:space="0" w:color="000000"/>
              <w:right w:val="single" w:sz="4" w:space="0" w:color="000000"/>
            </w:tcBorders>
            <w:shd w:val="clear" w:color="auto" w:fill="auto"/>
            <w:hideMark/>
          </w:tcPr>
          <w:p w14:paraId="08589DA7"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2FDC0B9A"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Equal pay policy</w:t>
            </w:r>
          </w:p>
        </w:tc>
        <w:tc>
          <w:tcPr>
            <w:tcW w:w="2520" w:type="dxa"/>
            <w:tcBorders>
              <w:top w:val="nil"/>
              <w:left w:val="nil"/>
              <w:bottom w:val="single" w:sz="4" w:space="0" w:color="000000"/>
              <w:right w:val="single" w:sz="4" w:space="0" w:color="000000"/>
            </w:tcBorders>
            <w:shd w:val="clear" w:color="auto" w:fill="auto"/>
            <w:hideMark/>
          </w:tcPr>
          <w:p w14:paraId="27B5D7B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Equal Pay Policy</w:t>
            </w:r>
          </w:p>
        </w:tc>
        <w:tc>
          <w:tcPr>
            <w:tcW w:w="5130" w:type="dxa"/>
            <w:tcBorders>
              <w:top w:val="nil"/>
              <w:left w:val="nil"/>
              <w:bottom w:val="single" w:sz="4" w:space="0" w:color="000000"/>
              <w:right w:val="single" w:sz="4" w:space="0" w:color="000000"/>
            </w:tcBorders>
            <w:shd w:val="clear" w:color="auto" w:fill="auto"/>
            <w:hideMark/>
          </w:tcPr>
          <w:p w14:paraId="0621F10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ensuring gender pay equity, promoting fairness across all roles and levels.</w:t>
            </w:r>
          </w:p>
        </w:tc>
      </w:tr>
      <w:tr w:rsidR="00EE3831" w:rsidRPr="0032017C" w14:paraId="3EACB92D"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349EDA8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22</w:t>
            </w:r>
          </w:p>
        </w:tc>
        <w:tc>
          <w:tcPr>
            <w:tcW w:w="1345" w:type="dxa"/>
            <w:tcBorders>
              <w:top w:val="nil"/>
              <w:left w:val="nil"/>
              <w:bottom w:val="single" w:sz="4" w:space="0" w:color="000000"/>
              <w:right w:val="single" w:sz="4" w:space="0" w:color="000000"/>
            </w:tcBorders>
            <w:shd w:val="clear" w:color="auto" w:fill="auto"/>
            <w:hideMark/>
          </w:tcPr>
          <w:p w14:paraId="4D33171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73A08C7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Diversity and inclusion policy</w:t>
            </w:r>
          </w:p>
        </w:tc>
        <w:tc>
          <w:tcPr>
            <w:tcW w:w="2520" w:type="dxa"/>
            <w:tcBorders>
              <w:top w:val="nil"/>
              <w:left w:val="nil"/>
              <w:bottom w:val="single" w:sz="4" w:space="0" w:color="000000"/>
              <w:right w:val="single" w:sz="4" w:space="0" w:color="000000"/>
            </w:tcBorders>
            <w:shd w:val="clear" w:color="auto" w:fill="auto"/>
            <w:hideMark/>
          </w:tcPr>
          <w:p w14:paraId="7139D18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Diversity Policy</w:t>
            </w:r>
          </w:p>
        </w:tc>
        <w:tc>
          <w:tcPr>
            <w:tcW w:w="5130" w:type="dxa"/>
            <w:tcBorders>
              <w:top w:val="nil"/>
              <w:left w:val="nil"/>
              <w:bottom w:val="single" w:sz="4" w:space="0" w:color="000000"/>
              <w:right w:val="single" w:sz="4" w:space="0" w:color="000000"/>
            </w:tcBorders>
            <w:shd w:val="clear" w:color="auto" w:fill="auto"/>
            <w:hideMark/>
          </w:tcPr>
          <w:p w14:paraId="522709B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Policies promoting diversity and inclusion, ensuring equitable opportunities for underrepresented groups.</w:t>
            </w:r>
          </w:p>
        </w:tc>
      </w:tr>
      <w:tr w:rsidR="00EE3831" w:rsidRPr="0032017C" w14:paraId="4AA0501A"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348CB5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23</w:t>
            </w:r>
          </w:p>
        </w:tc>
        <w:tc>
          <w:tcPr>
            <w:tcW w:w="1345" w:type="dxa"/>
            <w:tcBorders>
              <w:top w:val="nil"/>
              <w:left w:val="nil"/>
              <w:bottom w:val="single" w:sz="4" w:space="0" w:color="000000"/>
              <w:right w:val="single" w:sz="4" w:space="0" w:color="000000"/>
            </w:tcBorders>
            <w:shd w:val="clear" w:color="auto" w:fill="auto"/>
            <w:hideMark/>
          </w:tcPr>
          <w:p w14:paraId="1AAC9F5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5302FF7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Data privacy policy</w:t>
            </w:r>
          </w:p>
        </w:tc>
        <w:tc>
          <w:tcPr>
            <w:tcW w:w="2520" w:type="dxa"/>
            <w:tcBorders>
              <w:top w:val="nil"/>
              <w:left w:val="nil"/>
              <w:bottom w:val="single" w:sz="4" w:space="0" w:color="000000"/>
              <w:right w:val="single" w:sz="4" w:space="0" w:color="000000"/>
            </w:tcBorders>
            <w:shd w:val="clear" w:color="auto" w:fill="auto"/>
            <w:hideMark/>
          </w:tcPr>
          <w:p w14:paraId="350F931C"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Data Privacy Policy</w:t>
            </w:r>
          </w:p>
        </w:tc>
        <w:tc>
          <w:tcPr>
            <w:tcW w:w="5130" w:type="dxa"/>
            <w:tcBorders>
              <w:top w:val="nil"/>
              <w:left w:val="nil"/>
              <w:bottom w:val="single" w:sz="4" w:space="0" w:color="000000"/>
              <w:right w:val="single" w:sz="4" w:space="0" w:color="000000"/>
            </w:tcBorders>
            <w:shd w:val="clear" w:color="auto" w:fill="auto"/>
            <w:hideMark/>
          </w:tcPr>
          <w:p w14:paraId="318B5DF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Measures to protect customer and employee data, ensuring confidentiality and regulatory compliance.</w:t>
            </w:r>
          </w:p>
        </w:tc>
      </w:tr>
      <w:tr w:rsidR="00EE3831" w:rsidRPr="0032017C" w14:paraId="4F5F925F"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32DD5F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24</w:t>
            </w:r>
          </w:p>
        </w:tc>
        <w:tc>
          <w:tcPr>
            <w:tcW w:w="1345" w:type="dxa"/>
            <w:tcBorders>
              <w:top w:val="nil"/>
              <w:left w:val="nil"/>
              <w:bottom w:val="single" w:sz="4" w:space="0" w:color="000000"/>
              <w:right w:val="single" w:sz="4" w:space="0" w:color="000000"/>
            </w:tcBorders>
            <w:shd w:val="clear" w:color="auto" w:fill="auto"/>
            <w:hideMark/>
          </w:tcPr>
          <w:p w14:paraId="1075C9AF"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1AB64914"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Community engagement policy</w:t>
            </w:r>
          </w:p>
        </w:tc>
        <w:tc>
          <w:tcPr>
            <w:tcW w:w="2520" w:type="dxa"/>
            <w:tcBorders>
              <w:top w:val="nil"/>
              <w:left w:val="nil"/>
              <w:bottom w:val="single" w:sz="4" w:space="0" w:color="000000"/>
              <w:right w:val="single" w:sz="4" w:space="0" w:color="000000"/>
            </w:tcBorders>
            <w:shd w:val="clear" w:color="auto" w:fill="auto"/>
            <w:hideMark/>
          </w:tcPr>
          <w:p w14:paraId="5E1E406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Community Engagement Policy</w:t>
            </w:r>
          </w:p>
        </w:tc>
        <w:tc>
          <w:tcPr>
            <w:tcW w:w="5130" w:type="dxa"/>
            <w:tcBorders>
              <w:top w:val="nil"/>
              <w:left w:val="nil"/>
              <w:bottom w:val="single" w:sz="4" w:space="0" w:color="000000"/>
              <w:right w:val="single" w:sz="4" w:space="0" w:color="000000"/>
            </w:tcBorders>
            <w:shd w:val="clear" w:color="auto" w:fill="auto"/>
            <w:hideMark/>
          </w:tcPr>
          <w:p w14:paraId="499AB6B1"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Engagement efforts aimed at fostering trust and collaboration within local communities.</w:t>
            </w:r>
          </w:p>
        </w:tc>
      </w:tr>
      <w:tr w:rsidR="00EE3831" w:rsidRPr="0032017C" w14:paraId="553B0399"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207F19D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25</w:t>
            </w:r>
          </w:p>
        </w:tc>
        <w:tc>
          <w:tcPr>
            <w:tcW w:w="1345" w:type="dxa"/>
            <w:tcBorders>
              <w:top w:val="nil"/>
              <w:left w:val="nil"/>
              <w:bottom w:val="single" w:sz="4" w:space="0" w:color="000000"/>
              <w:right w:val="single" w:sz="4" w:space="0" w:color="000000"/>
            </w:tcBorders>
            <w:shd w:val="clear" w:color="auto" w:fill="auto"/>
            <w:hideMark/>
          </w:tcPr>
          <w:p w14:paraId="470ED99E"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0D2DEBB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Child labor policy</w:t>
            </w:r>
          </w:p>
        </w:tc>
        <w:tc>
          <w:tcPr>
            <w:tcW w:w="2520" w:type="dxa"/>
            <w:tcBorders>
              <w:top w:val="nil"/>
              <w:left w:val="nil"/>
              <w:bottom w:val="single" w:sz="4" w:space="0" w:color="000000"/>
              <w:right w:val="single" w:sz="4" w:space="0" w:color="000000"/>
            </w:tcBorders>
            <w:shd w:val="clear" w:color="auto" w:fill="auto"/>
            <w:hideMark/>
          </w:tcPr>
          <w:p w14:paraId="35B8BD1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Child Labor Policy</w:t>
            </w:r>
          </w:p>
        </w:tc>
        <w:tc>
          <w:tcPr>
            <w:tcW w:w="5130" w:type="dxa"/>
            <w:tcBorders>
              <w:top w:val="nil"/>
              <w:left w:val="nil"/>
              <w:bottom w:val="single" w:sz="4" w:space="0" w:color="000000"/>
              <w:right w:val="single" w:sz="4" w:space="0" w:color="000000"/>
            </w:tcBorders>
            <w:shd w:val="clear" w:color="auto" w:fill="auto"/>
            <w:hideMark/>
          </w:tcPr>
          <w:p w14:paraId="0B3A4378"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Corporate guidelines to prevent child labor and ensure ethical practices.</w:t>
            </w:r>
          </w:p>
        </w:tc>
      </w:tr>
      <w:tr w:rsidR="00EE3831" w:rsidRPr="0032017C" w14:paraId="4FEE40B2"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5405D67A"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26</w:t>
            </w:r>
          </w:p>
        </w:tc>
        <w:tc>
          <w:tcPr>
            <w:tcW w:w="1345" w:type="dxa"/>
            <w:tcBorders>
              <w:top w:val="nil"/>
              <w:left w:val="nil"/>
              <w:bottom w:val="single" w:sz="4" w:space="0" w:color="000000"/>
              <w:right w:val="single" w:sz="4" w:space="0" w:color="000000"/>
            </w:tcBorders>
            <w:shd w:val="clear" w:color="auto" w:fill="auto"/>
            <w:hideMark/>
          </w:tcPr>
          <w:p w14:paraId="7F01F49C"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1579BE4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Human rights policy</w:t>
            </w:r>
          </w:p>
        </w:tc>
        <w:tc>
          <w:tcPr>
            <w:tcW w:w="2520" w:type="dxa"/>
            <w:tcBorders>
              <w:top w:val="nil"/>
              <w:left w:val="nil"/>
              <w:bottom w:val="single" w:sz="4" w:space="0" w:color="000000"/>
              <w:right w:val="single" w:sz="4" w:space="0" w:color="000000"/>
            </w:tcBorders>
            <w:shd w:val="clear" w:color="auto" w:fill="auto"/>
            <w:hideMark/>
          </w:tcPr>
          <w:p w14:paraId="7A860BA0"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Human Rights Policy</w:t>
            </w:r>
          </w:p>
        </w:tc>
        <w:tc>
          <w:tcPr>
            <w:tcW w:w="5130" w:type="dxa"/>
            <w:tcBorders>
              <w:top w:val="nil"/>
              <w:left w:val="nil"/>
              <w:bottom w:val="single" w:sz="4" w:space="0" w:color="000000"/>
              <w:right w:val="single" w:sz="4" w:space="0" w:color="000000"/>
            </w:tcBorders>
            <w:shd w:val="clear" w:color="auto" w:fill="auto"/>
            <w:hideMark/>
          </w:tcPr>
          <w:p w14:paraId="0378E4C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Commitment to upholding human rights within operations and the supply chain, addressing issues like forced labor.</w:t>
            </w:r>
          </w:p>
        </w:tc>
      </w:tr>
      <w:tr w:rsidR="00EE3831" w:rsidRPr="0032017C" w14:paraId="35D858D2"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0234DDA9"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27</w:t>
            </w:r>
          </w:p>
        </w:tc>
        <w:tc>
          <w:tcPr>
            <w:tcW w:w="1345" w:type="dxa"/>
            <w:tcBorders>
              <w:top w:val="nil"/>
              <w:left w:val="nil"/>
              <w:bottom w:val="single" w:sz="4" w:space="0" w:color="000000"/>
              <w:right w:val="single" w:sz="4" w:space="0" w:color="000000"/>
            </w:tcBorders>
            <w:shd w:val="clear" w:color="auto" w:fill="auto"/>
            <w:hideMark/>
          </w:tcPr>
          <w:p w14:paraId="41284C9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Social</w:t>
            </w:r>
          </w:p>
        </w:tc>
        <w:tc>
          <w:tcPr>
            <w:tcW w:w="2552" w:type="dxa"/>
            <w:tcBorders>
              <w:top w:val="nil"/>
              <w:left w:val="nil"/>
              <w:bottom w:val="single" w:sz="4" w:space="0" w:color="000000"/>
              <w:right w:val="single" w:sz="4" w:space="0" w:color="000000"/>
            </w:tcBorders>
            <w:shd w:val="clear" w:color="auto" w:fill="auto"/>
            <w:hideMark/>
          </w:tcPr>
          <w:p w14:paraId="3FB9C9C7"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Workplace policy</w:t>
            </w:r>
          </w:p>
        </w:tc>
        <w:tc>
          <w:tcPr>
            <w:tcW w:w="2520" w:type="dxa"/>
            <w:tcBorders>
              <w:top w:val="nil"/>
              <w:left w:val="nil"/>
              <w:bottom w:val="single" w:sz="4" w:space="0" w:color="000000"/>
              <w:right w:val="single" w:sz="4" w:space="0" w:color="000000"/>
            </w:tcBorders>
            <w:shd w:val="clear" w:color="auto" w:fill="auto"/>
            <w:hideMark/>
          </w:tcPr>
          <w:p w14:paraId="557EB254"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Workplace Policy</w:t>
            </w:r>
          </w:p>
        </w:tc>
        <w:tc>
          <w:tcPr>
            <w:tcW w:w="5130" w:type="dxa"/>
            <w:tcBorders>
              <w:top w:val="nil"/>
              <w:left w:val="nil"/>
              <w:bottom w:val="single" w:sz="4" w:space="0" w:color="000000"/>
              <w:right w:val="single" w:sz="4" w:space="0" w:color="000000"/>
            </w:tcBorders>
            <w:shd w:val="clear" w:color="auto" w:fill="auto"/>
            <w:hideMark/>
          </w:tcPr>
          <w:p w14:paraId="788C34F3"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Guidelines promoting fair treatment, ethical practices, and compliance within the workplace.</w:t>
            </w:r>
          </w:p>
        </w:tc>
      </w:tr>
      <w:tr w:rsidR="00EE3831" w:rsidRPr="0032017C" w14:paraId="66EE8A09" w14:textId="77777777" w:rsidTr="00EE3831">
        <w:trPr>
          <w:trHeight w:val="1030"/>
        </w:trPr>
        <w:tc>
          <w:tcPr>
            <w:tcW w:w="517" w:type="dxa"/>
            <w:tcBorders>
              <w:top w:val="nil"/>
              <w:left w:val="single" w:sz="4" w:space="0" w:color="000000"/>
              <w:bottom w:val="single" w:sz="4" w:space="0" w:color="000000"/>
              <w:right w:val="single" w:sz="4" w:space="0" w:color="000000"/>
            </w:tcBorders>
            <w:shd w:val="clear" w:color="auto" w:fill="auto"/>
            <w:hideMark/>
          </w:tcPr>
          <w:p w14:paraId="47D44495"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lastRenderedPageBreak/>
              <w:t>28</w:t>
            </w:r>
          </w:p>
        </w:tc>
        <w:tc>
          <w:tcPr>
            <w:tcW w:w="1345" w:type="dxa"/>
            <w:tcBorders>
              <w:top w:val="nil"/>
              <w:left w:val="nil"/>
              <w:bottom w:val="single" w:sz="4" w:space="0" w:color="000000"/>
              <w:right w:val="single" w:sz="4" w:space="0" w:color="000000"/>
            </w:tcBorders>
            <w:shd w:val="clear" w:color="auto" w:fill="auto"/>
            <w:hideMark/>
          </w:tcPr>
          <w:p w14:paraId="3557EF3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 </w:t>
            </w:r>
          </w:p>
        </w:tc>
        <w:tc>
          <w:tcPr>
            <w:tcW w:w="2552" w:type="dxa"/>
            <w:tcBorders>
              <w:top w:val="nil"/>
              <w:left w:val="nil"/>
              <w:bottom w:val="single" w:sz="4" w:space="0" w:color="000000"/>
              <w:right w:val="single" w:sz="4" w:space="0" w:color="000000"/>
            </w:tcBorders>
            <w:shd w:val="clear" w:color="auto" w:fill="auto"/>
            <w:hideMark/>
          </w:tcPr>
          <w:p w14:paraId="4860473D"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Supplier code of conduct policy</w:t>
            </w:r>
          </w:p>
        </w:tc>
        <w:tc>
          <w:tcPr>
            <w:tcW w:w="2520" w:type="dxa"/>
            <w:tcBorders>
              <w:top w:val="nil"/>
              <w:left w:val="nil"/>
              <w:bottom w:val="single" w:sz="4" w:space="0" w:color="000000"/>
              <w:right w:val="single" w:sz="4" w:space="0" w:color="000000"/>
            </w:tcBorders>
            <w:shd w:val="clear" w:color="auto" w:fill="auto"/>
            <w:hideMark/>
          </w:tcPr>
          <w:p w14:paraId="3099D956"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Supplier Conduct Policy</w:t>
            </w:r>
          </w:p>
        </w:tc>
        <w:tc>
          <w:tcPr>
            <w:tcW w:w="5130" w:type="dxa"/>
            <w:tcBorders>
              <w:top w:val="nil"/>
              <w:left w:val="nil"/>
              <w:bottom w:val="single" w:sz="4" w:space="0" w:color="000000"/>
              <w:right w:val="single" w:sz="4" w:space="0" w:color="000000"/>
            </w:tcBorders>
            <w:shd w:val="clear" w:color="auto" w:fill="auto"/>
            <w:hideMark/>
          </w:tcPr>
          <w:p w14:paraId="19337A7B" w14:textId="77777777" w:rsidR="00EE3831" w:rsidRPr="0032017C" w:rsidRDefault="00EE3831" w:rsidP="00F86C2D">
            <w:pPr>
              <w:spacing w:after="0" w:line="240" w:lineRule="auto"/>
              <w:rPr>
                <w:rFonts w:ascii="Poppins" w:eastAsia="Times New Roman" w:hAnsi="Poppins" w:cs="Poppins"/>
                <w:color w:val="000000"/>
                <w:sz w:val="18"/>
                <w:szCs w:val="18"/>
              </w:rPr>
            </w:pPr>
            <w:r w:rsidRPr="0032017C">
              <w:rPr>
                <w:rFonts w:ascii="Poppins" w:eastAsia="Times New Roman" w:hAnsi="Poppins" w:cs="Poppins"/>
                <w:color w:val="000000"/>
                <w:sz w:val="18"/>
                <w:szCs w:val="18"/>
              </w:rPr>
              <w:t>Standards for suppliers, outlining expectations for ethical, environmental, and social compliance.</w:t>
            </w:r>
          </w:p>
        </w:tc>
      </w:tr>
    </w:tbl>
    <w:p w14:paraId="2BEEAFF8" w14:textId="77777777" w:rsidR="00F86C2D" w:rsidRDefault="00F86C2D" w:rsidP="00F86C2D"/>
    <w:p w14:paraId="2DF8310D" w14:textId="354299A3" w:rsidR="00DC541D" w:rsidRDefault="00DC541D">
      <w:r>
        <w:br w:type="page"/>
      </w:r>
    </w:p>
    <w:p w14:paraId="7A08AC70" w14:textId="7EE18D57" w:rsidR="00170946" w:rsidRPr="006778DC" w:rsidRDefault="00170946" w:rsidP="007A5B6F">
      <w:pPr>
        <w:pStyle w:val="Heading1"/>
      </w:pPr>
      <w:r w:rsidRPr="006778DC">
        <w:lastRenderedPageBreak/>
        <w:t>Annex D: Template for ESG Reporting and Disclosures</w:t>
      </w:r>
    </w:p>
    <w:p w14:paraId="39CC4EA2" w14:textId="77777777" w:rsidR="00170946" w:rsidRPr="006778DC" w:rsidRDefault="00170946" w:rsidP="00170946">
      <w:pPr>
        <w:rPr>
          <w:rFonts w:ascii="Poppins" w:hAnsi="Poppins" w:cs="Poppins"/>
        </w:rPr>
      </w:pPr>
      <w:r w:rsidRPr="006778DC">
        <w:rPr>
          <w:rFonts w:ascii="Poppins" w:hAnsi="Poppins" w:cs="Poppins"/>
        </w:rPr>
        <w:t>This unified ESG reporting and disclosure template consolidates key requirements from leading frameworks including SBP Green Banking Guidelines, SBP ESRM Manual, SECP Green Bond Guidelines, ICMA SLBP, IFRS S1 &amp; S2, Pakistan Green Taxonomy, GRI, UN SDGs, UNEP FI PRB, and internal frameworks such as ICAAP, DRP, ERM, and AML. The aim is to streamline ESG reporting for alignment with regulatory, investor, and global sustainability expectations.</w:t>
      </w:r>
    </w:p>
    <w:p w14:paraId="6DF15FC3" w14:textId="77777777" w:rsidR="00170946" w:rsidRPr="000E237B" w:rsidRDefault="00170946" w:rsidP="000E237B">
      <w:pPr>
        <w:rPr>
          <w:rFonts w:ascii="Poppins" w:hAnsi="Poppins" w:cs="Poppins"/>
        </w:rPr>
      </w:pPr>
      <w:r w:rsidRPr="000E237B">
        <w:rPr>
          <w:rFonts w:ascii="Poppins" w:hAnsi="Poppins" w:cs="Poppins"/>
        </w:rPr>
        <w:t>Section 1: Governance and Oversight</w:t>
      </w:r>
    </w:p>
    <w:p w14:paraId="5FF39D8B" w14:textId="77777777" w:rsidR="00170946" w:rsidRPr="000E237B" w:rsidRDefault="00170946" w:rsidP="000E237B">
      <w:pPr>
        <w:rPr>
          <w:rFonts w:ascii="Poppins" w:hAnsi="Poppins" w:cs="Poppins"/>
        </w:rPr>
      </w:pPr>
      <w:r w:rsidRPr="000E237B">
        <w:rPr>
          <w:rFonts w:ascii="Poppins" w:hAnsi="Poppins" w:cs="Poppins"/>
        </w:rPr>
        <w:t>• Describe board-level oversight on ESG matters and frequency of review.</w:t>
      </w:r>
    </w:p>
    <w:p w14:paraId="1FEFD84E" w14:textId="77777777" w:rsidR="00170946" w:rsidRPr="000E237B" w:rsidRDefault="00170946" w:rsidP="000E237B">
      <w:pPr>
        <w:rPr>
          <w:rFonts w:ascii="Poppins" w:hAnsi="Poppins" w:cs="Poppins"/>
        </w:rPr>
      </w:pPr>
      <w:r w:rsidRPr="000E237B">
        <w:rPr>
          <w:rFonts w:ascii="Poppins" w:hAnsi="Poppins" w:cs="Poppins"/>
        </w:rPr>
        <w:t>• Detail ESG roles and responsibilities across management.</w:t>
      </w:r>
    </w:p>
    <w:p w14:paraId="4F49F703" w14:textId="77777777" w:rsidR="00170946" w:rsidRPr="000E237B" w:rsidRDefault="00170946" w:rsidP="000E237B">
      <w:pPr>
        <w:rPr>
          <w:rFonts w:ascii="Poppins" w:hAnsi="Poppins" w:cs="Poppins"/>
        </w:rPr>
      </w:pPr>
      <w:r w:rsidRPr="000E237B">
        <w:rPr>
          <w:rFonts w:ascii="Poppins" w:hAnsi="Poppins" w:cs="Poppins"/>
        </w:rPr>
        <w:t>Section 2: Strategy and Materiality</w:t>
      </w:r>
    </w:p>
    <w:p w14:paraId="6395FD4A" w14:textId="77777777" w:rsidR="00170946" w:rsidRPr="000E237B" w:rsidRDefault="00170946" w:rsidP="000E237B">
      <w:pPr>
        <w:rPr>
          <w:rFonts w:ascii="Poppins" w:hAnsi="Poppins" w:cs="Poppins"/>
        </w:rPr>
      </w:pPr>
      <w:r w:rsidRPr="000E237B">
        <w:rPr>
          <w:rFonts w:ascii="Poppins" w:hAnsi="Poppins" w:cs="Poppins"/>
        </w:rPr>
        <w:t>• Outline ESG strategy aligned with business goals and SDGs.</w:t>
      </w:r>
    </w:p>
    <w:p w14:paraId="0C22D980" w14:textId="77777777" w:rsidR="00170946" w:rsidRPr="000E237B" w:rsidRDefault="00170946" w:rsidP="000E237B">
      <w:pPr>
        <w:rPr>
          <w:rFonts w:ascii="Poppins" w:hAnsi="Poppins" w:cs="Poppins"/>
        </w:rPr>
      </w:pPr>
      <w:r w:rsidRPr="000E237B">
        <w:rPr>
          <w:rFonts w:ascii="Poppins" w:hAnsi="Poppins" w:cs="Poppins"/>
        </w:rPr>
        <w:t>• Summarize the materiality assessment process and key topics identified.</w:t>
      </w:r>
    </w:p>
    <w:p w14:paraId="2FFEC045" w14:textId="77777777" w:rsidR="00170946" w:rsidRPr="000E237B" w:rsidRDefault="00170946" w:rsidP="000E237B">
      <w:pPr>
        <w:rPr>
          <w:rFonts w:ascii="Poppins" w:hAnsi="Poppins" w:cs="Poppins"/>
        </w:rPr>
      </w:pPr>
      <w:r w:rsidRPr="000E237B">
        <w:rPr>
          <w:rFonts w:ascii="Poppins" w:hAnsi="Poppins" w:cs="Poppins"/>
        </w:rPr>
        <w:t>Section 3: Climate and Environmental Risks</w:t>
      </w:r>
    </w:p>
    <w:p w14:paraId="5B22D674" w14:textId="77777777" w:rsidR="00170946" w:rsidRPr="000E237B" w:rsidRDefault="00170946" w:rsidP="000E237B">
      <w:pPr>
        <w:rPr>
          <w:rFonts w:ascii="Poppins" w:hAnsi="Poppins" w:cs="Poppins"/>
        </w:rPr>
      </w:pPr>
      <w:r w:rsidRPr="000E237B">
        <w:rPr>
          <w:rFonts w:ascii="Poppins" w:hAnsi="Poppins" w:cs="Poppins"/>
        </w:rPr>
        <w:t>• Identify climate-related risks and opportunities (transition &amp; physical).</w:t>
      </w:r>
    </w:p>
    <w:p w14:paraId="628A139A" w14:textId="77777777" w:rsidR="00170946" w:rsidRPr="000E237B" w:rsidRDefault="00170946" w:rsidP="000E237B">
      <w:pPr>
        <w:rPr>
          <w:rFonts w:ascii="Poppins" w:hAnsi="Poppins" w:cs="Poppins"/>
        </w:rPr>
      </w:pPr>
      <w:r w:rsidRPr="000E237B">
        <w:rPr>
          <w:rFonts w:ascii="Poppins" w:hAnsi="Poppins" w:cs="Poppins"/>
        </w:rPr>
        <w:t>• Present scenario analysis approach and outcomes.</w:t>
      </w:r>
    </w:p>
    <w:p w14:paraId="661EF7A0" w14:textId="77777777" w:rsidR="00170946" w:rsidRPr="000E237B" w:rsidRDefault="00170946" w:rsidP="000E237B">
      <w:pPr>
        <w:rPr>
          <w:rFonts w:ascii="Poppins" w:hAnsi="Poppins" w:cs="Poppins"/>
        </w:rPr>
      </w:pPr>
      <w:r w:rsidRPr="000E237B">
        <w:rPr>
          <w:rFonts w:ascii="Poppins" w:hAnsi="Poppins" w:cs="Poppins"/>
        </w:rPr>
        <w:t>• Detail alignment with Pakistan Green Taxonomy.</w:t>
      </w:r>
    </w:p>
    <w:p w14:paraId="4D0E988E" w14:textId="77777777" w:rsidR="00170946" w:rsidRPr="000E237B" w:rsidRDefault="00170946" w:rsidP="000E237B">
      <w:pPr>
        <w:rPr>
          <w:rFonts w:ascii="Poppins" w:hAnsi="Poppins" w:cs="Poppins"/>
        </w:rPr>
      </w:pPr>
      <w:r w:rsidRPr="000E237B">
        <w:rPr>
          <w:rFonts w:ascii="Poppins" w:hAnsi="Poppins" w:cs="Poppins"/>
        </w:rPr>
        <w:t>Section 4: ESG Metrics and KPIs</w:t>
      </w:r>
    </w:p>
    <w:p w14:paraId="43FF5AD9" w14:textId="77777777" w:rsidR="00170946" w:rsidRPr="000E237B" w:rsidRDefault="00170946" w:rsidP="000E237B">
      <w:pPr>
        <w:rPr>
          <w:rFonts w:ascii="Poppins" w:hAnsi="Poppins" w:cs="Poppins"/>
        </w:rPr>
      </w:pPr>
      <w:r w:rsidRPr="000E237B">
        <w:rPr>
          <w:rFonts w:ascii="Poppins" w:hAnsi="Poppins" w:cs="Poppins"/>
        </w:rPr>
        <w:t>• Disclose GHG emissions (Scope 1, 2, 3) and energy use.</w:t>
      </w:r>
    </w:p>
    <w:p w14:paraId="364D19D0" w14:textId="77777777" w:rsidR="00170946" w:rsidRPr="000E237B" w:rsidRDefault="00170946" w:rsidP="000E237B">
      <w:pPr>
        <w:rPr>
          <w:rFonts w:ascii="Poppins" w:hAnsi="Poppins" w:cs="Poppins"/>
        </w:rPr>
      </w:pPr>
      <w:r w:rsidRPr="000E237B">
        <w:rPr>
          <w:rFonts w:ascii="Poppins" w:hAnsi="Poppins" w:cs="Poppins"/>
        </w:rPr>
        <w:t>• Report water, waste, biodiversity, and circular economy indicators.</w:t>
      </w:r>
    </w:p>
    <w:p w14:paraId="46E41861" w14:textId="77777777" w:rsidR="00170946" w:rsidRPr="000E237B" w:rsidRDefault="00170946" w:rsidP="000E237B">
      <w:pPr>
        <w:rPr>
          <w:rFonts w:ascii="Poppins" w:hAnsi="Poppins" w:cs="Poppins"/>
        </w:rPr>
      </w:pPr>
      <w:r w:rsidRPr="000E237B">
        <w:rPr>
          <w:rFonts w:ascii="Poppins" w:hAnsi="Poppins" w:cs="Poppins"/>
        </w:rPr>
        <w:lastRenderedPageBreak/>
        <w:t xml:space="preserve">• Present ESG KPIs relevant to </w:t>
      </w:r>
      <w:proofErr w:type="gramStart"/>
      <w:r w:rsidRPr="000E237B">
        <w:rPr>
          <w:rFonts w:ascii="Poppins" w:hAnsi="Poppins" w:cs="Poppins"/>
        </w:rPr>
        <w:t>business</w:t>
      </w:r>
      <w:proofErr w:type="gramEnd"/>
      <w:r w:rsidRPr="000E237B">
        <w:rPr>
          <w:rFonts w:ascii="Poppins" w:hAnsi="Poppins" w:cs="Poppins"/>
        </w:rPr>
        <w:t xml:space="preserve"> model.</w:t>
      </w:r>
    </w:p>
    <w:p w14:paraId="37881695" w14:textId="77777777" w:rsidR="00170946" w:rsidRPr="000E237B" w:rsidRDefault="00170946" w:rsidP="000E237B">
      <w:pPr>
        <w:rPr>
          <w:rFonts w:ascii="Poppins" w:hAnsi="Poppins" w:cs="Poppins"/>
        </w:rPr>
      </w:pPr>
      <w:r w:rsidRPr="000E237B">
        <w:rPr>
          <w:rFonts w:ascii="Poppins" w:hAnsi="Poppins" w:cs="Poppins"/>
        </w:rPr>
        <w:t>Section 5: Social Responsibility</w:t>
      </w:r>
    </w:p>
    <w:p w14:paraId="7AD727B2" w14:textId="77777777" w:rsidR="00170946" w:rsidRPr="000E237B" w:rsidRDefault="00170946" w:rsidP="000E237B">
      <w:pPr>
        <w:rPr>
          <w:rFonts w:ascii="Poppins" w:hAnsi="Poppins" w:cs="Poppins"/>
        </w:rPr>
      </w:pPr>
      <w:r w:rsidRPr="000E237B">
        <w:rPr>
          <w:rFonts w:ascii="Poppins" w:hAnsi="Poppins" w:cs="Poppins"/>
        </w:rPr>
        <w:t>• Provide data on labor rights, health &amp; safety, and diversity metrics.</w:t>
      </w:r>
    </w:p>
    <w:p w14:paraId="2B1AC224" w14:textId="77777777" w:rsidR="00170946" w:rsidRPr="000E237B" w:rsidRDefault="00170946" w:rsidP="000E237B">
      <w:pPr>
        <w:rPr>
          <w:rFonts w:ascii="Poppins" w:hAnsi="Poppins" w:cs="Poppins"/>
        </w:rPr>
      </w:pPr>
      <w:r w:rsidRPr="000E237B">
        <w:rPr>
          <w:rFonts w:ascii="Poppins" w:hAnsi="Poppins" w:cs="Poppins"/>
        </w:rPr>
        <w:t>• Describe stakeholder engagement efforts and grievance mechanisms.</w:t>
      </w:r>
    </w:p>
    <w:p w14:paraId="3C9696E6" w14:textId="77777777" w:rsidR="00170946" w:rsidRPr="000E237B" w:rsidRDefault="00170946" w:rsidP="000E237B">
      <w:pPr>
        <w:rPr>
          <w:rFonts w:ascii="Poppins" w:hAnsi="Poppins" w:cs="Poppins"/>
        </w:rPr>
      </w:pPr>
      <w:r w:rsidRPr="000E237B">
        <w:rPr>
          <w:rFonts w:ascii="Poppins" w:hAnsi="Poppins" w:cs="Poppins"/>
        </w:rPr>
        <w:t>Section 6: Sustainable Finance and Instruments</w:t>
      </w:r>
    </w:p>
    <w:p w14:paraId="7827DBC1" w14:textId="77777777" w:rsidR="00170946" w:rsidRPr="000E237B" w:rsidRDefault="00170946" w:rsidP="000E237B">
      <w:pPr>
        <w:rPr>
          <w:rFonts w:ascii="Poppins" w:hAnsi="Poppins" w:cs="Poppins"/>
        </w:rPr>
      </w:pPr>
      <w:r w:rsidRPr="000E237B">
        <w:rPr>
          <w:rFonts w:ascii="Poppins" w:hAnsi="Poppins" w:cs="Poppins"/>
        </w:rPr>
        <w:t>• Disclose green/sustainability-linked bond issuances and proceeds use.</w:t>
      </w:r>
    </w:p>
    <w:p w14:paraId="2C267207" w14:textId="77777777" w:rsidR="00170946" w:rsidRPr="000E237B" w:rsidRDefault="00170946" w:rsidP="000E237B">
      <w:pPr>
        <w:rPr>
          <w:rFonts w:ascii="Poppins" w:hAnsi="Poppins" w:cs="Poppins"/>
        </w:rPr>
      </w:pPr>
      <w:r w:rsidRPr="000E237B">
        <w:rPr>
          <w:rFonts w:ascii="Poppins" w:hAnsi="Poppins" w:cs="Poppins"/>
        </w:rPr>
        <w:t>• Detail alignment with ICMA SLBP and SECP Green Bond Guidelines.</w:t>
      </w:r>
    </w:p>
    <w:p w14:paraId="59F13435" w14:textId="77777777" w:rsidR="00170946" w:rsidRPr="000E237B" w:rsidRDefault="00170946" w:rsidP="000E237B">
      <w:pPr>
        <w:rPr>
          <w:rFonts w:ascii="Poppins" w:hAnsi="Poppins" w:cs="Poppins"/>
        </w:rPr>
      </w:pPr>
      <w:r w:rsidRPr="000E237B">
        <w:rPr>
          <w:rFonts w:ascii="Poppins" w:hAnsi="Poppins" w:cs="Poppins"/>
        </w:rPr>
        <w:t>Section 7: Assurance and Reporting Standards</w:t>
      </w:r>
    </w:p>
    <w:p w14:paraId="156CC1E7" w14:textId="77777777" w:rsidR="00170946" w:rsidRPr="000E237B" w:rsidRDefault="00170946" w:rsidP="000E237B">
      <w:pPr>
        <w:rPr>
          <w:rFonts w:ascii="Poppins" w:hAnsi="Poppins" w:cs="Poppins"/>
        </w:rPr>
      </w:pPr>
      <w:r w:rsidRPr="000E237B">
        <w:rPr>
          <w:rFonts w:ascii="Poppins" w:hAnsi="Poppins" w:cs="Poppins"/>
        </w:rPr>
        <w:t>• Mention assurance provider and level of ESG data assurance.</w:t>
      </w:r>
    </w:p>
    <w:p w14:paraId="08577CEF" w14:textId="77777777" w:rsidR="00170946" w:rsidRPr="000E237B" w:rsidRDefault="00170946" w:rsidP="000E237B">
      <w:pPr>
        <w:rPr>
          <w:rFonts w:ascii="Poppins" w:hAnsi="Poppins" w:cs="Poppins"/>
        </w:rPr>
      </w:pPr>
      <w:r w:rsidRPr="000E237B">
        <w:rPr>
          <w:rFonts w:ascii="Poppins" w:hAnsi="Poppins" w:cs="Poppins"/>
        </w:rPr>
        <w:t>• Indicate alignment with GRI, IFRS S1/S2, or other reporting standards.</w:t>
      </w:r>
    </w:p>
    <w:p w14:paraId="1F609147" w14:textId="77777777" w:rsidR="00170946" w:rsidRPr="000E237B" w:rsidRDefault="00170946" w:rsidP="000E237B">
      <w:pPr>
        <w:rPr>
          <w:rFonts w:ascii="Poppins" w:hAnsi="Poppins" w:cs="Poppins"/>
        </w:rPr>
      </w:pPr>
      <w:r w:rsidRPr="000E237B">
        <w:rPr>
          <w:rFonts w:ascii="Poppins" w:hAnsi="Poppins" w:cs="Poppins"/>
        </w:rPr>
        <w:t>Section 8: Risk Management Integration</w:t>
      </w:r>
    </w:p>
    <w:p w14:paraId="56B209F6" w14:textId="77777777" w:rsidR="00170946" w:rsidRPr="000E237B" w:rsidRDefault="00170946" w:rsidP="000E237B">
      <w:pPr>
        <w:rPr>
          <w:rFonts w:ascii="Poppins" w:hAnsi="Poppins" w:cs="Poppins"/>
        </w:rPr>
      </w:pPr>
      <w:r w:rsidRPr="000E237B">
        <w:rPr>
          <w:rFonts w:ascii="Poppins" w:hAnsi="Poppins" w:cs="Poppins"/>
        </w:rPr>
        <w:t>• Describe integration of ESG risks in ICAAP, ERM, and DRP frameworks.</w:t>
      </w:r>
    </w:p>
    <w:p w14:paraId="073512EA" w14:textId="77777777" w:rsidR="00170946" w:rsidRPr="000E237B" w:rsidRDefault="00170946" w:rsidP="000E237B">
      <w:pPr>
        <w:rPr>
          <w:rFonts w:ascii="Poppins" w:hAnsi="Poppins" w:cs="Poppins"/>
        </w:rPr>
      </w:pPr>
      <w:r w:rsidRPr="000E237B">
        <w:rPr>
          <w:rFonts w:ascii="Poppins" w:hAnsi="Poppins" w:cs="Poppins"/>
        </w:rPr>
        <w:t>• Highlight ESG stress testing practices and contingency planning.</w:t>
      </w:r>
    </w:p>
    <w:p w14:paraId="1A2347BE" w14:textId="77777777" w:rsidR="00170946" w:rsidRPr="000E237B" w:rsidRDefault="00170946" w:rsidP="000E237B">
      <w:pPr>
        <w:rPr>
          <w:rFonts w:ascii="Poppins" w:hAnsi="Poppins" w:cs="Poppins"/>
        </w:rPr>
      </w:pPr>
      <w:r w:rsidRPr="000E237B">
        <w:rPr>
          <w:rFonts w:ascii="Poppins" w:hAnsi="Poppins" w:cs="Poppins"/>
        </w:rPr>
        <w:t>Section 9: Compliance and Ethics</w:t>
      </w:r>
    </w:p>
    <w:p w14:paraId="5684085B" w14:textId="77777777" w:rsidR="00170946" w:rsidRPr="000E237B" w:rsidRDefault="00170946" w:rsidP="000E237B">
      <w:pPr>
        <w:rPr>
          <w:rFonts w:ascii="Poppins" w:hAnsi="Poppins" w:cs="Poppins"/>
        </w:rPr>
      </w:pPr>
      <w:r w:rsidRPr="000E237B">
        <w:rPr>
          <w:rFonts w:ascii="Poppins" w:hAnsi="Poppins" w:cs="Poppins"/>
        </w:rPr>
        <w:t>• Report AML procedures related to ESG, such as greenwashing risk management.</w:t>
      </w:r>
    </w:p>
    <w:p w14:paraId="22417E13" w14:textId="77777777" w:rsidR="00170946" w:rsidRPr="000E237B" w:rsidRDefault="00170946" w:rsidP="000E237B">
      <w:pPr>
        <w:rPr>
          <w:rFonts w:ascii="Poppins" w:hAnsi="Poppins" w:cs="Poppins"/>
        </w:rPr>
      </w:pPr>
      <w:r w:rsidRPr="000E237B">
        <w:rPr>
          <w:rFonts w:ascii="Poppins" w:hAnsi="Poppins" w:cs="Poppins"/>
        </w:rPr>
        <w:t>• Provide updates on ESG-related compliance audits or investigations.</w:t>
      </w:r>
    </w:p>
    <w:p w14:paraId="29558B73" w14:textId="42C7145C" w:rsidR="009A7232" w:rsidRDefault="009A7232">
      <w:pPr>
        <w:rPr>
          <w:rFonts w:ascii="Poppins" w:hAnsi="Poppins" w:cs="Poppins"/>
          <w:sz w:val="20"/>
          <w:szCs w:val="20"/>
        </w:rPr>
      </w:pPr>
    </w:p>
    <w:p w14:paraId="057728B1" w14:textId="752F9697" w:rsidR="009A7232" w:rsidRPr="000E237B" w:rsidRDefault="00C64213" w:rsidP="000E237B">
      <w:pPr>
        <w:pStyle w:val="Heading1"/>
      </w:pPr>
      <w:r w:rsidRPr="00F35195">
        <w:lastRenderedPageBreak/>
        <w:t>Annex E: Pakistan Green Taxonomy Detailed Classification</w:t>
      </w:r>
    </w:p>
    <w:p w14:paraId="646FD28D" w14:textId="77777777" w:rsidR="009A7232" w:rsidRDefault="009A7232">
      <w:pPr>
        <w:rPr>
          <w:rFonts w:ascii="Poppins" w:hAnsi="Poppins" w:cs="Poppins"/>
          <w:sz w:val="20"/>
          <w:szCs w:val="20"/>
        </w:rPr>
      </w:pPr>
    </w:p>
    <w:tbl>
      <w:tblPr>
        <w:tblW w:w="11840" w:type="dxa"/>
        <w:tblCellMar>
          <w:left w:w="0" w:type="dxa"/>
          <w:right w:w="0" w:type="dxa"/>
        </w:tblCellMar>
        <w:tblLook w:val="04A0" w:firstRow="1" w:lastRow="0" w:firstColumn="1" w:lastColumn="0" w:noHBand="0" w:noVBand="1"/>
      </w:tblPr>
      <w:tblGrid>
        <w:gridCol w:w="879"/>
        <w:gridCol w:w="1984"/>
        <w:gridCol w:w="2545"/>
        <w:gridCol w:w="1942"/>
        <w:gridCol w:w="1883"/>
        <w:gridCol w:w="2607"/>
      </w:tblGrid>
      <w:tr w:rsidR="009A7232" w14:paraId="2D8DA3A1" w14:textId="77777777" w:rsidTr="002E7DF0">
        <w:trPr>
          <w:trHeight w:val="760"/>
          <w:tblHeader/>
        </w:trPr>
        <w:tc>
          <w:tcPr>
            <w:tcW w:w="9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8038A44"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Sr. No. </w:t>
            </w:r>
          </w:p>
        </w:tc>
        <w:tc>
          <w:tcPr>
            <w:tcW w:w="20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0ADC1492"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Sector / Department</w:t>
            </w:r>
          </w:p>
        </w:tc>
        <w:tc>
          <w:tcPr>
            <w:tcW w:w="2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380DCB8E"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Key Activity / Sub-sector</w:t>
            </w:r>
          </w:p>
        </w:tc>
        <w:tc>
          <w:tcPr>
            <w:tcW w:w="20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0446C801"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Codes (ISIC/PSIC)</w:t>
            </w:r>
          </w:p>
        </w:tc>
        <w:tc>
          <w:tcPr>
            <w:tcW w:w="19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2A73716E"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Relevant Laws &amp; Regulations</w:t>
            </w:r>
          </w:p>
        </w:tc>
        <w:tc>
          <w:tcPr>
            <w:tcW w:w="27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hideMark/>
          </w:tcPr>
          <w:p w14:paraId="29D3631A"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Key Policies / Frameworks / Standards</w:t>
            </w:r>
          </w:p>
        </w:tc>
      </w:tr>
      <w:tr w:rsidR="009A7232" w14:paraId="2511768B" w14:textId="77777777" w:rsidTr="004E6B23">
        <w:trPr>
          <w:trHeight w:val="190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DCB206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64A6926A"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Manufacturing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54BD08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basic chemicals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88C046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C2011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E923EE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 Punjab Environmental Quality Standards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B833EE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ISO 14067/14064, IFC EHS, Chain-of-Custody, National Energy Efficiency and Conservation Authority (NEECA) ratings</w:t>
            </w:r>
          </w:p>
        </w:tc>
      </w:tr>
      <w:tr w:rsidR="009A7232" w14:paraId="3AB9CCB8"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9FD7CC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w:t>
            </w:r>
          </w:p>
        </w:tc>
        <w:tc>
          <w:tcPr>
            <w:tcW w:w="0" w:type="auto"/>
            <w:vMerge/>
            <w:tcBorders>
              <w:top w:val="nil"/>
              <w:left w:val="nil"/>
              <w:bottom w:val="single" w:sz="4" w:space="0" w:color="000000"/>
              <w:right w:val="single" w:sz="4" w:space="0" w:color="auto"/>
            </w:tcBorders>
            <w:hideMark/>
          </w:tcPr>
          <w:p w14:paraId="7CA7ABCF"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777312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cement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2A4FF2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C2394</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EDE5E0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 Sindh Waste to Energy Act</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CA15F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ISO 14067, Paris Agreement, NEECA ratings</w:t>
            </w:r>
          </w:p>
        </w:tc>
      </w:tr>
      <w:tr w:rsidR="009A7232" w14:paraId="6A199C68"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4EF91D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w:t>
            </w:r>
          </w:p>
        </w:tc>
        <w:tc>
          <w:tcPr>
            <w:tcW w:w="0" w:type="auto"/>
            <w:vMerge/>
            <w:tcBorders>
              <w:top w:val="nil"/>
              <w:left w:val="nil"/>
              <w:bottom w:val="single" w:sz="4" w:space="0" w:color="000000"/>
              <w:right w:val="single" w:sz="4" w:space="0" w:color="auto"/>
            </w:tcBorders>
            <w:hideMark/>
          </w:tcPr>
          <w:p w14:paraId="75BA2377"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EF87F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iron and steel</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3ED7D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C2410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5EAD17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C725AF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ISO 14067, Circular Economy Guidelines</w:t>
            </w:r>
          </w:p>
        </w:tc>
      </w:tr>
      <w:tr w:rsidR="009A7232" w14:paraId="2B43B753"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39227A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w:t>
            </w:r>
          </w:p>
        </w:tc>
        <w:tc>
          <w:tcPr>
            <w:tcW w:w="0" w:type="auto"/>
            <w:vMerge/>
            <w:tcBorders>
              <w:top w:val="nil"/>
              <w:left w:val="nil"/>
              <w:bottom w:val="single" w:sz="4" w:space="0" w:color="000000"/>
              <w:right w:val="single" w:sz="4" w:space="0" w:color="auto"/>
            </w:tcBorders>
            <w:hideMark/>
          </w:tcPr>
          <w:p w14:paraId="49093F9D"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2DA383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aluminum</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8AA4E3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C2420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887B0D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896C65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ISO 14067, Circular Economy Guidelines</w:t>
            </w:r>
          </w:p>
        </w:tc>
      </w:tr>
      <w:tr w:rsidR="009A7232" w14:paraId="364C4476"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FDCB52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w:t>
            </w:r>
          </w:p>
        </w:tc>
        <w:tc>
          <w:tcPr>
            <w:tcW w:w="0" w:type="auto"/>
            <w:vMerge/>
            <w:tcBorders>
              <w:top w:val="nil"/>
              <w:left w:val="nil"/>
              <w:bottom w:val="single" w:sz="4" w:space="0" w:color="000000"/>
              <w:right w:val="single" w:sz="4" w:space="0" w:color="auto"/>
            </w:tcBorders>
            <w:hideMark/>
          </w:tcPr>
          <w:p w14:paraId="311F913C"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313776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plastics in primary form</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D769C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C2013</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F01D13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C3B6E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ISO 14067, Circular Economy Guidelines</w:t>
            </w:r>
          </w:p>
        </w:tc>
      </w:tr>
      <w:tr w:rsidR="009A7232" w14:paraId="382BCEEF"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6EB319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6</w:t>
            </w:r>
          </w:p>
        </w:tc>
        <w:tc>
          <w:tcPr>
            <w:tcW w:w="0" w:type="auto"/>
            <w:vMerge/>
            <w:tcBorders>
              <w:top w:val="nil"/>
              <w:left w:val="nil"/>
              <w:bottom w:val="single" w:sz="4" w:space="0" w:color="000000"/>
              <w:right w:val="single" w:sz="4" w:space="0" w:color="auto"/>
            </w:tcBorders>
            <w:hideMark/>
          </w:tcPr>
          <w:p w14:paraId="27DB5091"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3AEA02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batteries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D43751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C2720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F12ED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Basel Convention</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29F667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ISO 14001, Circular Economy Guidelines</w:t>
            </w:r>
          </w:p>
        </w:tc>
      </w:tr>
      <w:tr w:rsidR="009A7232" w14:paraId="103A5C2E"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3AE748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7</w:t>
            </w:r>
          </w:p>
        </w:tc>
        <w:tc>
          <w:tcPr>
            <w:tcW w:w="0" w:type="auto"/>
            <w:vMerge/>
            <w:tcBorders>
              <w:top w:val="nil"/>
              <w:left w:val="nil"/>
              <w:bottom w:val="single" w:sz="4" w:space="0" w:color="000000"/>
              <w:right w:val="single" w:sz="4" w:space="0" w:color="auto"/>
            </w:tcBorders>
            <w:hideMark/>
          </w:tcPr>
          <w:p w14:paraId="56B93762"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A8E8A5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renewable energy technologies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95ECA8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C2710, C2720, C3510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8BA3F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C1DD9D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NEECA ratings, ISO 14001</w:t>
            </w:r>
          </w:p>
        </w:tc>
      </w:tr>
      <w:tr w:rsidR="009A7232" w14:paraId="135C0BD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9EF131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8</w:t>
            </w:r>
          </w:p>
        </w:tc>
        <w:tc>
          <w:tcPr>
            <w:tcW w:w="0" w:type="auto"/>
            <w:vMerge/>
            <w:tcBorders>
              <w:top w:val="nil"/>
              <w:left w:val="nil"/>
              <w:bottom w:val="single" w:sz="4" w:space="0" w:color="000000"/>
              <w:right w:val="single" w:sz="4" w:space="0" w:color="auto"/>
            </w:tcBorders>
            <w:hideMark/>
          </w:tcPr>
          <w:p w14:paraId="53BC7D5F"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12296C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low-carbon transport technologies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0028E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C2811, C29, C30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C2D745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Motor Vehicle Rules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D4235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NEECA ratings, National EV Policy</w:t>
            </w:r>
          </w:p>
        </w:tc>
      </w:tr>
      <w:tr w:rsidR="009A7232" w14:paraId="05AB9618"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D3FAF3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9</w:t>
            </w:r>
          </w:p>
        </w:tc>
        <w:tc>
          <w:tcPr>
            <w:tcW w:w="0" w:type="auto"/>
            <w:vMerge/>
            <w:tcBorders>
              <w:top w:val="nil"/>
              <w:left w:val="nil"/>
              <w:bottom w:val="single" w:sz="4" w:space="0" w:color="000000"/>
              <w:right w:val="single" w:sz="4" w:space="0" w:color="auto"/>
            </w:tcBorders>
            <w:hideMark/>
          </w:tcPr>
          <w:p w14:paraId="1F30D47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F531DF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energy-efficient equipment for buildings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B14C9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C2740, C2750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D34D9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54577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NEECA ratings, ECBC 2023</w:t>
            </w:r>
          </w:p>
        </w:tc>
      </w:tr>
      <w:tr w:rsidR="009A7232" w14:paraId="757AE185"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2A9DCE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10</w:t>
            </w:r>
          </w:p>
        </w:tc>
        <w:tc>
          <w:tcPr>
            <w:tcW w:w="0" w:type="auto"/>
            <w:vMerge/>
            <w:tcBorders>
              <w:top w:val="nil"/>
              <w:left w:val="nil"/>
              <w:bottom w:val="single" w:sz="4" w:space="0" w:color="000000"/>
              <w:right w:val="single" w:sz="4" w:space="0" w:color="auto"/>
            </w:tcBorders>
            <w:hideMark/>
          </w:tcPr>
          <w:p w14:paraId="698D5181"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D7CA0C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other low-carbon technologies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131914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59ED1E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8E7F3A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NEECA ratings</w:t>
            </w:r>
          </w:p>
        </w:tc>
      </w:tr>
      <w:tr w:rsidR="009A7232" w14:paraId="7985A5F3"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2AB0C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11</w:t>
            </w:r>
          </w:p>
        </w:tc>
        <w:tc>
          <w:tcPr>
            <w:tcW w:w="0" w:type="auto"/>
            <w:vMerge/>
            <w:tcBorders>
              <w:top w:val="nil"/>
              <w:left w:val="nil"/>
              <w:bottom w:val="single" w:sz="4" w:space="0" w:color="000000"/>
              <w:right w:val="single" w:sz="4" w:space="0" w:color="auto"/>
            </w:tcBorders>
            <w:hideMark/>
          </w:tcPr>
          <w:p w14:paraId="2ECC1603"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753D8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textiles with green certification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C5D54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1311, 1312, 1313, 1391, 1393, 1399, 1410, 1430, 1520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940D5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CF8DF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 xml:space="preserve">Better Cotton Initiative, Higg Index, </w:t>
            </w:r>
            <w:proofErr w:type="spellStart"/>
            <w:r>
              <w:rPr>
                <w:rFonts w:ascii="Poppins" w:hAnsi="Poppins" w:cs="Poppins"/>
                <w:color w:val="000000"/>
                <w:sz w:val="19"/>
                <w:szCs w:val="19"/>
              </w:rPr>
              <w:t>Oeko</w:t>
            </w:r>
            <w:proofErr w:type="spellEnd"/>
            <w:r>
              <w:rPr>
                <w:rFonts w:ascii="Poppins" w:hAnsi="Poppins" w:cs="Poppins"/>
                <w:color w:val="000000"/>
                <w:sz w:val="19"/>
                <w:szCs w:val="19"/>
              </w:rPr>
              <w:t xml:space="preserve"> Tex</w:t>
            </w:r>
          </w:p>
        </w:tc>
      </w:tr>
      <w:tr w:rsidR="009A7232" w14:paraId="1C4C129F"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73C531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12</w:t>
            </w:r>
          </w:p>
        </w:tc>
        <w:tc>
          <w:tcPr>
            <w:tcW w:w="0" w:type="auto"/>
            <w:vMerge/>
            <w:tcBorders>
              <w:top w:val="nil"/>
              <w:left w:val="nil"/>
              <w:bottom w:val="single" w:sz="4" w:space="0" w:color="000000"/>
              <w:right w:val="single" w:sz="4" w:space="0" w:color="auto"/>
            </w:tcBorders>
            <w:hideMark/>
          </w:tcPr>
          <w:p w14:paraId="004C5DE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CBBBB9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Manufacture of bricks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917703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C2392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337A05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81016E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Zig-zag Kiln Guidelines, NEECA ratings</w:t>
            </w:r>
          </w:p>
        </w:tc>
      </w:tr>
      <w:tr w:rsidR="009A7232" w14:paraId="35C77312"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D73268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13</w:t>
            </w:r>
          </w:p>
        </w:tc>
        <w:tc>
          <w:tcPr>
            <w:tcW w:w="0" w:type="auto"/>
            <w:vMerge/>
            <w:tcBorders>
              <w:top w:val="nil"/>
              <w:left w:val="nil"/>
              <w:bottom w:val="single" w:sz="4" w:space="0" w:color="000000"/>
              <w:right w:val="single" w:sz="4" w:space="0" w:color="auto"/>
            </w:tcBorders>
            <w:hideMark/>
          </w:tcPr>
          <w:p w14:paraId="35997E1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C8797B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Research &amp; Development/Professional Services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8D4336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FC3D94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73EFE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IFC EHS, ISO 14001</w:t>
            </w:r>
          </w:p>
        </w:tc>
      </w:tr>
      <w:tr w:rsidR="009A7232" w14:paraId="2ED2528A"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F9640A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14</w:t>
            </w:r>
          </w:p>
        </w:tc>
        <w:tc>
          <w:tcPr>
            <w:tcW w:w="0" w:type="auto"/>
            <w:vMerge/>
            <w:tcBorders>
              <w:top w:val="nil"/>
              <w:left w:val="nil"/>
              <w:bottom w:val="single" w:sz="4" w:space="0" w:color="000000"/>
              <w:right w:val="single" w:sz="4" w:space="0" w:color="auto"/>
            </w:tcBorders>
            <w:hideMark/>
          </w:tcPr>
          <w:p w14:paraId="023AE23F"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806385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General manufacturing guidance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1AD51C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1282CA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D45837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NEECA ratings, Circular Economy Guidelines</w:t>
            </w:r>
          </w:p>
        </w:tc>
      </w:tr>
      <w:tr w:rsidR="009A7232" w14:paraId="42D78693"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5B542D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15</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25D1E941"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Transportation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EE307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Urban and rural public transport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CC6148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H4911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60D797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Motor Vehicle Rules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DF8F4E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Transport Policy, National EV Policy, Euro V/VI Standards</w:t>
            </w:r>
          </w:p>
        </w:tc>
      </w:tr>
      <w:tr w:rsidR="009A7232" w14:paraId="3251706C" w14:textId="77777777" w:rsidTr="004E6B23">
        <w:trPr>
          <w:trHeight w:val="38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15294A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16</w:t>
            </w:r>
          </w:p>
        </w:tc>
        <w:tc>
          <w:tcPr>
            <w:tcW w:w="0" w:type="auto"/>
            <w:vMerge/>
            <w:tcBorders>
              <w:top w:val="nil"/>
              <w:left w:val="nil"/>
              <w:bottom w:val="single" w:sz="4" w:space="0" w:color="000000"/>
              <w:right w:val="single" w:sz="4" w:space="0" w:color="auto"/>
            </w:tcBorders>
            <w:hideMark/>
          </w:tcPr>
          <w:p w14:paraId="381D05E2"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C7792A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Micromobility</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43066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H4922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59C4E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EE2EAA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Transport Policy</w:t>
            </w:r>
          </w:p>
        </w:tc>
      </w:tr>
      <w:tr w:rsidR="009A7232" w14:paraId="5FA8CAB7"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952C05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17</w:t>
            </w:r>
          </w:p>
        </w:tc>
        <w:tc>
          <w:tcPr>
            <w:tcW w:w="0" w:type="auto"/>
            <w:vMerge/>
            <w:tcBorders>
              <w:top w:val="nil"/>
              <w:left w:val="nil"/>
              <w:bottom w:val="single" w:sz="4" w:space="0" w:color="000000"/>
              <w:right w:val="single" w:sz="4" w:space="0" w:color="auto"/>
            </w:tcBorders>
            <w:hideMark/>
          </w:tcPr>
          <w:p w14:paraId="76A8FB1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BB520A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Interurban transport (cargo &amp; passengers)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EB39B2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H4921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B53651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959A8A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Transport Policy</w:t>
            </w:r>
          </w:p>
        </w:tc>
      </w:tr>
      <w:tr w:rsidR="009A7232" w14:paraId="4BC51D37"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975AE7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18</w:t>
            </w:r>
          </w:p>
        </w:tc>
        <w:tc>
          <w:tcPr>
            <w:tcW w:w="0" w:type="auto"/>
            <w:vMerge/>
            <w:tcBorders>
              <w:top w:val="nil"/>
              <w:left w:val="nil"/>
              <w:bottom w:val="single" w:sz="4" w:space="0" w:color="000000"/>
              <w:right w:val="single" w:sz="4" w:space="0" w:color="auto"/>
            </w:tcBorders>
            <w:hideMark/>
          </w:tcPr>
          <w:p w14:paraId="62B2D8D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2362A4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Low-carbon transport infrastructure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0145D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H52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2E0B3E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162864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Transport Policy, Circular Economy Guidelines</w:t>
            </w:r>
          </w:p>
        </w:tc>
      </w:tr>
      <w:tr w:rsidR="009A7232" w14:paraId="4BABF037"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3FEAA4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19</w:t>
            </w:r>
          </w:p>
        </w:tc>
        <w:tc>
          <w:tcPr>
            <w:tcW w:w="0" w:type="auto"/>
            <w:vMerge/>
            <w:tcBorders>
              <w:top w:val="nil"/>
              <w:left w:val="nil"/>
              <w:bottom w:val="single" w:sz="4" w:space="0" w:color="000000"/>
              <w:right w:val="single" w:sz="4" w:space="0" w:color="auto"/>
            </w:tcBorders>
            <w:hideMark/>
          </w:tcPr>
          <w:p w14:paraId="3BD699A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2D1F9F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Sea and coastal water transport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6FE94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H501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C5418A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IMO Regulations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41FDA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IMO GHG Strategy, Hong Kong Convention</w:t>
            </w:r>
          </w:p>
        </w:tc>
      </w:tr>
      <w:tr w:rsidR="009A7232" w14:paraId="26BEADD0"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E2B48F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20</w:t>
            </w:r>
          </w:p>
        </w:tc>
        <w:tc>
          <w:tcPr>
            <w:tcW w:w="0" w:type="auto"/>
            <w:vMerge/>
            <w:tcBorders>
              <w:top w:val="nil"/>
              <w:left w:val="nil"/>
              <w:bottom w:val="single" w:sz="4" w:space="0" w:color="000000"/>
              <w:right w:val="single" w:sz="4" w:space="0" w:color="auto"/>
            </w:tcBorders>
            <w:hideMark/>
          </w:tcPr>
          <w:p w14:paraId="7D9A3305"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A42F1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Inland water transport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8B065B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H502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3C0DA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IMO Regulations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E5962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IMO GHG Strategy</w:t>
            </w:r>
          </w:p>
        </w:tc>
      </w:tr>
      <w:tr w:rsidR="009A7232" w14:paraId="5A97EC60"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C1ED56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21</w:t>
            </w:r>
          </w:p>
        </w:tc>
        <w:tc>
          <w:tcPr>
            <w:tcW w:w="0" w:type="auto"/>
            <w:vMerge/>
            <w:tcBorders>
              <w:top w:val="nil"/>
              <w:left w:val="nil"/>
              <w:bottom w:val="single" w:sz="4" w:space="0" w:color="000000"/>
              <w:right w:val="single" w:sz="4" w:space="0" w:color="auto"/>
            </w:tcBorders>
            <w:hideMark/>
          </w:tcPr>
          <w:p w14:paraId="45EDF69C"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51A940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Freight and passenger air transport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AD330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H5110, H5120, H51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A8B314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ICAO Rules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8EEC21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ICAO CORSIA, National Aviation Policy</w:t>
            </w:r>
          </w:p>
        </w:tc>
      </w:tr>
      <w:tr w:rsidR="009A7232" w14:paraId="2DA13E0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15415C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22</w:t>
            </w:r>
          </w:p>
        </w:tc>
        <w:tc>
          <w:tcPr>
            <w:tcW w:w="0" w:type="auto"/>
            <w:vMerge/>
            <w:tcBorders>
              <w:top w:val="nil"/>
              <w:left w:val="nil"/>
              <w:bottom w:val="single" w:sz="4" w:space="0" w:color="000000"/>
              <w:right w:val="single" w:sz="4" w:space="0" w:color="auto"/>
            </w:tcBorders>
            <w:hideMark/>
          </w:tcPr>
          <w:p w14:paraId="61D4A3F9"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A36D2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Research &amp; Development/Professional Services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99E9DD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1A684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11F021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Transport Policy</w:t>
            </w:r>
          </w:p>
        </w:tc>
      </w:tr>
      <w:tr w:rsidR="009A7232" w14:paraId="69D37776"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D6239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23</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3B1FE113"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Energy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10A567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Solar PV and CSP</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A4E94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59629E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D245F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 Pakistan Renewable Energy Policy</w:t>
            </w:r>
          </w:p>
        </w:tc>
      </w:tr>
      <w:tr w:rsidR="009A7232" w14:paraId="61CE0FDD"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09ADC6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24</w:t>
            </w:r>
          </w:p>
        </w:tc>
        <w:tc>
          <w:tcPr>
            <w:tcW w:w="0" w:type="auto"/>
            <w:vMerge/>
            <w:tcBorders>
              <w:top w:val="nil"/>
              <w:left w:val="nil"/>
              <w:bottom w:val="single" w:sz="4" w:space="0" w:color="000000"/>
              <w:right w:val="single" w:sz="4" w:space="0" w:color="auto"/>
            </w:tcBorders>
            <w:hideMark/>
          </w:tcPr>
          <w:p w14:paraId="00075DC1"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5A456E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Wind power</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CA6D90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E195E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3F773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0E2053D4"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9436DA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25</w:t>
            </w:r>
          </w:p>
        </w:tc>
        <w:tc>
          <w:tcPr>
            <w:tcW w:w="0" w:type="auto"/>
            <w:vMerge/>
            <w:tcBorders>
              <w:top w:val="nil"/>
              <w:left w:val="nil"/>
              <w:bottom w:val="single" w:sz="4" w:space="0" w:color="000000"/>
              <w:right w:val="single" w:sz="4" w:space="0" w:color="auto"/>
            </w:tcBorders>
            <w:hideMark/>
          </w:tcPr>
          <w:p w14:paraId="6AD337E6"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414594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Hydropower</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B1FA3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5D81E3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F0CEE5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6D2CC29E"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93CA5C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26</w:t>
            </w:r>
          </w:p>
        </w:tc>
        <w:tc>
          <w:tcPr>
            <w:tcW w:w="0" w:type="auto"/>
            <w:vMerge/>
            <w:tcBorders>
              <w:top w:val="nil"/>
              <w:left w:val="nil"/>
              <w:bottom w:val="single" w:sz="4" w:space="0" w:color="000000"/>
              <w:right w:val="single" w:sz="4" w:space="0" w:color="auto"/>
            </w:tcBorders>
            <w:hideMark/>
          </w:tcPr>
          <w:p w14:paraId="76B0EB9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C4A8B9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Geothermal energy</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DB1A2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87C18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517628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7E9F8EC6"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93309D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27</w:t>
            </w:r>
          </w:p>
        </w:tc>
        <w:tc>
          <w:tcPr>
            <w:tcW w:w="0" w:type="auto"/>
            <w:vMerge/>
            <w:tcBorders>
              <w:top w:val="nil"/>
              <w:left w:val="nil"/>
              <w:bottom w:val="single" w:sz="4" w:space="0" w:color="000000"/>
              <w:right w:val="single" w:sz="4" w:space="0" w:color="auto"/>
            </w:tcBorders>
            <w:hideMark/>
          </w:tcPr>
          <w:p w14:paraId="660DE41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DF4DFF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Bioenergy</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63FC4E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7713C5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E24A37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321DEE60"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3548E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28</w:t>
            </w:r>
          </w:p>
        </w:tc>
        <w:tc>
          <w:tcPr>
            <w:tcW w:w="0" w:type="auto"/>
            <w:vMerge/>
            <w:tcBorders>
              <w:top w:val="nil"/>
              <w:left w:val="nil"/>
              <w:bottom w:val="single" w:sz="4" w:space="0" w:color="000000"/>
              <w:right w:val="single" w:sz="4" w:space="0" w:color="auto"/>
            </w:tcBorders>
            <w:hideMark/>
          </w:tcPr>
          <w:p w14:paraId="79399875"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9AAD9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Ocean energy</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602B26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8301D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EB836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6418E0A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14EAEE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29</w:t>
            </w:r>
          </w:p>
        </w:tc>
        <w:tc>
          <w:tcPr>
            <w:tcW w:w="0" w:type="auto"/>
            <w:vMerge/>
            <w:tcBorders>
              <w:top w:val="nil"/>
              <w:left w:val="nil"/>
              <w:bottom w:val="single" w:sz="4" w:space="0" w:color="000000"/>
              <w:right w:val="single" w:sz="4" w:space="0" w:color="auto"/>
            </w:tcBorders>
            <w:hideMark/>
          </w:tcPr>
          <w:p w14:paraId="02984EC1"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811E12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Hydrogen or derivatives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0F6B6D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3D1064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4EAF07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5386BF67"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9700A9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30</w:t>
            </w:r>
          </w:p>
        </w:tc>
        <w:tc>
          <w:tcPr>
            <w:tcW w:w="0" w:type="auto"/>
            <w:vMerge/>
            <w:tcBorders>
              <w:top w:val="nil"/>
              <w:left w:val="nil"/>
              <w:bottom w:val="single" w:sz="4" w:space="0" w:color="000000"/>
              <w:right w:val="single" w:sz="4" w:space="0" w:color="auto"/>
            </w:tcBorders>
            <w:hideMark/>
          </w:tcPr>
          <w:p w14:paraId="4A53101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F9DC00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Transmission &amp; Distribution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1DE010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CD9391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6FE3E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029D914B"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369ABE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31</w:t>
            </w:r>
          </w:p>
        </w:tc>
        <w:tc>
          <w:tcPr>
            <w:tcW w:w="0" w:type="auto"/>
            <w:vMerge/>
            <w:tcBorders>
              <w:top w:val="nil"/>
              <w:left w:val="nil"/>
              <w:bottom w:val="single" w:sz="4" w:space="0" w:color="000000"/>
              <w:right w:val="single" w:sz="4" w:space="0" w:color="auto"/>
            </w:tcBorders>
            <w:hideMark/>
          </w:tcPr>
          <w:p w14:paraId="37F3D24C"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D7755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Renewable/Low-carbon gas transmission &amp; distribution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BC77B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D3520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4AB3A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D9E7C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499CA779"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1DB8F1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32</w:t>
            </w:r>
          </w:p>
        </w:tc>
        <w:tc>
          <w:tcPr>
            <w:tcW w:w="0" w:type="auto"/>
            <w:vMerge/>
            <w:tcBorders>
              <w:top w:val="nil"/>
              <w:left w:val="nil"/>
              <w:bottom w:val="single" w:sz="4" w:space="0" w:color="000000"/>
              <w:right w:val="single" w:sz="4" w:space="0" w:color="auto"/>
            </w:tcBorders>
            <w:hideMark/>
          </w:tcPr>
          <w:p w14:paraId="0F0E0D1A"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919667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Energy storage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E7C38F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EA2713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8DE0CC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1F56F765"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9D1B8D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33</w:t>
            </w:r>
          </w:p>
        </w:tc>
        <w:tc>
          <w:tcPr>
            <w:tcW w:w="0" w:type="auto"/>
            <w:vMerge/>
            <w:tcBorders>
              <w:top w:val="nil"/>
              <w:left w:val="nil"/>
              <w:bottom w:val="single" w:sz="4" w:space="0" w:color="000000"/>
              <w:right w:val="single" w:sz="4" w:space="0" w:color="auto"/>
            </w:tcBorders>
            <w:hideMark/>
          </w:tcPr>
          <w:p w14:paraId="1DAD729E"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12CEB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Low-carbon hydrogen production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6905E7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B844F2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DDE2C5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7476B8E7"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65D9A9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34</w:t>
            </w:r>
          </w:p>
        </w:tc>
        <w:tc>
          <w:tcPr>
            <w:tcW w:w="0" w:type="auto"/>
            <w:vMerge/>
            <w:tcBorders>
              <w:top w:val="nil"/>
              <w:left w:val="nil"/>
              <w:bottom w:val="single" w:sz="4" w:space="0" w:color="000000"/>
              <w:right w:val="single" w:sz="4" w:space="0" w:color="auto"/>
            </w:tcBorders>
            <w:hideMark/>
          </w:tcPr>
          <w:p w14:paraId="30012000"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63564D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Waste heat for heating/cooling</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96B22F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D3530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E2A204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125DC0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5C2F29CF"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9A0773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35</w:t>
            </w:r>
          </w:p>
        </w:tc>
        <w:tc>
          <w:tcPr>
            <w:tcW w:w="0" w:type="auto"/>
            <w:vMerge/>
            <w:tcBorders>
              <w:top w:val="nil"/>
              <w:left w:val="nil"/>
              <w:bottom w:val="single" w:sz="4" w:space="0" w:color="000000"/>
              <w:right w:val="single" w:sz="4" w:space="0" w:color="auto"/>
            </w:tcBorders>
            <w:hideMark/>
          </w:tcPr>
          <w:p w14:paraId="6C0B732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E4D225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District heating/cooling systems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02A492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D3530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14635B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D8681D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01814494"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863BFD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36</w:t>
            </w:r>
          </w:p>
        </w:tc>
        <w:tc>
          <w:tcPr>
            <w:tcW w:w="0" w:type="auto"/>
            <w:vMerge/>
            <w:tcBorders>
              <w:top w:val="nil"/>
              <w:left w:val="nil"/>
              <w:bottom w:val="single" w:sz="4" w:space="0" w:color="000000"/>
              <w:right w:val="single" w:sz="4" w:space="0" w:color="auto"/>
            </w:tcBorders>
            <w:hideMark/>
          </w:tcPr>
          <w:p w14:paraId="45C38C8C"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9F3B0D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Research &amp; Development/Professional Services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D4547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0B8443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81D278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IFC EHS, ISO 14001</w:t>
            </w:r>
          </w:p>
        </w:tc>
      </w:tr>
      <w:tr w:rsidR="009A7232" w14:paraId="5C63A084"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30848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37</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7B593A08"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Construction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9144E6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Construction of new buildings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B1084E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F4100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3C6A62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Green Building Code,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6E1B82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LEED, EDGE, HQE, National Sustainable Construction Standards</w:t>
            </w:r>
          </w:p>
        </w:tc>
      </w:tr>
      <w:tr w:rsidR="009A7232" w14:paraId="11778F7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511BFB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38</w:t>
            </w:r>
          </w:p>
        </w:tc>
        <w:tc>
          <w:tcPr>
            <w:tcW w:w="0" w:type="auto"/>
            <w:vMerge/>
            <w:tcBorders>
              <w:top w:val="nil"/>
              <w:left w:val="nil"/>
              <w:bottom w:val="single" w:sz="4" w:space="0" w:color="000000"/>
              <w:right w:val="single" w:sz="4" w:space="0" w:color="auto"/>
            </w:tcBorders>
            <w:hideMark/>
          </w:tcPr>
          <w:p w14:paraId="44F3DE0A"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A99FF7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Renovation of existing buildings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0EA96A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F4100, F4330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2A177E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Green Building Code,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80C0F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LEED, EDGE, HQE</w:t>
            </w:r>
          </w:p>
        </w:tc>
      </w:tr>
      <w:tr w:rsidR="009A7232" w14:paraId="2C2394BB"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2C8540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39</w:t>
            </w:r>
          </w:p>
        </w:tc>
        <w:tc>
          <w:tcPr>
            <w:tcW w:w="0" w:type="auto"/>
            <w:vMerge/>
            <w:tcBorders>
              <w:top w:val="nil"/>
              <w:left w:val="nil"/>
              <w:bottom w:val="single" w:sz="4" w:space="0" w:color="000000"/>
              <w:right w:val="single" w:sz="4" w:space="0" w:color="auto"/>
            </w:tcBorders>
            <w:hideMark/>
          </w:tcPr>
          <w:p w14:paraId="4A4C4B10"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BE8795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Individual measures and professional services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083878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F4321, F4322, F4329</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0F2EAD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Green Building Code,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227CE5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LEED, EDGE, HQE</w:t>
            </w:r>
          </w:p>
        </w:tc>
      </w:tr>
      <w:tr w:rsidR="009A7232" w14:paraId="31482075"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0D9B7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40</w:t>
            </w:r>
          </w:p>
        </w:tc>
        <w:tc>
          <w:tcPr>
            <w:tcW w:w="0" w:type="auto"/>
            <w:vMerge/>
            <w:tcBorders>
              <w:top w:val="nil"/>
              <w:left w:val="nil"/>
              <w:bottom w:val="single" w:sz="4" w:space="0" w:color="000000"/>
              <w:right w:val="single" w:sz="4" w:space="0" w:color="auto"/>
            </w:tcBorders>
            <w:hideMark/>
          </w:tcPr>
          <w:p w14:paraId="6111A2F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CA5678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Acquisition/ownership of buildings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08237D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L6810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EA4B56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ECBC 2023, Green Building Code, PEPA 1997</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D108B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LEED, EDGE, HQE</w:t>
            </w:r>
          </w:p>
        </w:tc>
      </w:tr>
      <w:tr w:rsidR="009A7232" w14:paraId="37D3515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712096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41</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49FEEF7C"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Water and Waste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4363DB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Collection &amp; transportation of non-hazardous waste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FE97A6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E3811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B08B53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 Sindh Waste to Energy Act</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81D51A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WHO Drinking Water Guidelines, National Bio-Safety Guidelines</w:t>
            </w:r>
          </w:p>
        </w:tc>
      </w:tr>
      <w:tr w:rsidR="009A7232" w14:paraId="3F763878"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0E5056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42</w:t>
            </w:r>
          </w:p>
        </w:tc>
        <w:tc>
          <w:tcPr>
            <w:tcW w:w="0" w:type="auto"/>
            <w:vMerge/>
            <w:tcBorders>
              <w:top w:val="nil"/>
              <w:left w:val="nil"/>
              <w:bottom w:val="single" w:sz="4" w:space="0" w:color="000000"/>
              <w:right w:val="single" w:sz="4" w:space="0" w:color="auto"/>
            </w:tcBorders>
            <w:hideMark/>
          </w:tcPr>
          <w:p w14:paraId="2D0CDEC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1CACE5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Composting of biowaste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5A778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E3821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5A78DE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 Provincial Fertilizer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7FB519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Organic Fertilizer Standards, National Bio-Safety Guidelines</w:t>
            </w:r>
          </w:p>
        </w:tc>
      </w:tr>
      <w:tr w:rsidR="009A7232" w14:paraId="601E481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5611DE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43</w:t>
            </w:r>
          </w:p>
        </w:tc>
        <w:tc>
          <w:tcPr>
            <w:tcW w:w="0" w:type="auto"/>
            <w:vMerge/>
            <w:tcBorders>
              <w:top w:val="nil"/>
              <w:left w:val="nil"/>
              <w:bottom w:val="single" w:sz="4" w:space="0" w:color="000000"/>
              <w:right w:val="single" w:sz="4" w:space="0" w:color="auto"/>
            </w:tcBorders>
            <w:hideMark/>
          </w:tcPr>
          <w:p w14:paraId="69C5C7C4"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38D8CA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Anaerobic digestion of biowaste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859FCC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E3821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F43E9F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 Provincial Fertilizer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B726F2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Organic Fertilizer Standards, National Bio-Safety Guidelines</w:t>
            </w:r>
          </w:p>
        </w:tc>
      </w:tr>
      <w:tr w:rsidR="009A7232" w14:paraId="74A9516C"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4C1556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44</w:t>
            </w:r>
          </w:p>
        </w:tc>
        <w:tc>
          <w:tcPr>
            <w:tcW w:w="0" w:type="auto"/>
            <w:vMerge/>
            <w:tcBorders>
              <w:top w:val="nil"/>
              <w:left w:val="nil"/>
              <w:bottom w:val="single" w:sz="4" w:space="0" w:color="000000"/>
              <w:right w:val="single" w:sz="4" w:space="0" w:color="auto"/>
            </w:tcBorders>
            <w:hideMark/>
          </w:tcPr>
          <w:p w14:paraId="07F72F16"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0D6157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Landfill gas capture &amp; use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002521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E3821, E3822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1430B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59DE00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International Best Practices Guide for Landfill Gas</w:t>
            </w:r>
          </w:p>
        </w:tc>
      </w:tr>
      <w:tr w:rsidR="009A7232" w14:paraId="4B7E2133"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EA5A25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45</w:t>
            </w:r>
          </w:p>
        </w:tc>
        <w:tc>
          <w:tcPr>
            <w:tcW w:w="0" w:type="auto"/>
            <w:vMerge/>
            <w:tcBorders>
              <w:top w:val="nil"/>
              <w:left w:val="nil"/>
              <w:bottom w:val="single" w:sz="4" w:space="0" w:color="000000"/>
              <w:right w:val="single" w:sz="4" w:space="0" w:color="auto"/>
            </w:tcBorders>
            <w:hideMark/>
          </w:tcPr>
          <w:p w14:paraId="53525C4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9AB7DE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Material recovery facilities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30A5D9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E3830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B52CB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805D0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Circular Economy Guidelines</w:t>
            </w:r>
          </w:p>
        </w:tc>
      </w:tr>
      <w:tr w:rsidR="009A7232" w14:paraId="1CB3EC96"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0CC6FD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46</w:t>
            </w:r>
          </w:p>
        </w:tc>
        <w:tc>
          <w:tcPr>
            <w:tcW w:w="0" w:type="auto"/>
            <w:vMerge/>
            <w:tcBorders>
              <w:top w:val="nil"/>
              <w:left w:val="nil"/>
              <w:bottom w:val="single" w:sz="4" w:space="0" w:color="000000"/>
              <w:right w:val="single" w:sz="4" w:space="0" w:color="auto"/>
            </w:tcBorders>
            <w:hideMark/>
          </w:tcPr>
          <w:p w14:paraId="7DEAEABC"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3C1C8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Research &amp; Development/Professional Services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51ED54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E9297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DE95D7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Circular Economy Guidelines</w:t>
            </w:r>
          </w:p>
        </w:tc>
      </w:tr>
      <w:tr w:rsidR="009A7232" w14:paraId="4E7AC817" w14:textId="77777777" w:rsidTr="004E6B23">
        <w:trPr>
          <w:trHeight w:val="152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D87F31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47</w:t>
            </w:r>
          </w:p>
        </w:tc>
        <w:tc>
          <w:tcPr>
            <w:tcW w:w="0" w:type="auto"/>
            <w:vMerge/>
            <w:tcBorders>
              <w:top w:val="nil"/>
              <w:left w:val="nil"/>
              <w:bottom w:val="single" w:sz="4" w:space="0" w:color="000000"/>
              <w:right w:val="single" w:sz="4" w:space="0" w:color="auto"/>
            </w:tcBorders>
            <w:hideMark/>
          </w:tcPr>
          <w:p w14:paraId="238650FD"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2DDCF4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Water collection, distribution, treatment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264C62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E3600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F13BD5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National Water Policy, Provincial Water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35351E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WHO Drinking Water Guidelines, National Water Policy</w:t>
            </w:r>
          </w:p>
        </w:tc>
      </w:tr>
      <w:tr w:rsidR="009A7232" w14:paraId="724F3803"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5AEFC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48</w:t>
            </w:r>
          </w:p>
        </w:tc>
        <w:tc>
          <w:tcPr>
            <w:tcW w:w="0" w:type="auto"/>
            <w:vMerge/>
            <w:tcBorders>
              <w:top w:val="nil"/>
              <w:left w:val="nil"/>
              <w:bottom w:val="single" w:sz="4" w:space="0" w:color="000000"/>
              <w:right w:val="single" w:sz="4" w:space="0" w:color="auto"/>
            </w:tcBorders>
            <w:hideMark/>
          </w:tcPr>
          <w:p w14:paraId="56AD5B77"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39ACA9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Sanitary sewer systems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45A949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E3700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0426B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National Water Policy</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4F53D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Sanitation Policy</w:t>
            </w:r>
          </w:p>
        </w:tc>
      </w:tr>
      <w:tr w:rsidR="009A7232" w14:paraId="168690D8"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424C90B"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49</w:t>
            </w:r>
          </w:p>
        </w:tc>
        <w:tc>
          <w:tcPr>
            <w:tcW w:w="0" w:type="auto"/>
            <w:vMerge/>
            <w:tcBorders>
              <w:top w:val="nil"/>
              <w:left w:val="nil"/>
              <w:bottom w:val="single" w:sz="4" w:space="0" w:color="000000"/>
              <w:right w:val="single" w:sz="4" w:space="0" w:color="auto"/>
            </w:tcBorders>
            <w:hideMark/>
          </w:tcPr>
          <w:p w14:paraId="724191DF"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88600E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Wastewater treatment systems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7DDCFE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E3700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37C871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National Water Policy</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563D9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Sanitation Policy</w:t>
            </w:r>
          </w:p>
        </w:tc>
      </w:tr>
      <w:tr w:rsidR="009A7232" w14:paraId="4C376EA1"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36F7C0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50</w:t>
            </w:r>
          </w:p>
        </w:tc>
        <w:tc>
          <w:tcPr>
            <w:tcW w:w="0" w:type="auto"/>
            <w:vMerge/>
            <w:tcBorders>
              <w:top w:val="nil"/>
              <w:left w:val="nil"/>
              <w:bottom w:val="single" w:sz="4" w:space="0" w:color="000000"/>
              <w:right w:val="single" w:sz="4" w:space="0" w:color="auto"/>
            </w:tcBorders>
            <w:hideMark/>
          </w:tcPr>
          <w:p w14:paraId="26F5A595"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8DE0FD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 xml:space="preserve">Investments </w:t>
            </w:r>
            <w:proofErr w:type="gramStart"/>
            <w:r>
              <w:rPr>
                <w:rFonts w:ascii="Poppins" w:hAnsi="Poppins" w:cs="Poppins"/>
                <w:color w:val="000000"/>
                <w:sz w:val="19"/>
                <w:szCs w:val="19"/>
              </w:rPr>
              <w:t>for</w:t>
            </w:r>
            <w:proofErr w:type="gramEnd"/>
            <w:r>
              <w:rPr>
                <w:rFonts w:ascii="Poppins" w:hAnsi="Poppins" w:cs="Poppins"/>
                <w:color w:val="000000"/>
                <w:sz w:val="19"/>
                <w:szCs w:val="19"/>
              </w:rPr>
              <w:t xml:space="preserve"> efficient water use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123BE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E3600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89067A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National Water Policy</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6E64D7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Water Policy, Water Accord</w:t>
            </w:r>
          </w:p>
        </w:tc>
      </w:tr>
      <w:tr w:rsidR="009A7232" w14:paraId="638D8B1B" w14:textId="77777777" w:rsidTr="004E6B23">
        <w:trPr>
          <w:trHeight w:val="152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59BF58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51</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4B25EF43"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ICT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958CD4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Data processing, storage, transmission, management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EC82B3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J6311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02F5BB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E-waste Management SOPs, PTA Regulations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43DF2B5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Digital Policy, Cloud First Policy, ISO 14001, PUE Standards</w:t>
            </w:r>
          </w:p>
        </w:tc>
      </w:tr>
      <w:tr w:rsidR="009A7232" w14:paraId="7550FF3E"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81E6BF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52</w:t>
            </w:r>
          </w:p>
        </w:tc>
        <w:tc>
          <w:tcPr>
            <w:tcW w:w="0" w:type="auto"/>
            <w:vMerge/>
            <w:tcBorders>
              <w:top w:val="nil"/>
              <w:left w:val="nil"/>
              <w:bottom w:val="single" w:sz="4" w:space="0" w:color="000000"/>
              <w:right w:val="single" w:sz="4" w:space="0" w:color="auto"/>
            </w:tcBorders>
            <w:hideMark/>
          </w:tcPr>
          <w:p w14:paraId="5221B94D"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2CEAA7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GHG-related solutions and software</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D6F96B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J6201, J6202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CF5B68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PTA Regulations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9686755"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Digital Policy, ISO 14001</w:t>
            </w:r>
          </w:p>
        </w:tc>
      </w:tr>
      <w:tr w:rsidR="009A7232" w14:paraId="687E11F1"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F5CE5C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53</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9E81806"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Tourism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7EE8D6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Ecotourism investments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5B264A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7CB5CA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PEPA 1997, National Parks Regulations, GSTC</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FADC57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GSTC Industry Criteria, National Ecotourism Policy</w:t>
            </w:r>
          </w:p>
        </w:tc>
      </w:tr>
      <w:tr w:rsidR="009A7232" w14:paraId="447F027F" w14:textId="77777777" w:rsidTr="004E6B23">
        <w:trPr>
          <w:trHeight w:val="190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78339F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54</w:t>
            </w:r>
          </w:p>
        </w:tc>
        <w:tc>
          <w:tcPr>
            <w:tcW w:w="2040" w:type="dxa"/>
            <w:vMerge w:val="restart"/>
            <w:tcBorders>
              <w:top w:val="nil"/>
              <w:left w:val="nil"/>
              <w:bottom w:val="single" w:sz="4" w:space="0" w:color="000000"/>
              <w:right w:val="single" w:sz="4" w:space="0" w:color="auto"/>
            </w:tcBorders>
            <w:shd w:val="clear" w:color="auto" w:fill="auto"/>
            <w:tcMar>
              <w:top w:w="15" w:type="dxa"/>
              <w:left w:w="15" w:type="dxa"/>
              <w:bottom w:w="0" w:type="dxa"/>
              <w:right w:w="15" w:type="dxa"/>
            </w:tcMar>
            <w:hideMark/>
          </w:tcPr>
          <w:p w14:paraId="1053BCC2" w14:textId="77777777" w:rsidR="009A7232" w:rsidRPr="00AB4543" w:rsidRDefault="009A7232" w:rsidP="004E6B23">
            <w:pPr>
              <w:rPr>
                <w:rFonts w:ascii="Poppins" w:hAnsi="Poppins" w:cs="Poppins"/>
                <w:b/>
                <w:bCs/>
                <w:color w:val="000000"/>
                <w:sz w:val="19"/>
                <w:szCs w:val="19"/>
              </w:rPr>
            </w:pPr>
            <w:r w:rsidRPr="00AB4543">
              <w:rPr>
                <w:rFonts w:ascii="Poppins" w:hAnsi="Poppins" w:cs="Poppins"/>
                <w:b/>
                <w:bCs/>
                <w:color w:val="000000"/>
                <w:sz w:val="19"/>
                <w:szCs w:val="19"/>
              </w:rPr>
              <w:t xml:space="preserve">Agriculture, Forestry, Fishing </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7D13E6"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Perennial and non-perennial crops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4714BF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A011, A012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97B8A9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Forest Policy, National Water Policy, Provincial Fertilizer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815AA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Sustainable Rice Platform, Better Cotton Initiative, Global GAP, FSC, PEFC, REDD+, National Biodiversity Strategy</w:t>
            </w:r>
          </w:p>
        </w:tc>
      </w:tr>
      <w:tr w:rsidR="009A7232" w14:paraId="5901CA05" w14:textId="77777777" w:rsidTr="004E6B23">
        <w:trPr>
          <w:trHeight w:val="190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8F8F8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55</w:t>
            </w:r>
          </w:p>
        </w:tc>
        <w:tc>
          <w:tcPr>
            <w:tcW w:w="0" w:type="auto"/>
            <w:vMerge/>
            <w:tcBorders>
              <w:top w:val="nil"/>
              <w:left w:val="nil"/>
              <w:bottom w:val="single" w:sz="4" w:space="0" w:color="000000"/>
              <w:right w:val="single" w:sz="4" w:space="0" w:color="auto"/>
            </w:tcBorders>
            <w:hideMark/>
          </w:tcPr>
          <w:p w14:paraId="39826CF6"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9AEC5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Animal production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16895D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A014</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48948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Forest Policy, National Water Policy, Provincial Fertilizer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F7790FA"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Global GAP, SPN, National Biodiversity Strategy</w:t>
            </w:r>
          </w:p>
        </w:tc>
      </w:tr>
      <w:tr w:rsidR="009A7232" w14:paraId="620836FA" w14:textId="77777777" w:rsidTr="004E6B23">
        <w:trPr>
          <w:trHeight w:val="152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4AFFDC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56</w:t>
            </w:r>
          </w:p>
        </w:tc>
        <w:tc>
          <w:tcPr>
            <w:tcW w:w="0" w:type="auto"/>
            <w:vMerge/>
            <w:tcBorders>
              <w:top w:val="nil"/>
              <w:left w:val="nil"/>
              <w:bottom w:val="single" w:sz="4" w:space="0" w:color="000000"/>
              <w:right w:val="single" w:sz="4" w:space="0" w:color="auto"/>
            </w:tcBorders>
            <w:hideMark/>
          </w:tcPr>
          <w:p w14:paraId="5EA6AA15"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AD7C0B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Sustainable forest management</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2092B9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A0200, A0210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4D8E930"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Forest Policy, National Climate Change Policy</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076A0E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FSC, PEFC, Rainforest Alliance, National Forest Monitoring System</w:t>
            </w:r>
          </w:p>
        </w:tc>
      </w:tr>
      <w:tr w:rsidR="009A7232" w14:paraId="0C41B7F9" w14:textId="77777777" w:rsidTr="004E6B23">
        <w:trPr>
          <w:trHeight w:val="152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0320C5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57</w:t>
            </w:r>
          </w:p>
        </w:tc>
        <w:tc>
          <w:tcPr>
            <w:tcW w:w="0" w:type="auto"/>
            <w:vMerge/>
            <w:tcBorders>
              <w:top w:val="nil"/>
              <w:left w:val="nil"/>
              <w:bottom w:val="single" w:sz="4" w:space="0" w:color="000000"/>
              <w:right w:val="single" w:sz="4" w:space="0" w:color="auto"/>
            </w:tcBorders>
            <w:hideMark/>
          </w:tcPr>
          <w:p w14:paraId="4B0FF351"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DF64D8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Forestry plantation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2D0A265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A0200, A0210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96DA4B4"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Forest Policy, National Climate Change Policy</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E548A11"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FSC, PEFC, Rainforest Alliance</w:t>
            </w:r>
          </w:p>
        </w:tc>
      </w:tr>
      <w:tr w:rsidR="009A7232" w14:paraId="5C91808B" w14:textId="77777777" w:rsidTr="004E6B23">
        <w:trPr>
          <w:trHeight w:val="152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03B806E"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lastRenderedPageBreak/>
              <w:t>58</w:t>
            </w:r>
          </w:p>
        </w:tc>
        <w:tc>
          <w:tcPr>
            <w:tcW w:w="0" w:type="auto"/>
            <w:vMerge/>
            <w:tcBorders>
              <w:top w:val="nil"/>
              <w:left w:val="nil"/>
              <w:bottom w:val="single" w:sz="4" w:space="0" w:color="000000"/>
              <w:right w:val="single" w:sz="4" w:space="0" w:color="auto"/>
            </w:tcBorders>
            <w:hideMark/>
          </w:tcPr>
          <w:p w14:paraId="15BAE5EA"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E12EF57"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Conservation, restoration, maintenance of natural forests</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774B25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A0200, A0210</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2E9EC3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Forest Policy, National Climate Change Policy</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73173678"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FSC, PEFC, Rainforest Alliance, REDD+</w:t>
            </w:r>
          </w:p>
        </w:tc>
      </w:tr>
      <w:tr w:rsidR="009A7232" w14:paraId="18DE9C5E"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4FD448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59</w:t>
            </w:r>
          </w:p>
        </w:tc>
        <w:tc>
          <w:tcPr>
            <w:tcW w:w="0" w:type="auto"/>
            <w:vMerge/>
            <w:tcBorders>
              <w:top w:val="nil"/>
              <w:left w:val="nil"/>
              <w:bottom w:val="single" w:sz="4" w:space="0" w:color="000000"/>
              <w:right w:val="single" w:sz="4" w:space="0" w:color="auto"/>
            </w:tcBorders>
            <w:hideMark/>
          </w:tcPr>
          <w:p w14:paraId="133A44A3"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3D67DC0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Sustainable aquaculture production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4710F4C"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A031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064C22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Fisheries Policy, Provincial Fisheries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04785EEF"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Aquaculture Stewardship Council, Global GAP</w:t>
            </w:r>
          </w:p>
        </w:tc>
      </w:tr>
      <w:tr w:rsidR="009A7232" w14:paraId="0CDE4507" w14:textId="77777777" w:rsidTr="004E6B23">
        <w:trPr>
          <w:trHeight w:val="1140"/>
        </w:trPr>
        <w:tc>
          <w:tcPr>
            <w:tcW w:w="940"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14:paraId="2F2175B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60</w:t>
            </w:r>
          </w:p>
        </w:tc>
        <w:tc>
          <w:tcPr>
            <w:tcW w:w="0" w:type="auto"/>
            <w:vMerge/>
            <w:tcBorders>
              <w:top w:val="nil"/>
              <w:left w:val="nil"/>
              <w:bottom w:val="single" w:sz="4" w:space="0" w:color="000000"/>
              <w:right w:val="single" w:sz="4" w:space="0" w:color="auto"/>
            </w:tcBorders>
            <w:hideMark/>
          </w:tcPr>
          <w:p w14:paraId="31AD2CAB" w14:textId="77777777" w:rsidR="009A7232" w:rsidRPr="00AB4543" w:rsidRDefault="009A7232" w:rsidP="004E6B23">
            <w:pPr>
              <w:rPr>
                <w:rFonts w:ascii="Poppins"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977163"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Sustainable fishing production</w:t>
            </w:r>
          </w:p>
        </w:tc>
        <w:tc>
          <w:tcPr>
            <w:tcW w:w="20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5BE5D7ED"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A032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1B998DB2"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National Fisheries Policy, Provincial Fisheries Acts</w:t>
            </w:r>
          </w:p>
        </w:tc>
        <w:tc>
          <w:tcPr>
            <w:tcW w:w="276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14:paraId="6CDD9D09" w14:textId="77777777" w:rsidR="009A7232" w:rsidRDefault="009A7232" w:rsidP="004E6B23">
            <w:pPr>
              <w:rPr>
                <w:rFonts w:ascii="Poppins" w:hAnsi="Poppins" w:cs="Poppins"/>
                <w:color w:val="000000"/>
                <w:sz w:val="19"/>
                <w:szCs w:val="19"/>
              </w:rPr>
            </w:pPr>
            <w:r>
              <w:rPr>
                <w:rFonts w:ascii="Poppins" w:hAnsi="Poppins" w:cs="Poppins"/>
                <w:color w:val="000000"/>
                <w:sz w:val="19"/>
                <w:szCs w:val="19"/>
              </w:rPr>
              <w:t>Marine Stewardship Council, Fairtrade Fisheries Standard</w:t>
            </w:r>
          </w:p>
        </w:tc>
      </w:tr>
    </w:tbl>
    <w:p w14:paraId="39085077" w14:textId="460AE09B" w:rsidR="009A7232" w:rsidRDefault="009A7232">
      <w:pPr>
        <w:rPr>
          <w:rFonts w:ascii="Poppins" w:hAnsi="Poppins" w:cs="Poppins"/>
          <w:sz w:val="20"/>
          <w:szCs w:val="20"/>
        </w:rPr>
      </w:pPr>
      <w:r>
        <w:rPr>
          <w:rFonts w:ascii="Poppins" w:hAnsi="Poppins" w:cs="Poppins"/>
          <w:sz w:val="20"/>
          <w:szCs w:val="20"/>
        </w:rPr>
        <w:t xml:space="preserve"> </w:t>
      </w:r>
      <w:r>
        <w:rPr>
          <w:rFonts w:ascii="Poppins" w:hAnsi="Poppins" w:cs="Poppins"/>
          <w:sz w:val="20"/>
          <w:szCs w:val="20"/>
        </w:rPr>
        <w:br w:type="page"/>
      </w:r>
    </w:p>
    <w:tbl>
      <w:tblPr>
        <w:tblW w:w="11840" w:type="dxa"/>
        <w:tblLook w:val="04A0" w:firstRow="1" w:lastRow="0" w:firstColumn="1" w:lastColumn="0" w:noHBand="0" w:noVBand="1"/>
      </w:tblPr>
      <w:tblGrid>
        <w:gridCol w:w="940"/>
        <w:gridCol w:w="2040"/>
        <w:gridCol w:w="2120"/>
        <w:gridCol w:w="2040"/>
        <w:gridCol w:w="1940"/>
        <w:gridCol w:w="2760"/>
      </w:tblGrid>
      <w:tr w:rsidR="00156430" w:rsidRPr="00156430" w14:paraId="23665CA5" w14:textId="77777777" w:rsidTr="002E7DF0">
        <w:trPr>
          <w:trHeight w:val="380"/>
          <w:tblHeader/>
        </w:trPr>
        <w:tc>
          <w:tcPr>
            <w:tcW w:w="940" w:type="dxa"/>
            <w:tcBorders>
              <w:top w:val="single" w:sz="4" w:space="0" w:color="auto"/>
              <w:left w:val="single" w:sz="4" w:space="0" w:color="auto"/>
              <w:bottom w:val="single" w:sz="4" w:space="0" w:color="auto"/>
              <w:right w:val="single" w:sz="4" w:space="0" w:color="auto"/>
            </w:tcBorders>
            <w:shd w:val="clear" w:color="auto" w:fill="auto"/>
            <w:hideMark/>
          </w:tcPr>
          <w:p w14:paraId="495EBCD3"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lastRenderedPageBreak/>
              <w:t xml:space="preserve">Sr. No. </w:t>
            </w:r>
          </w:p>
        </w:tc>
        <w:tc>
          <w:tcPr>
            <w:tcW w:w="2040" w:type="dxa"/>
            <w:tcBorders>
              <w:top w:val="single" w:sz="4" w:space="0" w:color="auto"/>
              <w:left w:val="nil"/>
              <w:bottom w:val="single" w:sz="4" w:space="0" w:color="auto"/>
              <w:right w:val="single" w:sz="4" w:space="0" w:color="auto"/>
            </w:tcBorders>
            <w:shd w:val="clear" w:color="auto" w:fill="auto"/>
            <w:hideMark/>
          </w:tcPr>
          <w:p w14:paraId="527ECC82"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Sector / Department</w:t>
            </w:r>
          </w:p>
        </w:tc>
        <w:tc>
          <w:tcPr>
            <w:tcW w:w="2120" w:type="dxa"/>
            <w:tcBorders>
              <w:top w:val="single" w:sz="4" w:space="0" w:color="auto"/>
              <w:left w:val="nil"/>
              <w:bottom w:val="single" w:sz="4" w:space="0" w:color="auto"/>
              <w:right w:val="single" w:sz="4" w:space="0" w:color="auto"/>
            </w:tcBorders>
            <w:shd w:val="clear" w:color="auto" w:fill="auto"/>
            <w:hideMark/>
          </w:tcPr>
          <w:p w14:paraId="6578799B"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Key Activity / Sub-sector</w:t>
            </w:r>
          </w:p>
        </w:tc>
        <w:tc>
          <w:tcPr>
            <w:tcW w:w="2040" w:type="dxa"/>
            <w:tcBorders>
              <w:top w:val="single" w:sz="4" w:space="0" w:color="auto"/>
              <w:left w:val="nil"/>
              <w:bottom w:val="single" w:sz="4" w:space="0" w:color="auto"/>
              <w:right w:val="single" w:sz="4" w:space="0" w:color="auto"/>
            </w:tcBorders>
            <w:shd w:val="clear" w:color="auto" w:fill="auto"/>
            <w:hideMark/>
          </w:tcPr>
          <w:p w14:paraId="59DE1C1A"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Codes (ISIC/PSIC)</w:t>
            </w:r>
          </w:p>
        </w:tc>
        <w:tc>
          <w:tcPr>
            <w:tcW w:w="1940" w:type="dxa"/>
            <w:tcBorders>
              <w:top w:val="single" w:sz="4" w:space="0" w:color="auto"/>
              <w:left w:val="nil"/>
              <w:bottom w:val="single" w:sz="4" w:space="0" w:color="auto"/>
              <w:right w:val="single" w:sz="4" w:space="0" w:color="auto"/>
            </w:tcBorders>
            <w:shd w:val="clear" w:color="auto" w:fill="auto"/>
            <w:hideMark/>
          </w:tcPr>
          <w:p w14:paraId="38E907C2"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Relevant Laws &amp; Regulations</w:t>
            </w:r>
          </w:p>
        </w:tc>
        <w:tc>
          <w:tcPr>
            <w:tcW w:w="2760" w:type="dxa"/>
            <w:tcBorders>
              <w:top w:val="single" w:sz="4" w:space="0" w:color="auto"/>
              <w:left w:val="nil"/>
              <w:bottom w:val="single" w:sz="4" w:space="0" w:color="auto"/>
              <w:right w:val="single" w:sz="4" w:space="0" w:color="auto"/>
            </w:tcBorders>
            <w:shd w:val="clear" w:color="auto" w:fill="auto"/>
            <w:hideMark/>
          </w:tcPr>
          <w:p w14:paraId="5EDB700C"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Key Policies / Frameworks / Standards</w:t>
            </w:r>
          </w:p>
        </w:tc>
      </w:tr>
      <w:tr w:rsidR="00156430" w:rsidRPr="00156430" w14:paraId="51B313FA"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28FCE914"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w:t>
            </w:r>
          </w:p>
        </w:tc>
        <w:tc>
          <w:tcPr>
            <w:tcW w:w="2040" w:type="dxa"/>
            <w:vMerge w:val="restart"/>
            <w:tcBorders>
              <w:top w:val="nil"/>
              <w:left w:val="nil"/>
              <w:bottom w:val="single" w:sz="4" w:space="0" w:color="000000"/>
              <w:right w:val="single" w:sz="4" w:space="0" w:color="auto"/>
            </w:tcBorders>
            <w:shd w:val="clear" w:color="auto" w:fill="auto"/>
            <w:hideMark/>
          </w:tcPr>
          <w:p w14:paraId="09867484"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Water </w:t>
            </w:r>
          </w:p>
        </w:tc>
        <w:tc>
          <w:tcPr>
            <w:tcW w:w="2120" w:type="dxa"/>
            <w:tcBorders>
              <w:top w:val="nil"/>
              <w:left w:val="nil"/>
              <w:bottom w:val="single" w:sz="4" w:space="0" w:color="auto"/>
              <w:right w:val="single" w:sz="4" w:space="0" w:color="auto"/>
            </w:tcBorders>
            <w:shd w:val="clear" w:color="auto" w:fill="auto"/>
            <w:hideMark/>
          </w:tcPr>
          <w:p w14:paraId="0630B40A"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Climate-resilient water supply infrastructure</w:t>
            </w:r>
          </w:p>
        </w:tc>
        <w:tc>
          <w:tcPr>
            <w:tcW w:w="2040" w:type="dxa"/>
            <w:tcBorders>
              <w:top w:val="nil"/>
              <w:left w:val="nil"/>
              <w:bottom w:val="single" w:sz="4" w:space="0" w:color="auto"/>
              <w:right w:val="single" w:sz="4" w:space="0" w:color="auto"/>
            </w:tcBorders>
            <w:shd w:val="clear" w:color="auto" w:fill="auto"/>
            <w:hideMark/>
          </w:tcPr>
          <w:p w14:paraId="15778D1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E3600</w:t>
            </w:r>
          </w:p>
        </w:tc>
        <w:tc>
          <w:tcPr>
            <w:tcW w:w="1940" w:type="dxa"/>
            <w:tcBorders>
              <w:top w:val="nil"/>
              <w:left w:val="nil"/>
              <w:bottom w:val="single" w:sz="4" w:space="0" w:color="auto"/>
              <w:right w:val="single" w:sz="4" w:space="0" w:color="auto"/>
            </w:tcBorders>
            <w:shd w:val="clear" w:color="auto" w:fill="auto"/>
            <w:hideMark/>
          </w:tcPr>
          <w:p w14:paraId="266BB02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National Water Policy, Provincial Water Acts</w:t>
            </w:r>
          </w:p>
        </w:tc>
        <w:tc>
          <w:tcPr>
            <w:tcW w:w="2760" w:type="dxa"/>
            <w:tcBorders>
              <w:top w:val="nil"/>
              <w:left w:val="nil"/>
              <w:bottom w:val="single" w:sz="4" w:space="0" w:color="auto"/>
              <w:right w:val="single" w:sz="4" w:space="0" w:color="auto"/>
            </w:tcBorders>
            <w:shd w:val="clear" w:color="auto" w:fill="auto"/>
            <w:hideMark/>
          </w:tcPr>
          <w:p w14:paraId="0C527083"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Water Policy, National Adaptation Plan, WHO Drinking Water Guidelines</w:t>
            </w:r>
          </w:p>
        </w:tc>
      </w:tr>
      <w:tr w:rsidR="00156430" w:rsidRPr="00156430" w14:paraId="6A2B92B3"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5E12351C"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2</w:t>
            </w:r>
          </w:p>
        </w:tc>
        <w:tc>
          <w:tcPr>
            <w:tcW w:w="2040" w:type="dxa"/>
            <w:vMerge/>
            <w:tcBorders>
              <w:top w:val="nil"/>
              <w:left w:val="nil"/>
              <w:bottom w:val="single" w:sz="4" w:space="0" w:color="000000"/>
              <w:right w:val="single" w:sz="4" w:space="0" w:color="auto"/>
            </w:tcBorders>
            <w:hideMark/>
          </w:tcPr>
          <w:p w14:paraId="7B8C6476"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53F6F54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Flood management and drainage systems</w:t>
            </w:r>
          </w:p>
        </w:tc>
        <w:tc>
          <w:tcPr>
            <w:tcW w:w="2040" w:type="dxa"/>
            <w:tcBorders>
              <w:top w:val="nil"/>
              <w:left w:val="nil"/>
              <w:bottom w:val="single" w:sz="4" w:space="0" w:color="auto"/>
              <w:right w:val="single" w:sz="4" w:space="0" w:color="auto"/>
            </w:tcBorders>
            <w:shd w:val="clear" w:color="auto" w:fill="auto"/>
            <w:hideMark/>
          </w:tcPr>
          <w:p w14:paraId="442CB315"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E3700</w:t>
            </w:r>
          </w:p>
        </w:tc>
        <w:tc>
          <w:tcPr>
            <w:tcW w:w="1940" w:type="dxa"/>
            <w:tcBorders>
              <w:top w:val="nil"/>
              <w:left w:val="nil"/>
              <w:bottom w:val="single" w:sz="4" w:space="0" w:color="auto"/>
              <w:right w:val="single" w:sz="4" w:space="0" w:color="auto"/>
            </w:tcBorders>
            <w:shd w:val="clear" w:color="auto" w:fill="auto"/>
            <w:hideMark/>
          </w:tcPr>
          <w:p w14:paraId="01DF040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Provincial Irrigation Acts</w:t>
            </w:r>
          </w:p>
        </w:tc>
        <w:tc>
          <w:tcPr>
            <w:tcW w:w="2760" w:type="dxa"/>
            <w:tcBorders>
              <w:top w:val="nil"/>
              <w:left w:val="nil"/>
              <w:bottom w:val="single" w:sz="4" w:space="0" w:color="auto"/>
              <w:right w:val="single" w:sz="4" w:space="0" w:color="auto"/>
            </w:tcBorders>
            <w:shd w:val="clear" w:color="auto" w:fill="auto"/>
            <w:hideMark/>
          </w:tcPr>
          <w:p w14:paraId="63A91F8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Flood Response Plan, National Disaster Risk Management Framework</w:t>
            </w:r>
          </w:p>
        </w:tc>
      </w:tr>
      <w:tr w:rsidR="00156430" w:rsidRPr="00156430" w14:paraId="5790D100"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24A7DC4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3</w:t>
            </w:r>
          </w:p>
        </w:tc>
        <w:tc>
          <w:tcPr>
            <w:tcW w:w="2040" w:type="dxa"/>
            <w:vMerge/>
            <w:tcBorders>
              <w:top w:val="nil"/>
              <w:left w:val="nil"/>
              <w:bottom w:val="single" w:sz="4" w:space="0" w:color="000000"/>
              <w:right w:val="single" w:sz="4" w:space="0" w:color="auto"/>
            </w:tcBorders>
            <w:hideMark/>
          </w:tcPr>
          <w:p w14:paraId="56B993C9"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28676E9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Climate-resilient irrigation systems</w:t>
            </w:r>
          </w:p>
        </w:tc>
        <w:tc>
          <w:tcPr>
            <w:tcW w:w="2040" w:type="dxa"/>
            <w:tcBorders>
              <w:top w:val="nil"/>
              <w:left w:val="nil"/>
              <w:bottom w:val="single" w:sz="4" w:space="0" w:color="auto"/>
              <w:right w:val="single" w:sz="4" w:space="0" w:color="auto"/>
            </w:tcBorders>
            <w:shd w:val="clear" w:color="auto" w:fill="auto"/>
            <w:hideMark/>
          </w:tcPr>
          <w:p w14:paraId="230B931E"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A012</w:t>
            </w:r>
          </w:p>
        </w:tc>
        <w:tc>
          <w:tcPr>
            <w:tcW w:w="1940" w:type="dxa"/>
            <w:tcBorders>
              <w:top w:val="nil"/>
              <w:left w:val="nil"/>
              <w:bottom w:val="single" w:sz="4" w:space="0" w:color="auto"/>
              <w:right w:val="single" w:sz="4" w:space="0" w:color="auto"/>
            </w:tcBorders>
            <w:shd w:val="clear" w:color="auto" w:fill="auto"/>
            <w:hideMark/>
          </w:tcPr>
          <w:p w14:paraId="0E17B91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Provincial Irrigation Acts</w:t>
            </w:r>
          </w:p>
        </w:tc>
        <w:tc>
          <w:tcPr>
            <w:tcW w:w="2760" w:type="dxa"/>
            <w:tcBorders>
              <w:top w:val="nil"/>
              <w:left w:val="nil"/>
              <w:bottom w:val="single" w:sz="4" w:space="0" w:color="auto"/>
              <w:right w:val="single" w:sz="4" w:space="0" w:color="auto"/>
            </w:tcBorders>
            <w:shd w:val="clear" w:color="auto" w:fill="auto"/>
            <w:hideMark/>
          </w:tcPr>
          <w:p w14:paraId="3F23B2D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Water Policy, Climate-Smart Agriculture Guidelines</w:t>
            </w:r>
          </w:p>
        </w:tc>
      </w:tr>
      <w:tr w:rsidR="00156430" w:rsidRPr="00156430" w14:paraId="4396CFBE"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69AEC03E"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4</w:t>
            </w:r>
          </w:p>
        </w:tc>
        <w:tc>
          <w:tcPr>
            <w:tcW w:w="2040" w:type="dxa"/>
            <w:vMerge/>
            <w:tcBorders>
              <w:top w:val="nil"/>
              <w:left w:val="nil"/>
              <w:bottom w:val="single" w:sz="4" w:space="0" w:color="000000"/>
              <w:right w:val="single" w:sz="4" w:space="0" w:color="auto"/>
            </w:tcBorders>
            <w:hideMark/>
          </w:tcPr>
          <w:p w14:paraId="70120328"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7E10004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Drought management and water conservation</w:t>
            </w:r>
          </w:p>
        </w:tc>
        <w:tc>
          <w:tcPr>
            <w:tcW w:w="2040" w:type="dxa"/>
            <w:tcBorders>
              <w:top w:val="nil"/>
              <w:left w:val="nil"/>
              <w:bottom w:val="single" w:sz="4" w:space="0" w:color="auto"/>
              <w:right w:val="single" w:sz="4" w:space="0" w:color="auto"/>
            </w:tcBorders>
            <w:shd w:val="clear" w:color="auto" w:fill="auto"/>
            <w:hideMark/>
          </w:tcPr>
          <w:p w14:paraId="46E8840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E3600</w:t>
            </w:r>
          </w:p>
        </w:tc>
        <w:tc>
          <w:tcPr>
            <w:tcW w:w="1940" w:type="dxa"/>
            <w:tcBorders>
              <w:top w:val="nil"/>
              <w:left w:val="nil"/>
              <w:bottom w:val="single" w:sz="4" w:space="0" w:color="auto"/>
              <w:right w:val="single" w:sz="4" w:space="0" w:color="auto"/>
            </w:tcBorders>
            <w:shd w:val="clear" w:color="auto" w:fill="auto"/>
            <w:hideMark/>
          </w:tcPr>
          <w:p w14:paraId="611DFCB3"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National Water Policy</w:t>
            </w:r>
          </w:p>
        </w:tc>
        <w:tc>
          <w:tcPr>
            <w:tcW w:w="2760" w:type="dxa"/>
            <w:tcBorders>
              <w:top w:val="nil"/>
              <w:left w:val="nil"/>
              <w:bottom w:val="single" w:sz="4" w:space="0" w:color="auto"/>
              <w:right w:val="single" w:sz="4" w:space="0" w:color="auto"/>
            </w:tcBorders>
            <w:shd w:val="clear" w:color="auto" w:fill="auto"/>
            <w:hideMark/>
          </w:tcPr>
          <w:p w14:paraId="5674380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Drought Policy, National Adaptation Plan</w:t>
            </w:r>
          </w:p>
        </w:tc>
      </w:tr>
      <w:tr w:rsidR="00156430" w:rsidRPr="00156430" w14:paraId="784DF843"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0BAC8C6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5</w:t>
            </w:r>
          </w:p>
        </w:tc>
        <w:tc>
          <w:tcPr>
            <w:tcW w:w="2040" w:type="dxa"/>
            <w:vMerge/>
            <w:tcBorders>
              <w:top w:val="nil"/>
              <w:left w:val="nil"/>
              <w:bottom w:val="single" w:sz="4" w:space="0" w:color="000000"/>
              <w:right w:val="single" w:sz="4" w:space="0" w:color="auto"/>
            </w:tcBorders>
            <w:hideMark/>
          </w:tcPr>
          <w:p w14:paraId="759255B4"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09EECCE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Wetland and watershed restoration</w:t>
            </w:r>
          </w:p>
        </w:tc>
        <w:tc>
          <w:tcPr>
            <w:tcW w:w="2040" w:type="dxa"/>
            <w:tcBorders>
              <w:top w:val="nil"/>
              <w:left w:val="nil"/>
              <w:bottom w:val="single" w:sz="4" w:space="0" w:color="auto"/>
              <w:right w:val="single" w:sz="4" w:space="0" w:color="auto"/>
            </w:tcBorders>
            <w:shd w:val="clear" w:color="auto" w:fill="auto"/>
            <w:hideMark/>
          </w:tcPr>
          <w:p w14:paraId="2936C28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E3600, A0210</w:t>
            </w:r>
          </w:p>
        </w:tc>
        <w:tc>
          <w:tcPr>
            <w:tcW w:w="1940" w:type="dxa"/>
            <w:tcBorders>
              <w:top w:val="nil"/>
              <w:left w:val="nil"/>
              <w:bottom w:val="single" w:sz="4" w:space="0" w:color="auto"/>
              <w:right w:val="single" w:sz="4" w:space="0" w:color="auto"/>
            </w:tcBorders>
            <w:shd w:val="clear" w:color="auto" w:fill="auto"/>
            <w:hideMark/>
          </w:tcPr>
          <w:p w14:paraId="34D2B43A"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Ramsar Convention, Provincial Forest Acts</w:t>
            </w:r>
          </w:p>
        </w:tc>
        <w:tc>
          <w:tcPr>
            <w:tcW w:w="2760" w:type="dxa"/>
            <w:tcBorders>
              <w:top w:val="nil"/>
              <w:left w:val="nil"/>
              <w:bottom w:val="single" w:sz="4" w:space="0" w:color="auto"/>
              <w:right w:val="single" w:sz="4" w:space="0" w:color="auto"/>
            </w:tcBorders>
            <w:shd w:val="clear" w:color="auto" w:fill="auto"/>
            <w:hideMark/>
          </w:tcPr>
          <w:p w14:paraId="1258EB7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Ramsar Convention, National Wetlands Policy, National Biodiversity Strategy</w:t>
            </w:r>
          </w:p>
        </w:tc>
      </w:tr>
      <w:tr w:rsidR="00156430" w:rsidRPr="00156430" w14:paraId="35DC3592"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623A1FD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6</w:t>
            </w:r>
          </w:p>
        </w:tc>
        <w:tc>
          <w:tcPr>
            <w:tcW w:w="2040" w:type="dxa"/>
            <w:vMerge w:val="restart"/>
            <w:tcBorders>
              <w:top w:val="nil"/>
              <w:left w:val="nil"/>
              <w:bottom w:val="single" w:sz="4" w:space="0" w:color="000000"/>
              <w:right w:val="single" w:sz="4" w:space="0" w:color="auto"/>
            </w:tcBorders>
            <w:shd w:val="clear" w:color="auto" w:fill="auto"/>
            <w:hideMark/>
          </w:tcPr>
          <w:p w14:paraId="6AE484E5"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Transportation </w:t>
            </w:r>
          </w:p>
        </w:tc>
        <w:tc>
          <w:tcPr>
            <w:tcW w:w="2120" w:type="dxa"/>
            <w:tcBorders>
              <w:top w:val="nil"/>
              <w:left w:val="nil"/>
              <w:bottom w:val="single" w:sz="4" w:space="0" w:color="auto"/>
              <w:right w:val="single" w:sz="4" w:space="0" w:color="auto"/>
            </w:tcBorders>
            <w:shd w:val="clear" w:color="auto" w:fill="auto"/>
            <w:hideMark/>
          </w:tcPr>
          <w:p w14:paraId="5BCB46D1" w14:textId="661503A4" w:rsidR="00156430" w:rsidRPr="00156430" w:rsidRDefault="00320DFA"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Climate-resilient Road</w:t>
            </w:r>
            <w:r w:rsidR="00156430" w:rsidRPr="00156430">
              <w:rPr>
                <w:rFonts w:ascii="Poppins" w:eastAsia="Times New Roman" w:hAnsi="Poppins" w:cs="Poppins"/>
                <w:color w:val="000000"/>
                <w:sz w:val="19"/>
                <w:szCs w:val="19"/>
              </w:rPr>
              <w:t xml:space="preserve"> and bridge infrastructure</w:t>
            </w:r>
          </w:p>
        </w:tc>
        <w:tc>
          <w:tcPr>
            <w:tcW w:w="2040" w:type="dxa"/>
            <w:tcBorders>
              <w:top w:val="nil"/>
              <w:left w:val="nil"/>
              <w:bottom w:val="single" w:sz="4" w:space="0" w:color="auto"/>
              <w:right w:val="single" w:sz="4" w:space="0" w:color="auto"/>
            </w:tcBorders>
            <w:shd w:val="clear" w:color="auto" w:fill="auto"/>
            <w:hideMark/>
          </w:tcPr>
          <w:p w14:paraId="2068A30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F4210, F4220</w:t>
            </w:r>
          </w:p>
        </w:tc>
        <w:tc>
          <w:tcPr>
            <w:tcW w:w="1940" w:type="dxa"/>
            <w:tcBorders>
              <w:top w:val="nil"/>
              <w:left w:val="nil"/>
              <w:bottom w:val="single" w:sz="4" w:space="0" w:color="auto"/>
              <w:right w:val="single" w:sz="4" w:space="0" w:color="auto"/>
            </w:tcBorders>
            <w:shd w:val="clear" w:color="auto" w:fill="auto"/>
            <w:hideMark/>
          </w:tcPr>
          <w:p w14:paraId="694435D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National Highway Authority Act</w:t>
            </w:r>
          </w:p>
        </w:tc>
        <w:tc>
          <w:tcPr>
            <w:tcW w:w="2760" w:type="dxa"/>
            <w:tcBorders>
              <w:top w:val="nil"/>
              <w:left w:val="nil"/>
              <w:bottom w:val="single" w:sz="4" w:space="0" w:color="auto"/>
              <w:right w:val="single" w:sz="4" w:space="0" w:color="auto"/>
            </w:tcBorders>
            <w:shd w:val="clear" w:color="auto" w:fill="auto"/>
            <w:hideMark/>
          </w:tcPr>
          <w:p w14:paraId="78D24634"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Transport Policy, National Adaptation Plan</w:t>
            </w:r>
          </w:p>
        </w:tc>
      </w:tr>
      <w:tr w:rsidR="00156430" w:rsidRPr="00156430" w14:paraId="56C164DC"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5C00057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7</w:t>
            </w:r>
          </w:p>
        </w:tc>
        <w:tc>
          <w:tcPr>
            <w:tcW w:w="2040" w:type="dxa"/>
            <w:vMerge/>
            <w:tcBorders>
              <w:top w:val="nil"/>
              <w:left w:val="nil"/>
              <w:bottom w:val="single" w:sz="4" w:space="0" w:color="000000"/>
              <w:right w:val="single" w:sz="4" w:space="0" w:color="auto"/>
            </w:tcBorders>
            <w:hideMark/>
          </w:tcPr>
          <w:p w14:paraId="07DEA7DC"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03DA5F8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Flood-proofing of transport networks</w:t>
            </w:r>
          </w:p>
        </w:tc>
        <w:tc>
          <w:tcPr>
            <w:tcW w:w="2040" w:type="dxa"/>
            <w:tcBorders>
              <w:top w:val="nil"/>
              <w:left w:val="nil"/>
              <w:bottom w:val="single" w:sz="4" w:space="0" w:color="auto"/>
              <w:right w:val="single" w:sz="4" w:space="0" w:color="auto"/>
            </w:tcBorders>
            <w:shd w:val="clear" w:color="auto" w:fill="auto"/>
            <w:hideMark/>
          </w:tcPr>
          <w:p w14:paraId="6B9008F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F4210, F4220</w:t>
            </w:r>
          </w:p>
        </w:tc>
        <w:tc>
          <w:tcPr>
            <w:tcW w:w="1940" w:type="dxa"/>
            <w:tcBorders>
              <w:top w:val="nil"/>
              <w:left w:val="nil"/>
              <w:bottom w:val="single" w:sz="4" w:space="0" w:color="auto"/>
              <w:right w:val="single" w:sz="4" w:space="0" w:color="auto"/>
            </w:tcBorders>
            <w:shd w:val="clear" w:color="auto" w:fill="auto"/>
            <w:hideMark/>
          </w:tcPr>
          <w:p w14:paraId="0FB427A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National Highway Authority Act</w:t>
            </w:r>
          </w:p>
        </w:tc>
        <w:tc>
          <w:tcPr>
            <w:tcW w:w="2760" w:type="dxa"/>
            <w:tcBorders>
              <w:top w:val="nil"/>
              <w:left w:val="nil"/>
              <w:bottom w:val="single" w:sz="4" w:space="0" w:color="auto"/>
              <w:right w:val="single" w:sz="4" w:space="0" w:color="auto"/>
            </w:tcBorders>
            <w:shd w:val="clear" w:color="auto" w:fill="auto"/>
            <w:hideMark/>
          </w:tcPr>
          <w:p w14:paraId="0D60D46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Risk Management Framework</w:t>
            </w:r>
          </w:p>
        </w:tc>
      </w:tr>
      <w:tr w:rsidR="00156430" w:rsidRPr="00156430" w14:paraId="2DECA899"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544725E9"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8</w:t>
            </w:r>
          </w:p>
        </w:tc>
        <w:tc>
          <w:tcPr>
            <w:tcW w:w="2040" w:type="dxa"/>
            <w:vMerge w:val="restart"/>
            <w:tcBorders>
              <w:top w:val="nil"/>
              <w:left w:val="nil"/>
              <w:bottom w:val="single" w:sz="4" w:space="0" w:color="000000"/>
              <w:right w:val="single" w:sz="4" w:space="0" w:color="auto"/>
            </w:tcBorders>
            <w:shd w:val="clear" w:color="auto" w:fill="auto"/>
            <w:hideMark/>
          </w:tcPr>
          <w:p w14:paraId="48863B41"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ICT </w:t>
            </w:r>
          </w:p>
        </w:tc>
        <w:tc>
          <w:tcPr>
            <w:tcW w:w="2120" w:type="dxa"/>
            <w:tcBorders>
              <w:top w:val="nil"/>
              <w:left w:val="nil"/>
              <w:bottom w:val="single" w:sz="4" w:space="0" w:color="auto"/>
              <w:right w:val="single" w:sz="4" w:space="0" w:color="auto"/>
            </w:tcBorders>
            <w:shd w:val="clear" w:color="auto" w:fill="auto"/>
            <w:hideMark/>
          </w:tcPr>
          <w:p w14:paraId="609BFDC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 risk early warning systems</w:t>
            </w:r>
          </w:p>
        </w:tc>
        <w:tc>
          <w:tcPr>
            <w:tcW w:w="2040" w:type="dxa"/>
            <w:tcBorders>
              <w:top w:val="nil"/>
              <w:left w:val="nil"/>
              <w:bottom w:val="single" w:sz="4" w:space="0" w:color="auto"/>
              <w:right w:val="single" w:sz="4" w:space="0" w:color="auto"/>
            </w:tcBorders>
            <w:shd w:val="clear" w:color="auto" w:fill="auto"/>
            <w:hideMark/>
          </w:tcPr>
          <w:p w14:paraId="5B62F0D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J6201, J6202</w:t>
            </w:r>
          </w:p>
        </w:tc>
        <w:tc>
          <w:tcPr>
            <w:tcW w:w="1940" w:type="dxa"/>
            <w:tcBorders>
              <w:top w:val="nil"/>
              <w:left w:val="nil"/>
              <w:bottom w:val="single" w:sz="4" w:space="0" w:color="auto"/>
              <w:right w:val="single" w:sz="4" w:space="0" w:color="auto"/>
            </w:tcBorders>
            <w:shd w:val="clear" w:color="auto" w:fill="auto"/>
            <w:hideMark/>
          </w:tcPr>
          <w:p w14:paraId="7DBD46A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PTA Regulations</w:t>
            </w:r>
          </w:p>
        </w:tc>
        <w:tc>
          <w:tcPr>
            <w:tcW w:w="2760" w:type="dxa"/>
            <w:tcBorders>
              <w:top w:val="nil"/>
              <w:left w:val="nil"/>
              <w:bottom w:val="single" w:sz="4" w:space="0" w:color="auto"/>
              <w:right w:val="single" w:sz="4" w:space="0" w:color="auto"/>
            </w:tcBorders>
            <w:shd w:val="clear" w:color="auto" w:fill="auto"/>
            <w:hideMark/>
          </w:tcPr>
          <w:p w14:paraId="614BA45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Digital Policy, National Disaster Risk Management Framework</w:t>
            </w:r>
          </w:p>
        </w:tc>
      </w:tr>
      <w:tr w:rsidR="00156430" w:rsidRPr="00156430" w14:paraId="70FE1CAE"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6B0CCD3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lastRenderedPageBreak/>
              <w:t>9</w:t>
            </w:r>
          </w:p>
        </w:tc>
        <w:tc>
          <w:tcPr>
            <w:tcW w:w="2040" w:type="dxa"/>
            <w:vMerge/>
            <w:tcBorders>
              <w:top w:val="nil"/>
              <w:left w:val="nil"/>
              <w:bottom w:val="single" w:sz="4" w:space="0" w:color="000000"/>
              <w:right w:val="single" w:sz="4" w:space="0" w:color="auto"/>
            </w:tcBorders>
            <w:hideMark/>
          </w:tcPr>
          <w:p w14:paraId="652AD7A8"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37A025E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Remote sensing and climate data management</w:t>
            </w:r>
          </w:p>
        </w:tc>
        <w:tc>
          <w:tcPr>
            <w:tcW w:w="2040" w:type="dxa"/>
            <w:tcBorders>
              <w:top w:val="nil"/>
              <w:left w:val="nil"/>
              <w:bottom w:val="single" w:sz="4" w:space="0" w:color="auto"/>
              <w:right w:val="single" w:sz="4" w:space="0" w:color="auto"/>
            </w:tcBorders>
            <w:shd w:val="clear" w:color="auto" w:fill="auto"/>
            <w:hideMark/>
          </w:tcPr>
          <w:p w14:paraId="15DB72B4"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J6201, J6202</w:t>
            </w:r>
          </w:p>
        </w:tc>
        <w:tc>
          <w:tcPr>
            <w:tcW w:w="1940" w:type="dxa"/>
            <w:tcBorders>
              <w:top w:val="nil"/>
              <w:left w:val="nil"/>
              <w:bottom w:val="single" w:sz="4" w:space="0" w:color="auto"/>
              <w:right w:val="single" w:sz="4" w:space="0" w:color="auto"/>
            </w:tcBorders>
            <w:shd w:val="clear" w:color="auto" w:fill="auto"/>
            <w:hideMark/>
          </w:tcPr>
          <w:p w14:paraId="1ECC1E1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PTA Regulations</w:t>
            </w:r>
          </w:p>
        </w:tc>
        <w:tc>
          <w:tcPr>
            <w:tcW w:w="2760" w:type="dxa"/>
            <w:tcBorders>
              <w:top w:val="nil"/>
              <w:left w:val="nil"/>
              <w:bottom w:val="single" w:sz="4" w:space="0" w:color="auto"/>
              <w:right w:val="single" w:sz="4" w:space="0" w:color="auto"/>
            </w:tcBorders>
            <w:shd w:val="clear" w:color="auto" w:fill="auto"/>
            <w:hideMark/>
          </w:tcPr>
          <w:p w14:paraId="17AA07E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Adaptation Plan, National Digital Policy</w:t>
            </w:r>
          </w:p>
        </w:tc>
      </w:tr>
      <w:tr w:rsidR="00156430" w:rsidRPr="00156430" w14:paraId="6E6E5CEF"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hideMark/>
          </w:tcPr>
          <w:p w14:paraId="5F9F316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10</w:t>
            </w:r>
          </w:p>
        </w:tc>
        <w:tc>
          <w:tcPr>
            <w:tcW w:w="2040" w:type="dxa"/>
            <w:vMerge w:val="restart"/>
            <w:tcBorders>
              <w:top w:val="nil"/>
              <w:left w:val="nil"/>
              <w:bottom w:val="single" w:sz="4" w:space="0" w:color="000000"/>
              <w:right w:val="single" w:sz="4" w:space="0" w:color="auto"/>
            </w:tcBorders>
            <w:shd w:val="clear" w:color="auto" w:fill="auto"/>
            <w:hideMark/>
          </w:tcPr>
          <w:p w14:paraId="79370F5C"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Construction </w:t>
            </w:r>
          </w:p>
        </w:tc>
        <w:tc>
          <w:tcPr>
            <w:tcW w:w="2120" w:type="dxa"/>
            <w:tcBorders>
              <w:top w:val="nil"/>
              <w:left w:val="nil"/>
              <w:bottom w:val="single" w:sz="4" w:space="0" w:color="auto"/>
              <w:right w:val="single" w:sz="4" w:space="0" w:color="auto"/>
            </w:tcBorders>
            <w:shd w:val="clear" w:color="auto" w:fill="auto"/>
            <w:hideMark/>
          </w:tcPr>
          <w:p w14:paraId="50553F8C"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Climate-resilient building design</w:t>
            </w:r>
          </w:p>
        </w:tc>
        <w:tc>
          <w:tcPr>
            <w:tcW w:w="2040" w:type="dxa"/>
            <w:tcBorders>
              <w:top w:val="nil"/>
              <w:left w:val="nil"/>
              <w:bottom w:val="single" w:sz="4" w:space="0" w:color="auto"/>
              <w:right w:val="single" w:sz="4" w:space="0" w:color="auto"/>
            </w:tcBorders>
            <w:shd w:val="clear" w:color="auto" w:fill="auto"/>
            <w:hideMark/>
          </w:tcPr>
          <w:p w14:paraId="7173B2E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F4100</w:t>
            </w:r>
          </w:p>
        </w:tc>
        <w:tc>
          <w:tcPr>
            <w:tcW w:w="1940" w:type="dxa"/>
            <w:tcBorders>
              <w:top w:val="nil"/>
              <w:left w:val="nil"/>
              <w:bottom w:val="single" w:sz="4" w:space="0" w:color="auto"/>
              <w:right w:val="single" w:sz="4" w:space="0" w:color="auto"/>
            </w:tcBorders>
            <w:shd w:val="clear" w:color="auto" w:fill="auto"/>
            <w:hideMark/>
          </w:tcPr>
          <w:p w14:paraId="7EA327F9"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ECBC 2023, Green Building Code, PEPA 1997</w:t>
            </w:r>
          </w:p>
        </w:tc>
        <w:tc>
          <w:tcPr>
            <w:tcW w:w="2760" w:type="dxa"/>
            <w:tcBorders>
              <w:top w:val="nil"/>
              <w:left w:val="nil"/>
              <w:bottom w:val="single" w:sz="4" w:space="0" w:color="auto"/>
              <w:right w:val="single" w:sz="4" w:space="0" w:color="auto"/>
            </w:tcBorders>
            <w:shd w:val="clear" w:color="auto" w:fill="auto"/>
            <w:hideMark/>
          </w:tcPr>
          <w:p w14:paraId="5441769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LEED, EDGE, National Sustainable Construction Standards, National Adaptation Plan</w:t>
            </w:r>
          </w:p>
        </w:tc>
      </w:tr>
      <w:tr w:rsidR="00156430" w:rsidRPr="00156430" w14:paraId="03804A32"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1AF028E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11</w:t>
            </w:r>
          </w:p>
        </w:tc>
        <w:tc>
          <w:tcPr>
            <w:tcW w:w="2040" w:type="dxa"/>
            <w:vMerge/>
            <w:tcBorders>
              <w:top w:val="nil"/>
              <w:left w:val="nil"/>
              <w:bottom w:val="single" w:sz="4" w:space="0" w:color="000000"/>
              <w:right w:val="single" w:sz="4" w:space="0" w:color="auto"/>
            </w:tcBorders>
            <w:hideMark/>
          </w:tcPr>
          <w:p w14:paraId="0A5CCA28"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24C41D8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Flood- and earthquake-resistant infrastructure</w:t>
            </w:r>
          </w:p>
        </w:tc>
        <w:tc>
          <w:tcPr>
            <w:tcW w:w="2040" w:type="dxa"/>
            <w:tcBorders>
              <w:top w:val="nil"/>
              <w:left w:val="nil"/>
              <w:bottom w:val="single" w:sz="4" w:space="0" w:color="auto"/>
              <w:right w:val="single" w:sz="4" w:space="0" w:color="auto"/>
            </w:tcBorders>
            <w:shd w:val="clear" w:color="auto" w:fill="auto"/>
            <w:hideMark/>
          </w:tcPr>
          <w:p w14:paraId="12AD71FA"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F4100, F4290</w:t>
            </w:r>
          </w:p>
        </w:tc>
        <w:tc>
          <w:tcPr>
            <w:tcW w:w="1940" w:type="dxa"/>
            <w:tcBorders>
              <w:top w:val="nil"/>
              <w:left w:val="nil"/>
              <w:bottom w:val="single" w:sz="4" w:space="0" w:color="auto"/>
              <w:right w:val="single" w:sz="4" w:space="0" w:color="auto"/>
            </w:tcBorders>
            <w:shd w:val="clear" w:color="auto" w:fill="auto"/>
            <w:hideMark/>
          </w:tcPr>
          <w:p w14:paraId="22FA448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Building Codes of Pakistan, PEPA 1997</w:t>
            </w:r>
          </w:p>
        </w:tc>
        <w:tc>
          <w:tcPr>
            <w:tcW w:w="2760" w:type="dxa"/>
            <w:tcBorders>
              <w:top w:val="nil"/>
              <w:left w:val="nil"/>
              <w:bottom w:val="single" w:sz="4" w:space="0" w:color="auto"/>
              <w:right w:val="single" w:sz="4" w:space="0" w:color="auto"/>
            </w:tcBorders>
            <w:shd w:val="clear" w:color="auto" w:fill="auto"/>
            <w:hideMark/>
          </w:tcPr>
          <w:p w14:paraId="7624F963"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Risk Management Framework, National Building Code</w:t>
            </w:r>
          </w:p>
        </w:tc>
      </w:tr>
      <w:tr w:rsidR="00156430" w:rsidRPr="00156430" w14:paraId="66C803FA"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6BAB241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12</w:t>
            </w:r>
          </w:p>
        </w:tc>
        <w:tc>
          <w:tcPr>
            <w:tcW w:w="2040" w:type="dxa"/>
            <w:vMerge/>
            <w:tcBorders>
              <w:top w:val="nil"/>
              <w:left w:val="nil"/>
              <w:bottom w:val="single" w:sz="4" w:space="0" w:color="000000"/>
              <w:right w:val="single" w:sz="4" w:space="0" w:color="auto"/>
            </w:tcBorders>
            <w:hideMark/>
          </w:tcPr>
          <w:p w14:paraId="1F95AFCD"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4C860CBC"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Retrofitting for climate adaptation</w:t>
            </w:r>
          </w:p>
        </w:tc>
        <w:tc>
          <w:tcPr>
            <w:tcW w:w="2040" w:type="dxa"/>
            <w:tcBorders>
              <w:top w:val="nil"/>
              <w:left w:val="nil"/>
              <w:bottom w:val="single" w:sz="4" w:space="0" w:color="auto"/>
              <w:right w:val="single" w:sz="4" w:space="0" w:color="auto"/>
            </w:tcBorders>
            <w:shd w:val="clear" w:color="auto" w:fill="auto"/>
            <w:hideMark/>
          </w:tcPr>
          <w:p w14:paraId="4DA36A2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F4330</w:t>
            </w:r>
          </w:p>
        </w:tc>
        <w:tc>
          <w:tcPr>
            <w:tcW w:w="1940" w:type="dxa"/>
            <w:tcBorders>
              <w:top w:val="nil"/>
              <w:left w:val="nil"/>
              <w:bottom w:val="single" w:sz="4" w:space="0" w:color="auto"/>
              <w:right w:val="single" w:sz="4" w:space="0" w:color="auto"/>
            </w:tcBorders>
            <w:shd w:val="clear" w:color="auto" w:fill="auto"/>
            <w:hideMark/>
          </w:tcPr>
          <w:p w14:paraId="112C3C8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ECBC 2023, Green Building Code</w:t>
            </w:r>
          </w:p>
        </w:tc>
        <w:tc>
          <w:tcPr>
            <w:tcW w:w="2760" w:type="dxa"/>
            <w:tcBorders>
              <w:top w:val="nil"/>
              <w:left w:val="nil"/>
              <w:bottom w:val="single" w:sz="4" w:space="0" w:color="auto"/>
              <w:right w:val="single" w:sz="4" w:space="0" w:color="auto"/>
            </w:tcBorders>
            <w:shd w:val="clear" w:color="auto" w:fill="auto"/>
            <w:hideMark/>
          </w:tcPr>
          <w:p w14:paraId="691BB3A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Adaptation Plan, National Building Code</w:t>
            </w:r>
          </w:p>
        </w:tc>
      </w:tr>
      <w:tr w:rsidR="00156430" w:rsidRPr="00156430" w14:paraId="770BF7D9"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224D86C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13</w:t>
            </w:r>
          </w:p>
        </w:tc>
        <w:tc>
          <w:tcPr>
            <w:tcW w:w="2040" w:type="dxa"/>
            <w:vMerge w:val="restart"/>
            <w:tcBorders>
              <w:top w:val="nil"/>
              <w:left w:val="nil"/>
              <w:bottom w:val="single" w:sz="4" w:space="0" w:color="000000"/>
              <w:right w:val="single" w:sz="4" w:space="0" w:color="auto"/>
            </w:tcBorders>
            <w:shd w:val="clear" w:color="auto" w:fill="auto"/>
            <w:hideMark/>
          </w:tcPr>
          <w:p w14:paraId="13377A66"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Disaster Risk Management </w:t>
            </w:r>
          </w:p>
        </w:tc>
        <w:tc>
          <w:tcPr>
            <w:tcW w:w="2120" w:type="dxa"/>
            <w:tcBorders>
              <w:top w:val="nil"/>
              <w:left w:val="nil"/>
              <w:bottom w:val="single" w:sz="4" w:space="0" w:color="auto"/>
              <w:right w:val="single" w:sz="4" w:space="0" w:color="auto"/>
            </w:tcBorders>
            <w:shd w:val="clear" w:color="auto" w:fill="auto"/>
            <w:hideMark/>
          </w:tcPr>
          <w:p w14:paraId="525F5E31"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Emergency response infrastructure</w:t>
            </w:r>
          </w:p>
        </w:tc>
        <w:tc>
          <w:tcPr>
            <w:tcW w:w="2040" w:type="dxa"/>
            <w:tcBorders>
              <w:top w:val="nil"/>
              <w:left w:val="nil"/>
              <w:bottom w:val="single" w:sz="4" w:space="0" w:color="auto"/>
              <w:right w:val="single" w:sz="4" w:space="0" w:color="auto"/>
            </w:tcBorders>
            <w:shd w:val="clear" w:color="auto" w:fill="auto"/>
            <w:hideMark/>
          </w:tcPr>
          <w:p w14:paraId="2FAD4E0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O8425</w:t>
            </w:r>
          </w:p>
        </w:tc>
        <w:tc>
          <w:tcPr>
            <w:tcW w:w="1940" w:type="dxa"/>
            <w:tcBorders>
              <w:top w:val="nil"/>
              <w:left w:val="nil"/>
              <w:bottom w:val="single" w:sz="4" w:space="0" w:color="auto"/>
              <w:right w:val="single" w:sz="4" w:space="0" w:color="auto"/>
            </w:tcBorders>
            <w:shd w:val="clear" w:color="auto" w:fill="auto"/>
            <w:hideMark/>
          </w:tcPr>
          <w:p w14:paraId="269810CE"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Management Act, PEPA 1997</w:t>
            </w:r>
          </w:p>
        </w:tc>
        <w:tc>
          <w:tcPr>
            <w:tcW w:w="2760" w:type="dxa"/>
            <w:tcBorders>
              <w:top w:val="nil"/>
              <w:left w:val="nil"/>
              <w:bottom w:val="single" w:sz="4" w:space="0" w:color="auto"/>
              <w:right w:val="single" w:sz="4" w:space="0" w:color="auto"/>
            </w:tcBorders>
            <w:shd w:val="clear" w:color="auto" w:fill="auto"/>
            <w:hideMark/>
          </w:tcPr>
          <w:p w14:paraId="32C97EA3"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Risk Management Framework, National Adaptation Plan</w:t>
            </w:r>
          </w:p>
        </w:tc>
      </w:tr>
      <w:tr w:rsidR="00156430" w:rsidRPr="00156430" w14:paraId="6906AB38"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2130285C"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14</w:t>
            </w:r>
          </w:p>
        </w:tc>
        <w:tc>
          <w:tcPr>
            <w:tcW w:w="2040" w:type="dxa"/>
            <w:vMerge/>
            <w:tcBorders>
              <w:top w:val="nil"/>
              <w:left w:val="nil"/>
              <w:bottom w:val="single" w:sz="4" w:space="0" w:color="000000"/>
              <w:right w:val="single" w:sz="4" w:space="0" w:color="auto"/>
            </w:tcBorders>
            <w:hideMark/>
          </w:tcPr>
          <w:p w14:paraId="4F8913E2"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58CCA35C"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Early warning and evacuation systems</w:t>
            </w:r>
          </w:p>
        </w:tc>
        <w:tc>
          <w:tcPr>
            <w:tcW w:w="2040" w:type="dxa"/>
            <w:tcBorders>
              <w:top w:val="nil"/>
              <w:left w:val="nil"/>
              <w:bottom w:val="single" w:sz="4" w:space="0" w:color="auto"/>
              <w:right w:val="single" w:sz="4" w:space="0" w:color="auto"/>
            </w:tcBorders>
            <w:shd w:val="clear" w:color="auto" w:fill="auto"/>
            <w:hideMark/>
          </w:tcPr>
          <w:p w14:paraId="3DA3ED9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O8425</w:t>
            </w:r>
          </w:p>
        </w:tc>
        <w:tc>
          <w:tcPr>
            <w:tcW w:w="1940" w:type="dxa"/>
            <w:tcBorders>
              <w:top w:val="nil"/>
              <w:left w:val="nil"/>
              <w:bottom w:val="single" w:sz="4" w:space="0" w:color="auto"/>
              <w:right w:val="single" w:sz="4" w:space="0" w:color="auto"/>
            </w:tcBorders>
            <w:shd w:val="clear" w:color="auto" w:fill="auto"/>
            <w:hideMark/>
          </w:tcPr>
          <w:p w14:paraId="54DEACA5"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Management Act</w:t>
            </w:r>
          </w:p>
        </w:tc>
        <w:tc>
          <w:tcPr>
            <w:tcW w:w="2760" w:type="dxa"/>
            <w:tcBorders>
              <w:top w:val="nil"/>
              <w:left w:val="nil"/>
              <w:bottom w:val="single" w:sz="4" w:space="0" w:color="auto"/>
              <w:right w:val="single" w:sz="4" w:space="0" w:color="auto"/>
            </w:tcBorders>
            <w:shd w:val="clear" w:color="auto" w:fill="auto"/>
            <w:hideMark/>
          </w:tcPr>
          <w:p w14:paraId="7D921A44"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Risk Management Framework</w:t>
            </w:r>
          </w:p>
        </w:tc>
      </w:tr>
      <w:tr w:rsidR="00156430" w:rsidRPr="00156430" w14:paraId="2528DC05" w14:textId="77777777" w:rsidTr="004E6B23">
        <w:trPr>
          <w:trHeight w:val="380"/>
        </w:trPr>
        <w:tc>
          <w:tcPr>
            <w:tcW w:w="940" w:type="dxa"/>
            <w:tcBorders>
              <w:top w:val="nil"/>
              <w:left w:val="single" w:sz="4" w:space="0" w:color="auto"/>
              <w:bottom w:val="single" w:sz="4" w:space="0" w:color="auto"/>
              <w:right w:val="single" w:sz="4" w:space="0" w:color="auto"/>
            </w:tcBorders>
            <w:shd w:val="clear" w:color="auto" w:fill="auto"/>
            <w:hideMark/>
          </w:tcPr>
          <w:p w14:paraId="3FE381C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15</w:t>
            </w:r>
          </w:p>
        </w:tc>
        <w:tc>
          <w:tcPr>
            <w:tcW w:w="2040" w:type="dxa"/>
            <w:vMerge/>
            <w:tcBorders>
              <w:top w:val="nil"/>
              <w:left w:val="nil"/>
              <w:bottom w:val="single" w:sz="4" w:space="0" w:color="000000"/>
              <w:right w:val="single" w:sz="4" w:space="0" w:color="auto"/>
            </w:tcBorders>
            <w:hideMark/>
          </w:tcPr>
          <w:p w14:paraId="15F566A3"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026F446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Flood barriers and embankments</w:t>
            </w:r>
          </w:p>
        </w:tc>
        <w:tc>
          <w:tcPr>
            <w:tcW w:w="2040" w:type="dxa"/>
            <w:tcBorders>
              <w:top w:val="nil"/>
              <w:left w:val="nil"/>
              <w:bottom w:val="single" w:sz="4" w:space="0" w:color="auto"/>
              <w:right w:val="single" w:sz="4" w:space="0" w:color="auto"/>
            </w:tcBorders>
            <w:shd w:val="clear" w:color="auto" w:fill="auto"/>
            <w:hideMark/>
          </w:tcPr>
          <w:p w14:paraId="01A0A879"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F4290</w:t>
            </w:r>
          </w:p>
        </w:tc>
        <w:tc>
          <w:tcPr>
            <w:tcW w:w="1940" w:type="dxa"/>
            <w:tcBorders>
              <w:top w:val="nil"/>
              <w:left w:val="nil"/>
              <w:bottom w:val="single" w:sz="4" w:space="0" w:color="auto"/>
              <w:right w:val="single" w:sz="4" w:space="0" w:color="auto"/>
            </w:tcBorders>
            <w:shd w:val="clear" w:color="auto" w:fill="auto"/>
            <w:hideMark/>
          </w:tcPr>
          <w:p w14:paraId="0B6BD725"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Management Act</w:t>
            </w:r>
          </w:p>
        </w:tc>
        <w:tc>
          <w:tcPr>
            <w:tcW w:w="2760" w:type="dxa"/>
            <w:tcBorders>
              <w:top w:val="nil"/>
              <w:left w:val="nil"/>
              <w:bottom w:val="single" w:sz="4" w:space="0" w:color="auto"/>
              <w:right w:val="single" w:sz="4" w:space="0" w:color="auto"/>
            </w:tcBorders>
            <w:shd w:val="clear" w:color="auto" w:fill="auto"/>
            <w:hideMark/>
          </w:tcPr>
          <w:p w14:paraId="43295ED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Flood Response Plan</w:t>
            </w:r>
          </w:p>
        </w:tc>
      </w:tr>
      <w:tr w:rsidR="00156430" w:rsidRPr="00156430" w14:paraId="59E754DD"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2B8D7D6A"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16</w:t>
            </w:r>
          </w:p>
        </w:tc>
        <w:tc>
          <w:tcPr>
            <w:tcW w:w="2040" w:type="dxa"/>
            <w:vMerge/>
            <w:tcBorders>
              <w:top w:val="nil"/>
              <w:left w:val="nil"/>
              <w:bottom w:val="single" w:sz="4" w:space="0" w:color="000000"/>
              <w:right w:val="single" w:sz="4" w:space="0" w:color="auto"/>
            </w:tcBorders>
            <w:hideMark/>
          </w:tcPr>
          <w:p w14:paraId="6E111DED"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21B605CF"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Risk mapping and vulnerability assessment</w:t>
            </w:r>
          </w:p>
        </w:tc>
        <w:tc>
          <w:tcPr>
            <w:tcW w:w="2040" w:type="dxa"/>
            <w:tcBorders>
              <w:top w:val="nil"/>
              <w:left w:val="nil"/>
              <w:bottom w:val="single" w:sz="4" w:space="0" w:color="auto"/>
              <w:right w:val="single" w:sz="4" w:space="0" w:color="auto"/>
            </w:tcBorders>
            <w:shd w:val="clear" w:color="auto" w:fill="auto"/>
            <w:hideMark/>
          </w:tcPr>
          <w:p w14:paraId="5F09A1A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O8412</w:t>
            </w:r>
          </w:p>
        </w:tc>
        <w:tc>
          <w:tcPr>
            <w:tcW w:w="1940" w:type="dxa"/>
            <w:tcBorders>
              <w:top w:val="nil"/>
              <w:left w:val="nil"/>
              <w:bottom w:val="single" w:sz="4" w:space="0" w:color="auto"/>
              <w:right w:val="single" w:sz="4" w:space="0" w:color="auto"/>
            </w:tcBorders>
            <w:shd w:val="clear" w:color="auto" w:fill="auto"/>
            <w:hideMark/>
          </w:tcPr>
          <w:p w14:paraId="0F8B5A23"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Disaster Management Act</w:t>
            </w:r>
          </w:p>
        </w:tc>
        <w:tc>
          <w:tcPr>
            <w:tcW w:w="2760" w:type="dxa"/>
            <w:tcBorders>
              <w:top w:val="nil"/>
              <w:left w:val="nil"/>
              <w:bottom w:val="single" w:sz="4" w:space="0" w:color="auto"/>
              <w:right w:val="single" w:sz="4" w:space="0" w:color="auto"/>
            </w:tcBorders>
            <w:shd w:val="clear" w:color="auto" w:fill="auto"/>
            <w:hideMark/>
          </w:tcPr>
          <w:p w14:paraId="700DBBB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Adaptation Plan, National Disaster Risk Management Framework</w:t>
            </w:r>
          </w:p>
        </w:tc>
      </w:tr>
      <w:tr w:rsidR="00156430" w:rsidRPr="00156430" w14:paraId="4F261BA1"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hideMark/>
          </w:tcPr>
          <w:p w14:paraId="1AAF8604"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17</w:t>
            </w:r>
          </w:p>
        </w:tc>
        <w:tc>
          <w:tcPr>
            <w:tcW w:w="2040" w:type="dxa"/>
            <w:tcBorders>
              <w:top w:val="nil"/>
              <w:left w:val="nil"/>
              <w:bottom w:val="single" w:sz="4" w:space="0" w:color="auto"/>
              <w:right w:val="single" w:sz="4" w:space="0" w:color="auto"/>
            </w:tcBorders>
            <w:shd w:val="clear" w:color="auto" w:fill="auto"/>
            <w:hideMark/>
          </w:tcPr>
          <w:p w14:paraId="5AB51839"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Manufacturing </w:t>
            </w:r>
          </w:p>
        </w:tc>
        <w:tc>
          <w:tcPr>
            <w:tcW w:w="2120" w:type="dxa"/>
            <w:tcBorders>
              <w:top w:val="nil"/>
              <w:left w:val="nil"/>
              <w:bottom w:val="single" w:sz="4" w:space="0" w:color="auto"/>
              <w:right w:val="single" w:sz="4" w:space="0" w:color="auto"/>
            </w:tcBorders>
            <w:shd w:val="clear" w:color="auto" w:fill="auto"/>
            <w:hideMark/>
          </w:tcPr>
          <w:p w14:paraId="706F3B90"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 xml:space="preserve">Production of climate-resilient materials (e.g., flood-resistant </w:t>
            </w:r>
            <w:r w:rsidRPr="00156430">
              <w:rPr>
                <w:rFonts w:ascii="Poppins" w:eastAsia="Times New Roman" w:hAnsi="Poppins" w:cs="Poppins"/>
                <w:color w:val="000000"/>
                <w:sz w:val="19"/>
                <w:szCs w:val="19"/>
              </w:rPr>
              <w:lastRenderedPageBreak/>
              <w:t>cement, water-saving equipment)</w:t>
            </w:r>
          </w:p>
        </w:tc>
        <w:tc>
          <w:tcPr>
            <w:tcW w:w="2040" w:type="dxa"/>
            <w:tcBorders>
              <w:top w:val="nil"/>
              <w:left w:val="nil"/>
              <w:bottom w:val="single" w:sz="4" w:space="0" w:color="auto"/>
              <w:right w:val="single" w:sz="4" w:space="0" w:color="auto"/>
            </w:tcBorders>
            <w:shd w:val="clear" w:color="auto" w:fill="auto"/>
            <w:hideMark/>
          </w:tcPr>
          <w:p w14:paraId="764D02F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lastRenderedPageBreak/>
              <w:t>C2394, C2740</w:t>
            </w:r>
          </w:p>
        </w:tc>
        <w:tc>
          <w:tcPr>
            <w:tcW w:w="1940" w:type="dxa"/>
            <w:tcBorders>
              <w:top w:val="nil"/>
              <w:left w:val="nil"/>
              <w:bottom w:val="single" w:sz="4" w:space="0" w:color="auto"/>
              <w:right w:val="single" w:sz="4" w:space="0" w:color="auto"/>
            </w:tcBorders>
            <w:shd w:val="clear" w:color="auto" w:fill="auto"/>
            <w:hideMark/>
          </w:tcPr>
          <w:p w14:paraId="03789189"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NEQS</w:t>
            </w:r>
          </w:p>
        </w:tc>
        <w:tc>
          <w:tcPr>
            <w:tcW w:w="2760" w:type="dxa"/>
            <w:tcBorders>
              <w:top w:val="nil"/>
              <w:left w:val="nil"/>
              <w:bottom w:val="single" w:sz="4" w:space="0" w:color="auto"/>
              <w:right w:val="single" w:sz="4" w:space="0" w:color="auto"/>
            </w:tcBorders>
            <w:shd w:val="clear" w:color="auto" w:fill="auto"/>
            <w:hideMark/>
          </w:tcPr>
          <w:p w14:paraId="4373DE5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NEECA ratings, ECBC 2023, National Adaptation Plan</w:t>
            </w:r>
          </w:p>
        </w:tc>
      </w:tr>
      <w:tr w:rsidR="00156430" w:rsidRPr="00156430" w14:paraId="51753262"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03FECFC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18</w:t>
            </w:r>
          </w:p>
        </w:tc>
        <w:tc>
          <w:tcPr>
            <w:tcW w:w="2040" w:type="dxa"/>
            <w:tcBorders>
              <w:top w:val="nil"/>
              <w:left w:val="nil"/>
              <w:bottom w:val="single" w:sz="4" w:space="0" w:color="auto"/>
              <w:right w:val="single" w:sz="4" w:space="0" w:color="auto"/>
            </w:tcBorders>
            <w:shd w:val="clear" w:color="auto" w:fill="auto"/>
            <w:hideMark/>
          </w:tcPr>
          <w:p w14:paraId="6175A210"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Energy </w:t>
            </w:r>
          </w:p>
        </w:tc>
        <w:tc>
          <w:tcPr>
            <w:tcW w:w="2120" w:type="dxa"/>
            <w:tcBorders>
              <w:top w:val="nil"/>
              <w:left w:val="nil"/>
              <w:bottom w:val="single" w:sz="4" w:space="0" w:color="auto"/>
              <w:right w:val="single" w:sz="4" w:space="0" w:color="auto"/>
            </w:tcBorders>
            <w:shd w:val="clear" w:color="auto" w:fill="auto"/>
            <w:hideMark/>
          </w:tcPr>
          <w:p w14:paraId="78D7366C"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Climate-resilient energy infrastructure</w:t>
            </w:r>
          </w:p>
        </w:tc>
        <w:tc>
          <w:tcPr>
            <w:tcW w:w="2040" w:type="dxa"/>
            <w:tcBorders>
              <w:top w:val="nil"/>
              <w:left w:val="nil"/>
              <w:bottom w:val="single" w:sz="4" w:space="0" w:color="auto"/>
              <w:right w:val="single" w:sz="4" w:space="0" w:color="auto"/>
            </w:tcBorders>
            <w:shd w:val="clear" w:color="auto" w:fill="auto"/>
            <w:hideMark/>
          </w:tcPr>
          <w:p w14:paraId="734FBBAD"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D3510</w:t>
            </w:r>
          </w:p>
        </w:tc>
        <w:tc>
          <w:tcPr>
            <w:tcW w:w="1940" w:type="dxa"/>
            <w:tcBorders>
              <w:top w:val="nil"/>
              <w:left w:val="nil"/>
              <w:bottom w:val="single" w:sz="4" w:space="0" w:color="auto"/>
              <w:right w:val="single" w:sz="4" w:space="0" w:color="auto"/>
            </w:tcBorders>
            <w:shd w:val="clear" w:color="auto" w:fill="auto"/>
            <w:hideMark/>
          </w:tcPr>
          <w:p w14:paraId="54DFD229"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Electricity Policy, NEQS, PEPA 1997</w:t>
            </w:r>
          </w:p>
        </w:tc>
        <w:tc>
          <w:tcPr>
            <w:tcW w:w="2760" w:type="dxa"/>
            <w:tcBorders>
              <w:top w:val="nil"/>
              <w:left w:val="nil"/>
              <w:bottom w:val="single" w:sz="4" w:space="0" w:color="auto"/>
              <w:right w:val="single" w:sz="4" w:space="0" w:color="auto"/>
            </w:tcBorders>
            <w:shd w:val="clear" w:color="auto" w:fill="auto"/>
            <w:hideMark/>
          </w:tcPr>
          <w:p w14:paraId="298E418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Adaptation Plan, ECBC 2023</w:t>
            </w:r>
          </w:p>
        </w:tc>
      </w:tr>
      <w:tr w:rsidR="00156430" w:rsidRPr="00156430" w14:paraId="086AF612"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181ABEF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19</w:t>
            </w:r>
          </w:p>
        </w:tc>
        <w:tc>
          <w:tcPr>
            <w:tcW w:w="2040" w:type="dxa"/>
            <w:tcBorders>
              <w:top w:val="nil"/>
              <w:left w:val="nil"/>
              <w:bottom w:val="single" w:sz="4" w:space="0" w:color="auto"/>
              <w:right w:val="single" w:sz="4" w:space="0" w:color="auto"/>
            </w:tcBorders>
            <w:shd w:val="clear" w:color="auto" w:fill="auto"/>
            <w:hideMark/>
          </w:tcPr>
          <w:p w14:paraId="551D73CE"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Waste </w:t>
            </w:r>
          </w:p>
        </w:tc>
        <w:tc>
          <w:tcPr>
            <w:tcW w:w="2120" w:type="dxa"/>
            <w:tcBorders>
              <w:top w:val="nil"/>
              <w:left w:val="nil"/>
              <w:bottom w:val="single" w:sz="4" w:space="0" w:color="auto"/>
              <w:right w:val="single" w:sz="4" w:space="0" w:color="auto"/>
            </w:tcBorders>
            <w:shd w:val="clear" w:color="auto" w:fill="auto"/>
            <w:hideMark/>
          </w:tcPr>
          <w:p w14:paraId="65F090C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Flood- and disaster-resilient waste management systems</w:t>
            </w:r>
          </w:p>
        </w:tc>
        <w:tc>
          <w:tcPr>
            <w:tcW w:w="2040" w:type="dxa"/>
            <w:tcBorders>
              <w:top w:val="nil"/>
              <w:left w:val="nil"/>
              <w:bottom w:val="single" w:sz="4" w:space="0" w:color="auto"/>
              <w:right w:val="single" w:sz="4" w:space="0" w:color="auto"/>
            </w:tcBorders>
            <w:shd w:val="clear" w:color="auto" w:fill="auto"/>
            <w:hideMark/>
          </w:tcPr>
          <w:p w14:paraId="58EE440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E3811, E3821</w:t>
            </w:r>
          </w:p>
        </w:tc>
        <w:tc>
          <w:tcPr>
            <w:tcW w:w="1940" w:type="dxa"/>
            <w:tcBorders>
              <w:top w:val="nil"/>
              <w:left w:val="nil"/>
              <w:bottom w:val="single" w:sz="4" w:space="0" w:color="auto"/>
              <w:right w:val="single" w:sz="4" w:space="0" w:color="auto"/>
            </w:tcBorders>
            <w:shd w:val="clear" w:color="auto" w:fill="auto"/>
            <w:hideMark/>
          </w:tcPr>
          <w:p w14:paraId="47B4D3C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PEPA 1997, NEQS, Sindh Waste to Energy Act</w:t>
            </w:r>
          </w:p>
        </w:tc>
        <w:tc>
          <w:tcPr>
            <w:tcW w:w="2760" w:type="dxa"/>
            <w:tcBorders>
              <w:top w:val="nil"/>
              <w:left w:val="nil"/>
              <w:bottom w:val="single" w:sz="4" w:space="0" w:color="auto"/>
              <w:right w:val="single" w:sz="4" w:space="0" w:color="auto"/>
            </w:tcBorders>
            <w:shd w:val="clear" w:color="auto" w:fill="auto"/>
            <w:hideMark/>
          </w:tcPr>
          <w:p w14:paraId="7F2D5035"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Adaptation Plan, National Sanitation Policy</w:t>
            </w:r>
          </w:p>
        </w:tc>
      </w:tr>
      <w:tr w:rsidR="00156430" w:rsidRPr="00156430" w14:paraId="717091EC" w14:textId="77777777" w:rsidTr="004E6B23">
        <w:trPr>
          <w:trHeight w:val="1140"/>
        </w:trPr>
        <w:tc>
          <w:tcPr>
            <w:tcW w:w="940" w:type="dxa"/>
            <w:tcBorders>
              <w:top w:val="nil"/>
              <w:left w:val="single" w:sz="4" w:space="0" w:color="auto"/>
              <w:bottom w:val="single" w:sz="4" w:space="0" w:color="auto"/>
              <w:right w:val="single" w:sz="4" w:space="0" w:color="auto"/>
            </w:tcBorders>
            <w:shd w:val="clear" w:color="auto" w:fill="auto"/>
            <w:hideMark/>
          </w:tcPr>
          <w:p w14:paraId="0A6ECAE9"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20</w:t>
            </w:r>
          </w:p>
        </w:tc>
        <w:tc>
          <w:tcPr>
            <w:tcW w:w="2040" w:type="dxa"/>
            <w:vMerge w:val="restart"/>
            <w:tcBorders>
              <w:top w:val="nil"/>
              <w:left w:val="nil"/>
              <w:bottom w:val="single" w:sz="4" w:space="0" w:color="000000"/>
              <w:right w:val="single" w:sz="4" w:space="0" w:color="auto"/>
            </w:tcBorders>
            <w:shd w:val="clear" w:color="auto" w:fill="auto"/>
            <w:hideMark/>
          </w:tcPr>
          <w:p w14:paraId="576B133A" w14:textId="77777777" w:rsidR="00156430" w:rsidRPr="00A07FCC" w:rsidRDefault="00156430" w:rsidP="004E6B23">
            <w:pPr>
              <w:spacing w:after="0" w:line="240" w:lineRule="auto"/>
              <w:rPr>
                <w:rFonts w:ascii="Poppins" w:eastAsia="Times New Roman" w:hAnsi="Poppins" w:cs="Poppins"/>
                <w:b/>
                <w:bCs/>
                <w:color w:val="000000"/>
                <w:sz w:val="19"/>
                <w:szCs w:val="19"/>
              </w:rPr>
            </w:pPr>
            <w:r w:rsidRPr="00A07FCC">
              <w:rPr>
                <w:rFonts w:ascii="Poppins" w:eastAsia="Times New Roman" w:hAnsi="Poppins" w:cs="Poppins"/>
                <w:b/>
                <w:bCs/>
                <w:color w:val="000000"/>
                <w:sz w:val="19"/>
                <w:szCs w:val="19"/>
              </w:rPr>
              <w:t xml:space="preserve">Agriculture, Forestry, Fishing </w:t>
            </w:r>
          </w:p>
        </w:tc>
        <w:tc>
          <w:tcPr>
            <w:tcW w:w="2120" w:type="dxa"/>
            <w:tcBorders>
              <w:top w:val="nil"/>
              <w:left w:val="nil"/>
              <w:bottom w:val="single" w:sz="4" w:space="0" w:color="auto"/>
              <w:right w:val="single" w:sz="4" w:space="0" w:color="auto"/>
            </w:tcBorders>
            <w:shd w:val="clear" w:color="auto" w:fill="auto"/>
            <w:hideMark/>
          </w:tcPr>
          <w:p w14:paraId="41CD75F5"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Climate-smart agriculture (drought/flood-tolerant crops, water management)</w:t>
            </w:r>
          </w:p>
        </w:tc>
        <w:tc>
          <w:tcPr>
            <w:tcW w:w="2040" w:type="dxa"/>
            <w:tcBorders>
              <w:top w:val="nil"/>
              <w:left w:val="nil"/>
              <w:bottom w:val="single" w:sz="4" w:space="0" w:color="auto"/>
              <w:right w:val="single" w:sz="4" w:space="0" w:color="auto"/>
            </w:tcBorders>
            <w:shd w:val="clear" w:color="auto" w:fill="auto"/>
            <w:hideMark/>
          </w:tcPr>
          <w:p w14:paraId="0233025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A011, A012</w:t>
            </w:r>
          </w:p>
        </w:tc>
        <w:tc>
          <w:tcPr>
            <w:tcW w:w="1940" w:type="dxa"/>
            <w:tcBorders>
              <w:top w:val="nil"/>
              <w:left w:val="nil"/>
              <w:bottom w:val="single" w:sz="4" w:space="0" w:color="auto"/>
              <w:right w:val="single" w:sz="4" w:space="0" w:color="auto"/>
            </w:tcBorders>
            <w:shd w:val="clear" w:color="auto" w:fill="auto"/>
            <w:hideMark/>
          </w:tcPr>
          <w:p w14:paraId="79ED57E8"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Agriculture Policy, Provincial Fertilizer Acts</w:t>
            </w:r>
          </w:p>
        </w:tc>
        <w:tc>
          <w:tcPr>
            <w:tcW w:w="2760" w:type="dxa"/>
            <w:tcBorders>
              <w:top w:val="nil"/>
              <w:left w:val="nil"/>
              <w:bottom w:val="single" w:sz="4" w:space="0" w:color="auto"/>
              <w:right w:val="single" w:sz="4" w:space="0" w:color="auto"/>
            </w:tcBorders>
            <w:shd w:val="clear" w:color="auto" w:fill="auto"/>
            <w:hideMark/>
          </w:tcPr>
          <w:p w14:paraId="2152681B"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Climate-Smart Agriculture Guidelines, National Adaptation Plan, Sustainable Rice Platform</w:t>
            </w:r>
          </w:p>
        </w:tc>
      </w:tr>
      <w:tr w:rsidR="00156430" w:rsidRPr="00156430" w14:paraId="188DB4E9"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069AFAD5"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21</w:t>
            </w:r>
          </w:p>
        </w:tc>
        <w:tc>
          <w:tcPr>
            <w:tcW w:w="2040" w:type="dxa"/>
            <w:vMerge/>
            <w:tcBorders>
              <w:top w:val="nil"/>
              <w:left w:val="nil"/>
              <w:bottom w:val="single" w:sz="4" w:space="0" w:color="000000"/>
              <w:right w:val="single" w:sz="4" w:space="0" w:color="auto"/>
            </w:tcBorders>
            <w:hideMark/>
          </w:tcPr>
          <w:p w14:paraId="029566AB"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389064D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Sustainable forest management for adaptation</w:t>
            </w:r>
          </w:p>
        </w:tc>
        <w:tc>
          <w:tcPr>
            <w:tcW w:w="2040" w:type="dxa"/>
            <w:tcBorders>
              <w:top w:val="nil"/>
              <w:left w:val="nil"/>
              <w:bottom w:val="single" w:sz="4" w:space="0" w:color="auto"/>
              <w:right w:val="single" w:sz="4" w:space="0" w:color="auto"/>
            </w:tcBorders>
            <w:shd w:val="clear" w:color="auto" w:fill="auto"/>
            <w:hideMark/>
          </w:tcPr>
          <w:p w14:paraId="167896B3"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A0200, A0210</w:t>
            </w:r>
          </w:p>
        </w:tc>
        <w:tc>
          <w:tcPr>
            <w:tcW w:w="1940" w:type="dxa"/>
            <w:tcBorders>
              <w:top w:val="nil"/>
              <w:left w:val="nil"/>
              <w:bottom w:val="single" w:sz="4" w:space="0" w:color="auto"/>
              <w:right w:val="single" w:sz="4" w:space="0" w:color="auto"/>
            </w:tcBorders>
            <w:shd w:val="clear" w:color="auto" w:fill="auto"/>
            <w:hideMark/>
          </w:tcPr>
          <w:p w14:paraId="2B3A034E"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Forest Policy, Provincial Forest Acts</w:t>
            </w:r>
          </w:p>
        </w:tc>
        <w:tc>
          <w:tcPr>
            <w:tcW w:w="2760" w:type="dxa"/>
            <w:tcBorders>
              <w:top w:val="nil"/>
              <w:left w:val="nil"/>
              <w:bottom w:val="single" w:sz="4" w:space="0" w:color="auto"/>
              <w:right w:val="single" w:sz="4" w:space="0" w:color="auto"/>
            </w:tcBorders>
            <w:shd w:val="clear" w:color="auto" w:fill="auto"/>
            <w:hideMark/>
          </w:tcPr>
          <w:p w14:paraId="6B9D9C9A"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REDD+, National Biodiversity Strategy, National Adaptation Plan</w:t>
            </w:r>
          </w:p>
        </w:tc>
      </w:tr>
      <w:tr w:rsidR="00156430" w:rsidRPr="00156430" w14:paraId="44C4F815" w14:textId="77777777" w:rsidTr="004E6B23">
        <w:trPr>
          <w:trHeight w:val="760"/>
        </w:trPr>
        <w:tc>
          <w:tcPr>
            <w:tcW w:w="940" w:type="dxa"/>
            <w:tcBorders>
              <w:top w:val="nil"/>
              <w:left w:val="single" w:sz="4" w:space="0" w:color="auto"/>
              <w:bottom w:val="single" w:sz="4" w:space="0" w:color="auto"/>
              <w:right w:val="single" w:sz="4" w:space="0" w:color="auto"/>
            </w:tcBorders>
            <w:shd w:val="clear" w:color="auto" w:fill="auto"/>
            <w:hideMark/>
          </w:tcPr>
          <w:p w14:paraId="0F6216F4"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22</w:t>
            </w:r>
          </w:p>
        </w:tc>
        <w:tc>
          <w:tcPr>
            <w:tcW w:w="2040" w:type="dxa"/>
            <w:vMerge/>
            <w:tcBorders>
              <w:top w:val="nil"/>
              <w:left w:val="nil"/>
              <w:bottom w:val="single" w:sz="4" w:space="0" w:color="000000"/>
              <w:right w:val="single" w:sz="4" w:space="0" w:color="auto"/>
            </w:tcBorders>
            <w:hideMark/>
          </w:tcPr>
          <w:p w14:paraId="41174CFB" w14:textId="77777777" w:rsidR="00156430" w:rsidRPr="00A07FCC" w:rsidRDefault="00156430" w:rsidP="004E6B23">
            <w:pPr>
              <w:spacing w:after="0" w:line="240" w:lineRule="auto"/>
              <w:rPr>
                <w:rFonts w:ascii="Poppins" w:eastAsia="Times New Roman" w:hAnsi="Poppins" w:cs="Poppins"/>
                <w:b/>
                <w:bCs/>
                <w:color w:val="000000"/>
                <w:sz w:val="19"/>
                <w:szCs w:val="19"/>
              </w:rPr>
            </w:pPr>
          </w:p>
        </w:tc>
        <w:tc>
          <w:tcPr>
            <w:tcW w:w="2120" w:type="dxa"/>
            <w:tcBorders>
              <w:top w:val="nil"/>
              <w:left w:val="nil"/>
              <w:bottom w:val="single" w:sz="4" w:space="0" w:color="auto"/>
              <w:right w:val="single" w:sz="4" w:space="0" w:color="auto"/>
            </w:tcBorders>
            <w:shd w:val="clear" w:color="auto" w:fill="auto"/>
            <w:hideMark/>
          </w:tcPr>
          <w:p w14:paraId="35F117D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Climate-resilient fisheries and aquaculture</w:t>
            </w:r>
          </w:p>
        </w:tc>
        <w:tc>
          <w:tcPr>
            <w:tcW w:w="2040" w:type="dxa"/>
            <w:tcBorders>
              <w:top w:val="nil"/>
              <w:left w:val="nil"/>
              <w:bottom w:val="single" w:sz="4" w:space="0" w:color="auto"/>
              <w:right w:val="single" w:sz="4" w:space="0" w:color="auto"/>
            </w:tcBorders>
            <w:shd w:val="clear" w:color="auto" w:fill="auto"/>
            <w:hideMark/>
          </w:tcPr>
          <w:p w14:paraId="7D2B9692"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A031, A032</w:t>
            </w:r>
          </w:p>
        </w:tc>
        <w:tc>
          <w:tcPr>
            <w:tcW w:w="1940" w:type="dxa"/>
            <w:tcBorders>
              <w:top w:val="nil"/>
              <w:left w:val="nil"/>
              <w:bottom w:val="single" w:sz="4" w:space="0" w:color="auto"/>
              <w:right w:val="single" w:sz="4" w:space="0" w:color="auto"/>
            </w:tcBorders>
            <w:shd w:val="clear" w:color="auto" w:fill="auto"/>
            <w:hideMark/>
          </w:tcPr>
          <w:p w14:paraId="0C3C6397"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National Fisheries Policy, Provincial Fisheries Acts</w:t>
            </w:r>
          </w:p>
        </w:tc>
        <w:tc>
          <w:tcPr>
            <w:tcW w:w="2760" w:type="dxa"/>
            <w:tcBorders>
              <w:top w:val="nil"/>
              <w:left w:val="nil"/>
              <w:bottom w:val="single" w:sz="4" w:space="0" w:color="auto"/>
              <w:right w:val="single" w:sz="4" w:space="0" w:color="auto"/>
            </w:tcBorders>
            <w:shd w:val="clear" w:color="auto" w:fill="auto"/>
            <w:hideMark/>
          </w:tcPr>
          <w:p w14:paraId="03C557C6" w14:textId="77777777" w:rsidR="00156430" w:rsidRPr="00156430" w:rsidRDefault="00156430" w:rsidP="004E6B23">
            <w:pPr>
              <w:spacing w:after="0" w:line="240" w:lineRule="auto"/>
              <w:rPr>
                <w:rFonts w:ascii="Poppins" w:eastAsia="Times New Roman" w:hAnsi="Poppins" w:cs="Poppins"/>
                <w:color w:val="000000"/>
                <w:sz w:val="19"/>
                <w:szCs w:val="19"/>
              </w:rPr>
            </w:pPr>
            <w:r w:rsidRPr="00156430">
              <w:rPr>
                <w:rFonts w:ascii="Poppins" w:eastAsia="Times New Roman" w:hAnsi="Poppins" w:cs="Poppins"/>
                <w:color w:val="000000"/>
                <w:sz w:val="19"/>
                <w:szCs w:val="19"/>
              </w:rPr>
              <w:t>Aquaculture Stewardship Council, National Adaptation Plan</w:t>
            </w:r>
          </w:p>
        </w:tc>
      </w:tr>
    </w:tbl>
    <w:p w14:paraId="1C029B85" w14:textId="77777777" w:rsidR="009A7232" w:rsidRDefault="009A7232" w:rsidP="008540C3">
      <w:pPr>
        <w:ind w:left="360"/>
        <w:rPr>
          <w:rFonts w:ascii="Poppins" w:hAnsi="Poppins" w:cs="Poppins"/>
          <w:sz w:val="20"/>
          <w:szCs w:val="20"/>
        </w:rPr>
      </w:pPr>
    </w:p>
    <w:p w14:paraId="15A9E8A7" w14:textId="77777777" w:rsidR="00881BC8" w:rsidRDefault="00881BC8" w:rsidP="008540C3">
      <w:pPr>
        <w:ind w:left="360"/>
        <w:rPr>
          <w:rFonts w:ascii="Poppins" w:hAnsi="Poppins" w:cs="Poppins"/>
          <w:sz w:val="20"/>
          <w:szCs w:val="20"/>
        </w:rPr>
      </w:pPr>
    </w:p>
    <w:p w14:paraId="201FC86E" w14:textId="77777777" w:rsidR="00881BC8" w:rsidRDefault="00881BC8" w:rsidP="008540C3">
      <w:pPr>
        <w:ind w:left="360"/>
        <w:rPr>
          <w:rFonts w:ascii="Poppins" w:hAnsi="Poppins" w:cs="Poppins"/>
          <w:sz w:val="20"/>
          <w:szCs w:val="20"/>
        </w:rPr>
      </w:pPr>
    </w:p>
    <w:p w14:paraId="2E13916A" w14:textId="31EA7696" w:rsidR="00DB3B93" w:rsidRDefault="00A632BC" w:rsidP="00A632BC">
      <w:pPr>
        <w:pStyle w:val="Heading1"/>
      </w:pPr>
      <w:r w:rsidRPr="00F35195">
        <w:lastRenderedPageBreak/>
        <w:t>Annex F: Summary of ICMA SLBP Requirements</w:t>
      </w:r>
    </w:p>
    <w:tbl>
      <w:tblPr>
        <w:tblW w:w="14940" w:type="dxa"/>
        <w:tblLook w:val="04A0" w:firstRow="1" w:lastRow="0" w:firstColumn="1" w:lastColumn="0" w:noHBand="0" w:noVBand="1"/>
      </w:tblPr>
      <w:tblGrid>
        <w:gridCol w:w="1420"/>
        <w:gridCol w:w="3380"/>
        <w:gridCol w:w="3380"/>
        <w:gridCol w:w="3380"/>
        <w:gridCol w:w="3380"/>
      </w:tblGrid>
      <w:tr w:rsidR="00DB3B93" w:rsidRPr="00DB3B93" w14:paraId="29C9F487" w14:textId="77777777" w:rsidTr="00735DE1">
        <w:trPr>
          <w:trHeight w:val="1000"/>
          <w:tblHeader/>
        </w:trPr>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3AE56F5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Sr. No. </w:t>
            </w:r>
          </w:p>
        </w:tc>
        <w:tc>
          <w:tcPr>
            <w:tcW w:w="3380" w:type="dxa"/>
            <w:tcBorders>
              <w:top w:val="single" w:sz="4" w:space="0" w:color="auto"/>
              <w:left w:val="nil"/>
              <w:bottom w:val="single" w:sz="4" w:space="0" w:color="auto"/>
              <w:right w:val="single" w:sz="4" w:space="0" w:color="auto"/>
            </w:tcBorders>
            <w:shd w:val="clear" w:color="auto" w:fill="auto"/>
            <w:hideMark/>
          </w:tcPr>
          <w:p w14:paraId="0EED2B6F"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SLBP Component</w:t>
            </w:r>
          </w:p>
        </w:tc>
        <w:tc>
          <w:tcPr>
            <w:tcW w:w="3380" w:type="dxa"/>
            <w:tcBorders>
              <w:top w:val="single" w:sz="4" w:space="0" w:color="auto"/>
              <w:left w:val="nil"/>
              <w:bottom w:val="single" w:sz="4" w:space="0" w:color="auto"/>
              <w:right w:val="single" w:sz="4" w:space="0" w:color="auto"/>
            </w:tcBorders>
            <w:shd w:val="clear" w:color="auto" w:fill="auto"/>
            <w:hideMark/>
          </w:tcPr>
          <w:p w14:paraId="3BA7F819"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Description</w:t>
            </w:r>
          </w:p>
        </w:tc>
        <w:tc>
          <w:tcPr>
            <w:tcW w:w="3380" w:type="dxa"/>
            <w:tcBorders>
              <w:top w:val="single" w:sz="4" w:space="0" w:color="auto"/>
              <w:left w:val="nil"/>
              <w:bottom w:val="single" w:sz="4" w:space="0" w:color="auto"/>
              <w:right w:val="single" w:sz="4" w:space="0" w:color="auto"/>
            </w:tcBorders>
            <w:shd w:val="clear" w:color="auto" w:fill="auto"/>
            <w:hideMark/>
          </w:tcPr>
          <w:p w14:paraId="35E5A875"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Key Requirements</w:t>
            </w:r>
          </w:p>
        </w:tc>
        <w:tc>
          <w:tcPr>
            <w:tcW w:w="3380" w:type="dxa"/>
            <w:tcBorders>
              <w:top w:val="single" w:sz="4" w:space="0" w:color="auto"/>
              <w:left w:val="nil"/>
              <w:bottom w:val="single" w:sz="4" w:space="0" w:color="auto"/>
              <w:right w:val="single" w:sz="4" w:space="0" w:color="auto"/>
            </w:tcBorders>
            <w:shd w:val="clear" w:color="auto" w:fill="auto"/>
            <w:hideMark/>
          </w:tcPr>
          <w:p w14:paraId="467C4E05"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Examples / Notes</w:t>
            </w:r>
          </w:p>
        </w:tc>
      </w:tr>
      <w:tr w:rsidR="00DB3B93" w:rsidRPr="00DB3B93" w14:paraId="75D0B9B0"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43B6A94C"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5189A2AC"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 Selection of KPIs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2832871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Identify relevant sustainability indicators linked to issuer’s strategy</w:t>
            </w:r>
          </w:p>
        </w:tc>
        <w:tc>
          <w:tcPr>
            <w:tcW w:w="3380" w:type="dxa"/>
            <w:tcBorders>
              <w:top w:val="nil"/>
              <w:left w:val="nil"/>
              <w:bottom w:val="single" w:sz="4" w:space="0" w:color="auto"/>
              <w:right w:val="single" w:sz="4" w:space="0" w:color="auto"/>
            </w:tcBorders>
            <w:shd w:val="clear" w:color="auto" w:fill="auto"/>
            <w:hideMark/>
          </w:tcPr>
          <w:p w14:paraId="35743DD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KPIs must be relevant, measurable, externally verifiable</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47753074"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Examples: GHG emissions, water usage, renewable energy %, employee diversity</w:t>
            </w:r>
          </w:p>
        </w:tc>
      </w:tr>
      <w:tr w:rsidR="00DB3B93" w:rsidRPr="00DB3B93" w14:paraId="18CCF78B"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6370963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2</w:t>
            </w:r>
          </w:p>
        </w:tc>
        <w:tc>
          <w:tcPr>
            <w:tcW w:w="3380" w:type="dxa"/>
            <w:vMerge/>
            <w:tcBorders>
              <w:top w:val="nil"/>
              <w:left w:val="single" w:sz="4" w:space="0" w:color="auto"/>
              <w:bottom w:val="single" w:sz="4" w:space="0" w:color="auto"/>
              <w:right w:val="single" w:sz="4" w:space="0" w:color="auto"/>
            </w:tcBorders>
            <w:hideMark/>
          </w:tcPr>
          <w:p w14:paraId="713E9603"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090DE47C"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75031208"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Material and quantifiable</w:t>
            </w:r>
          </w:p>
        </w:tc>
        <w:tc>
          <w:tcPr>
            <w:tcW w:w="3380" w:type="dxa"/>
            <w:vMerge/>
            <w:tcBorders>
              <w:top w:val="nil"/>
              <w:left w:val="single" w:sz="4" w:space="0" w:color="auto"/>
              <w:bottom w:val="single" w:sz="4" w:space="0" w:color="auto"/>
              <w:right w:val="single" w:sz="4" w:space="0" w:color="auto"/>
            </w:tcBorders>
            <w:hideMark/>
          </w:tcPr>
          <w:p w14:paraId="11D7A476"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6D029975"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0A415D93"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3</w:t>
            </w:r>
          </w:p>
        </w:tc>
        <w:tc>
          <w:tcPr>
            <w:tcW w:w="3380" w:type="dxa"/>
            <w:vMerge/>
            <w:tcBorders>
              <w:top w:val="nil"/>
              <w:left w:val="single" w:sz="4" w:space="0" w:color="auto"/>
              <w:bottom w:val="single" w:sz="4" w:space="0" w:color="auto"/>
              <w:right w:val="single" w:sz="4" w:space="0" w:color="auto"/>
            </w:tcBorders>
            <w:hideMark/>
          </w:tcPr>
          <w:p w14:paraId="08AF8E39"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51EFCE90"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77D44A71"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Reflect issuer’s sustainability strategy</w:t>
            </w:r>
          </w:p>
        </w:tc>
        <w:tc>
          <w:tcPr>
            <w:tcW w:w="3380" w:type="dxa"/>
            <w:vMerge/>
            <w:tcBorders>
              <w:top w:val="nil"/>
              <w:left w:val="single" w:sz="4" w:space="0" w:color="auto"/>
              <w:bottom w:val="single" w:sz="4" w:space="0" w:color="auto"/>
              <w:right w:val="single" w:sz="4" w:space="0" w:color="auto"/>
            </w:tcBorders>
            <w:hideMark/>
          </w:tcPr>
          <w:p w14:paraId="2638D2FA"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50801F04"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17C61923"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4</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25BF227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Calibration of SPTs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309A0566"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Define ambitious, meaningful sustainability performance targets</w:t>
            </w:r>
          </w:p>
        </w:tc>
        <w:tc>
          <w:tcPr>
            <w:tcW w:w="3380" w:type="dxa"/>
            <w:tcBorders>
              <w:top w:val="nil"/>
              <w:left w:val="nil"/>
              <w:bottom w:val="single" w:sz="4" w:space="0" w:color="auto"/>
              <w:right w:val="single" w:sz="4" w:space="0" w:color="auto"/>
            </w:tcBorders>
            <w:shd w:val="clear" w:color="auto" w:fill="auto"/>
            <w:hideMark/>
          </w:tcPr>
          <w:p w14:paraId="1FCDEF8D"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Targets must be time-bound and measurable</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3A6BB15D"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Science-Based Targets (SBTi), absolute or intensity-based targets</w:t>
            </w:r>
          </w:p>
        </w:tc>
      </w:tr>
      <w:tr w:rsidR="00DB3B93" w:rsidRPr="00DB3B93" w14:paraId="34EB4F52"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5E32BB5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5</w:t>
            </w:r>
          </w:p>
        </w:tc>
        <w:tc>
          <w:tcPr>
            <w:tcW w:w="3380" w:type="dxa"/>
            <w:vMerge/>
            <w:tcBorders>
              <w:top w:val="nil"/>
              <w:left w:val="single" w:sz="4" w:space="0" w:color="auto"/>
              <w:bottom w:val="single" w:sz="4" w:space="0" w:color="auto"/>
              <w:right w:val="single" w:sz="4" w:space="0" w:color="auto"/>
            </w:tcBorders>
            <w:hideMark/>
          </w:tcPr>
          <w:p w14:paraId="5B48C440"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119DC370"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6C5F60A6"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Clear baseline and target dates</w:t>
            </w:r>
          </w:p>
        </w:tc>
        <w:tc>
          <w:tcPr>
            <w:tcW w:w="3380" w:type="dxa"/>
            <w:vMerge/>
            <w:tcBorders>
              <w:top w:val="nil"/>
              <w:left w:val="single" w:sz="4" w:space="0" w:color="auto"/>
              <w:bottom w:val="single" w:sz="4" w:space="0" w:color="auto"/>
              <w:right w:val="single" w:sz="4" w:space="0" w:color="auto"/>
            </w:tcBorders>
            <w:hideMark/>
          </w:tcPr>
          <w:p w14:paraId="220BACA7"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1B3E95E9"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424ECFA9"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6</w:t>
            </w:r>
          </w:p>
        </w:tc>
        <w:tc>
          <w:tcPr>
            <w:tcW w:w="3380" w:type="dxa"/>
            <w:vMerge/>
            <w:tcBorders>
              <w:top w:val="nil"/>
              <w:left w:val="single" w:sz="4" w:space="0" w:color="auto"/>
              <w:bottom w:val="single" w:sz="4" w:space="0" w:color="auto"/>
              <w:right w:val="single" w:sz="4" w:space="0" w:color="auto"/>
            </w:tcBorders>
            <w:hideMark/>
          </w:tcPr>
          <w:p w14:paraId="64815C2F"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51BA7674"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795F11E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Aligned with international/sectoral standards</w:t>
            </w:r>
          </w:p>
        </w:tc>
        <w:tc>
          <w:tcPr>
            <w:tcW w:w="3380" w:type="dxa"/>
            <w:vMerge/>
            <w:tcBorders>
              <w:top w:val="nil"/>
              <w:left w:val="single" w:sz="4" w:space="0" w:color="auto"/>
              <w:bottom w:val="single" w:sz="4" w:space="0" w:color="auto"/>
              <w:right w:val="single" w:sz="4" w:space="0" w:color="auto"/>
            </w:tcBorders>
            <w:hideMark/>
          </w:tcPr>
          <w:p w14:paraId="4F3E11D2"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1D04515F"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4B09BF58"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7</w:t>
            </w:r>
          </w:p>
        </w:tc>
        <w:tc>
          <w:tcPr>
            <w:tcW w:w="3380" w:type="dxa"/>
            <w:tcBorders>
              <w:top w:val="nil"/>
              <w:left w:val="nil"/>
              <w:bottom w:val="single" w:sz="4" w:space="0" w:color="auto"/>
              <w:right w:val="single" w:sz="4" w:space="0" w:color="auto"/>
            </w:tcBorders>
            <w:shd w:val="clear" w:color="auto" w:fill="auto"/>
            <w:hideMark/>
          </w:tcPr>
          <w:p w14:paraId="4FFE798C"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 Bond Characteristics </w:t>
            </w:r>
          </w:p>
        </w:tc>
        <w:tc>
          <w:tcPr>
            <w:tcW w:w="3380" w:type="dxa"/>
            <w:tcBorders>
              <w:top w:val="nil"/>
              <w:left w:val="nil"/>
              <w:bottom w:val="single" w:sz="4" w:space="0" w:color="auto"/>
              <w:right w:val="single" w:sz="4" w:space="0" w:color="auto"/>
            </w:tcBorders>
            <w:shd w:val="clear" w:color="auto" w:fill="auto"/>
            <w:hideMark/>
          </w:tcPr>
          <w:p w14:paraId="7089BCE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Financial/structural bond features linked to SPT achievement</w:t>
            </w:r>
          </w:p>
        </w:tc>
        <w:tc>
          <w:tcPr>
            <w:tcW w:w="3380" w:type="dxa"/>
            <w:tcBorders>
              <w:top w:val="nil"/>
              <w:left w:val="nil"/>
              <w:bottom w:val="single" w:sz="4" w:space="0" w:color="auto"/>
              <w:right w:val="single" w:sz="4" w:space="0" w:color="auto"/>
            </w:tcBorders>
            <w:shd w:val="clear" w:color="auto" w:fill="auto"/>
            <w:hideMark/>
          </w:tcPr>
          <w:p w14:paraId="6F201FD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Coupon step-up or other financial incentives triggered by SPT achievement or failure</w:t>
            </w:r>
          </w:p>
        </w:tc>
        <w:tc>
          <w:tcPr>
            <w:tcW w:w="3380" w:type="dxa"/>
            <w:tcBorders>
              <w:top w:val="nil"/>
              <w:left w:val="nil"/>
              <w:bottom w:val="single" w:sz="4" w:space="0" w:color="auto"/>
              <w:right w:val="single" w:sz="4" w:space="0" w:color="auto"/>
            </w:tcBorders>
            <w:shd w:val="clear" w:color="auto" w:fill="auto"/>
            <w:hideMark/>
          </w:tcPr>
          <w:p w14:paraId="3E71563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Creates financial motivation for issuer to meet targets</w:t>
            </w:r>
          </w:p>
        </w:tc>
      </w:tr>
      <w:tr w:rsidR="00DB3B93" w:rsidRPr="00DB3B93" w14:paraId="0F6BF0DD"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49B26C7F"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lastRenderedPageBreak/>
              <w:t>8</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5CF92CCF"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Reporting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5E38F7E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Transparent, regular disclosure of KPI performance and progress</w:t>
            </w:r>
          </w:p>
        </w:tc>
        <w:tc>
          <w:tcPr>
            <w:tcW w:w="3380" w:type="dxa"/>
            <w:tcBorders>
              <w:top w:val="nil"/>
              <w:left w:val="nil"/>
              <w:bottom w:val="single" w:sz="4" w:space="0" w:color="auto"/>
              <w:right w:val="single" w:sz="4" w:space="0" w:color="auto"/>
            </w:tcBorders>
            <w:shd w:val="clear" w:color="auto" w:fill="auto"/>
            <w:hideMark/>
          </w:tcPr>
          <w:p w14:paraId="4A8A8E84"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At least annual reporting</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408A29A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Enhances transparency and investor confidence</w:t>
            </w:r>
          </w:p>
        </w:tc>
      </w:tr>
      <w:tr w:rsidR="00DB3B93" w:rsidRPr="00DB3B93" w14:paraId="4A6E9B76"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3B040CED"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9</w:t>
            </w:r>
          </w:p>
        </w:tc>
        <w:tc>
          <w:tcPr>
            <w:tcW w:w="3380" w:type="dxa"/>
            <w:vMerge/>
            <w:tcBorders>
              <w:top w:val="nil"/>
              <w:left w:val="single" w:sz="4" w:space="0" w:color="auto"/>
              <w:bottom w:val="single" w:sz="4" w:space="0" w:color="auto"/>
              <w:right w:val="single" w:sz="4" w:space="0" w:color="auto"/>
            </w:tcBorders>
            <w:hideMark/>
          </w:tcPr>
          <w:p w14:paraId="2570B43E"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6FBF87AF"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21C54AA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Publicly available</w:t>
            </w:r>
          </w:p>
        </w:tc>
        <w:tc>
          <w:tcPr>
            <w:tcW w:w="3380" w:type="dxa"/>
            <w:vMerge/>
            <w:tcBorders>
              <w:top w:val="nil"/>
              <w:left w:val="single" w:sz="4" w:space="0" w:color="auto"/>
              <w:bottom w:val="single" w:sz="4" w:space="0" w:color="auto"/>
              <w:right w:val="single" w:sz="4" w:space="0" w:color="auto"/>
            </w:tcBorders>
            <w:hideMark/>
          </w:tcPr>
          <w:p w14:paraId="28CC8DF4"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56AF9EBB"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104EE53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10</w:t>
            </w:r>
          </w:p>
        </w:tc>
        <w:tc>
          <w:tcPr>
            <w:tcW w:w="3380" w:type="dxa"/>
            <w:vMerge/>
            <w:tcBorders>
              <w:top w:val="nil"/>
              <w:left w:val="single" w:sz="4" w:space="0" w:color="auto"/>
              <w:bottom w:val="single" w:sz="4" w:space="0" w:color="auto"/>
              <w:right w:val="single" w:sz="4" w:space="0" w:color="auto"/>
            </w:tcBorders>
            <w:hideMark/>
          </w:tcPr>
          <w:p w14:paraId="3DBB7526"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5B89FF4E"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58143EA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Includes contextual info</w:t>
            </w:r>
          </w:p>
        </w:tc>
        <w:tc>
          <w:tcPr>
            <w:tcW w:w="3380" w:type="dxa"/>
            <w:vMerge/>
            <w:tcBorders>
              <w:top w:val="nil"/>
              <w:left w:val="single" w:sz="4" w:space="0" w:color="auto"/>
              <w:bottom w:val="single" w:sz="4" w:space="0" w:color="auto"/>
              <w:right w:val="single" w:sz="4" w:space="0" w:color="auto"/>
            </w:tcBorders>
            <w:hideMark/>
          </w:tcPr>
          <w:p w14:paraId="1BB3AAE4"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2D0B4C9F"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2A6944BA"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11</w:t>
            </w:r>
          </w:p>
        </w:tc>
        <w:tc>
          <w:tcPr>
            <w:tcW w:w="3380" w:type="dxa"/>
            <w:vMerge/>
            <w:tcBorders>
              <w:top w:val="nil"/>
              <w:left w:val="single" w:sz="4" w:space="0" w:color="auto"/>
              <w:bottom w:val="single" w:sz="4" w:space="0" w:color="auto"/>
              <w:right w:val="single" w:sz="4" w:space="0" w:color="auto"/>
            </w:tcBorders>
            <w:hideMark/>
          </w:tcPr>
          <w:p w14:paraId="237E506A"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3FDFB8DE"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04C3E5A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External assurance encouraged</w:t>
            </w:r>
          </w:p>
        </w:tc>
        <w:tc>
          <w:tcPr>
            <w:tcW w:w="3380" w:type="dxa"/>
            <w:vMerge/>
            <w:tcBorders>
              <w:top w:val="nil"/>
              <w:left w:val="single" w:sz="4" w:space="0" w:color="auto"/>
              <w:bottom w:val="single" w:sz="4" w:space="0" w:color="auto"/>
              <w:right w:val="single" w:sz="4" w:space="0" w:color="auto"/>
            </w:tcBorders>
            <w:hideMark/>
          </w:tcPr>
          <w:p w14:paraId="6A4D282E"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30114887"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2587366C"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12</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4F3F8BB9"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Verification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53E024C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Independent external verification of performance against SPTs</w:t>
            </w:r>
          </w:p>
        </w:tc>
        <w:tc>
          <w:tcPr>
            <w:tcW w:w="3380" w:type="dxa"/>
            <w:tcBorders>
              <w:top w:val="nil"/>
              <w:left w:val="nil"/>
              <w:bottom w:val="single" w:sz="4" w:space="0" w:color="auto"/>
              <w:right w:val="single" w:sz="4" w:space="0" w:color="auto"/>
            </w:tcBorders>
            <w:shd w:val="clear" w:color="auto" w:fill="auto"/>
            <w:hideMark/>
          </w:tcPr>
          <w:p w14:paraId="58EFC7B3"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Verification by qualified third party</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01CCFCF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Can be assurance, limited or reasonable assurance engagements</w:t>
            </w:r>
          </w:p>
        </w:tc>
      </w:tr>
      <w:tr w:rsidR="00DB3B93" w:rsidRPr="00DB3B93" w14:paraId="204A39AC"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221830C0"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13</w:t>
            </w:r>
          </w:p>
        </w:tc>
        <w:tc>
          <w:tcPr>
            <w:tcW w:w="3380" w:type="dxa"/>
            <w:vMerge/>
            <w:tcBorders>
              <w:top w:val="nil"/>
              <w:left w:val="single" w:sz="4" w:space="0" w:color="auto"/>
              <w:bottom w:val="single" w:sz="4" w:space="0" w:color="auto"/>
              <w:right w:val="single" w:sz="4" w:space="0" w:color="auto"/>
            </w:tcBorders>
            <w:hideMark/>
          </w:tcPr>
          <w:p w14:paraId="1512E7BB"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1150AA55"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5EA33799"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Enhances credibility and market confidence</w:t>
            </w:r>
          </w:p>
        </w:tc>
        <w:tc>
          <w:tcPr>
            <w:tcW w:w="3380" w:type="dxa"/>
            <w:vMerge/>
            <w:tcBorders>
              <w:top w:val="nil"/>
              <w:left w:val="single" w:sz="4" w:space="0" w:color="auto"/>
              <w:bottom w:val="single" w:sz="4" w:space="0" w:color="auto"/>
              <w:right w:val="single" w:sz="4" w:space="0" w:color="auto"/>
            </w:tcBorders>
            <w:hideMark/>
          </w:tcPr>
          <w:p w14:paraId="3698D5AE"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5536ED5F"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5A933D9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14</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5DADEBD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Additional Guidance &amp; Updates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743CB2B3"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Recent clarifications and expanded guidance</w:t>
            </w:r>
          </w:p>
        </w:tc>
        <w:tc>
          <w:tcPr>
            <w:tcW w:w="3380" w:type="dxa"/>
            <w:tcBorders>
              <w:top w:val="nil"/>
              <w:left w:val="nil"/>
              <w:bottom w:val="single" w:sz="4" w:space="0" w:color="auto"/>
              <w:right w:val="single" w:sz="4" w:space="0" w:color="auto"/>
            </w:tcBorders>
            <w:shd w:val="clear" w:color="auto" w:fill="auto"/>
            <w:hideMark/>
          </w:tcPr>
          <w:p w14:paraId="57A06DF1"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Inclusion of social KPIs</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40A6AC90" w14:textId="77777777" w:rsidR="00DB3B93" w:rsidRPr="00DB3B93" w:rsidRDefault="00DB3B93" w:rsidP="004E6B23">
            <w:pPr>
              <w:spacing w:after="0" w:line="240" w:lineRule="auto"/>
              <w:rPr>
                <w:rFonts w:ascii="Poppins" w:eastAsia="Times New Roman" w:hAnsi="Poppins" w:cs="Poppins"/>
                <w:color w:val="000000"/>
                <w:sz w:val="19"/>
                <w:szCs w:val="19"/>
              </w:rPr>
            </w:pPr>
            <w:proofErr w:type="gramStart"/>
            <w:r w:rsidRPr="00DB3B93">
              <w:rPr>
                <w:rFonts w:ascii="Poppins" w:eastAsia="Times New Roman" w:hAnsi="Poppins" w:cs="Poppins"/>
                <w:color w:val="000000"/>
                <w:sz w:val="19"/>
                <w:szCs w:val="19"/>
              </w:rPr>
              <w:t>Updated in</w:t>
            </w:r>
            <w:proofErr w:type="gramEnd"/>
            <w:r w:rsidRPr="00DB3B93">
              <w:rPr>
                <w:rFonts w:ascii="Poppins" w:eastAsia="Times New Roman" w:hAnsi="Poppins" w:cs="Poppins"/>
                <w:color w:val="000000"/>
                <w:sz w:val="19"/>
                <w:szCs w:val="19"/>
              </w:rPr>
              <w:t xml:space="preserve"> 2024-2025, consult ICMA official documents</w:t>
            </w:r>
          </w:p>
        </w:tc>
      </w:tr>
      <w:tr w:rsidR="00DB3B93" w:rsidRPr="00DB3B93" w14:paraId="032EDCB3"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373D4648"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lastRenderedPageBreak/>
              <w:t>15</w:t>
            </w:r>
          </w:p>
        </w:tc>
        <w:tc>
          <w:tcPr>
            <w:tcW w:w="3380" w:type="dxa"/>
            <w:vMerge/>
            <w:tcBorders>
              <w:top w:val="nil"/>
              <w:left w:val="single" w:sz="4" w:space="0" w:color="auto"/>
              <w:bottom w:val="single" w:sz="4" w:space="0" w:color="auto"/>
              <w:right w:val="single" w:sz="4" w:space="0" w:color="auto"/>
            </w:tcBorders>
            <w:hideMark/>
          </w:tcPr>
          <w:p w14:paraId="44BDF9CB"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4724BF15"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67C3566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Guidance for sovereign issuers</w:t>
            </w:r>
          </w:p>
        </w:tc>
        <w:tc>
          <w:tcPr>
            <w:tcW w:w="3380" w:type="dxa"/>
            <w:vMerge/>
            <w:tcBorders>
              <w:top w:val="nil"/>
              <w:left w:val="single" w:sz="4" w:space="0" w:color="auto"/>
              <w:bottom w:val="single" w:sz="4" w:space="0" w:color="auto"/>
              <w:right w:val="single" w:sz="4" w:space="0" w:color="auto"/>
            </w:tcBorders>
            <w:hideMark/>
          </w:tcPr>
          <w:p w14:paraId="4BD69C16"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70D09AD7"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37D5774D"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16</w:t>
            </w:r>
          </w:p>
        </w:tc>
        <w:tc>
          <w:tcPr>
            <w:tcW w:w="3380" w:type="dxa"/>
            <w:vMerge/>
            <w:tcBorders>
              <w:top w:val="nil"/>
              <w:left w:val="single" w:sz="4" w:space="0" w:color="auto"/>
              <w:bottom w:val="single" w:sz="4" w:space="0" w:color="auto"/>
              <w:right w:val="single" w:sz="4" w:space="0" w:color="auto"/>
            </w:tcBorders>
            <w:hideMark/>
          </w:tcPr>
          <w:p w14:paraId="134E8843"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46CE412A"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71A6C564"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Illustrative KPIs Registry</w:t>
            </w:r>
          </w:p>
        </w:tc>
        <w:tc>
          <w:tcPr>
            <w:tcW w:w="3380" w:type="dxa"/>
            <w:vMerge/>
            <w:tcBorders>
              <w:top w:val="nil"/>
              <w:left w:val="single" w:sz="4" w:space="0" w:color="auto"/>
              <w:bottom w:val="single" w:sz="4" w:space="0" w:color="auto"/>
              <w:right w:val="single" w:sz="4" w:space="0" w:color="auto"/>
            </w:tcBorders>
            <w:hideMark/>
          </w:tcPr>
          <w:p w14:paraId="25EF8511"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50C39C4C"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0DD116C1"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17</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2962AC4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Objectives &amp; Benefits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4977E22E"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Purpose and advantages of SLBs</w:t>
            </w:r>
          </w:p>
        </w:tc>
        <w:tc>
          <w:tcPr>
            <w:tcW w:w="3380" w:type="dxa"/>
            <w:tcBorders>
              <w:top w:val="nil"/>
              <w:left w:val="nil"/>
              <w:bottom w:val="single" w:sz="4" w:space="0" w:color="auto"/>
              <w:right w:val="single" w:sz="4" w:space="0" w:color="auto"/>
            </w:tcBorders>
            <w:shd w:val="clear" w:color="auto" w:fill="auto"/>
            <w:hideMark/>
          </w:tcPr>
          <w:p w14:paraId="172CD601"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Promote continuous sustainability improvement</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2E1AAF4B"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Mobilizes capital for sustainable development, ESG integration</w:t>
            </w:r>
          </w:p>
        </w:tc>
      </w:tr>
      <w:tr w:rsidR="00DB3B93" w:rsidRPr="00DB3B93" w14:paraId="7AF0B82C"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7B4FF775"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18</w:t>
            </w:r>
          </w:p>
        </w:tc>
        <w:tc>
          <w:tcPr>
            <w:tcW w:w="3380" w:type="dxa"/>
            <w:vMerge/>
            <w:tcBorders>
              <w:top w:val="nil"/>
              <w:left w:val="single" w:sz="4" w:space="0" w:color="auto"/>
              <w:bottom w:val="single" w:sz="4" w:space="0" w:color="auto"/>
              <w:right w:val="single" w:sz="4" w:space="0" w:color="auto"/>
            </w:tcBorders>
            <w:hideMark/>
          </w:tcPr>
          <w:p w14:paraId="45D53A44"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202918CC"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63A918A2"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Flexibility for issuers</w:t>
            </w:r>
          </w:p>
        </w:tc>
        <w:tc>
          <w:tcPr>
            <w:tcW w:w="3380" w:type="dxa"/>
            <w:vMerge/>
            <w:tcBorders>
              <w:top w:val="nil"/>
              <w:left w:val="single" w:sz="4" w:space="0" w:color="auto"/>
              <w:bottom w:val="single" w:sz="4" w:space="0" w:color="auto"/>
              <w:right w:val="single" w:sz="4" w:space="0" w:color="auto"/>
            </w:tcBorders>
            <w:hideMark/>
          </w:tcPr>
          <w:p w14:paraId="6922E67A"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695C046C"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7FD678BA"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19</w:t>
            </w:r>
          </w:p>
        </w:tc>
        <w:tc>
          <w:tcPr>
            <w:tcW w:w="3380" w:type="dxa"/>
            <w:vMerge/>
            <w:tcBorders>
              <w:top w:val="nil"/>
              <w:left w:val="single" w:sz="4" w:space="0" w:color="auto"/>
              <w:bottom w:val="single" w:sz="4" w:space="0" w:color="auto"/>
              <w:right w:val="single" w:sz="4" w:space="0" w:color="auto"/>
            </w:tcBorders>
            <w:hideMark/>
          </w:tcPr>
          <w:p w14:paraId="61E26470"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45341A0B"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7AD7ED69"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Transparency for investors</w:t>
            </w:r>
          </w:p>
        </w:tc>
        <w:tc>
          <w:tcPr>
            <w:tcW w:w="3380" w:type="dxa"/>
            <w:vMerge/>
            <w:tcBorders>
              <w:top w:val="nil"/>
              <w:left w:val="single" w:sz="4" w:space="0" w:color="auto"/>
              <w:bottom w:val="single" w:sz="4" w:space="0" w:color="auto"/>
              <w:right w:val="single" w:sz="4" w:space="0" w:color="auto"/>
            </w:tcBorders>
            <w:hideMark/>
          </w:tcPr>
          <w:p w14:paraId="48BBD80B" w14:textId="77777777" w:rsidR="00DB3B93" w:rsidRPr="00DB3B93" w:rsidRDefault="00DB3B93" w:rsidP="004E6B23">
            <w:pPr>
              <w:spacing w:after="0" w:line="240" w:lineRule="auto"/>
              <w:rPr>
                <w:rFonts w:ascii="Poppins" w:eastAsia="Times New Roman" w:hAnsi="Poppins" w:cs="Poppins"/>
                <w:color w:val="000000"/>
                <w:sz w:val="19"/>
                <w:szCs w:val="19"/>
              </w:rPr>
            </w:pPr>
          </w:p>
        </w:tc>
      </w:tr>
      <w:tr w:rsidR="00DB3B93" w:rsidRPr="00DB3B93" w14:paraId="3EF8363E"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0A2288B1"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20</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69E29F87"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xml:space="preserve">Applicability </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360EE4D8"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Scope of issuers and instruments</w:t>
            </w:r>
          </w:p>
        </w:tc>
        <w:tc>
          <w:tcPr>
            <w:tcW w:w="3380" w:type="dxa"/>
            <w:tcBorders>
              <w:top w:val="nil"/>
              <w:left w:val="nil"/>
              <w:bottom w:val="single" w:sz="4" w:space="0" w:color="auto"/>
              <w:right w:val="single" w:sz="4" w:space="0" w:color="auto"/>
            </w:tcBorders>
            <w:shd w:val="clear" w:color="auto" w:fill="auto"/>
            <w:hideMark/>
          </w:tcPr>
          <w:p w14:paraId="746E1466"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Corporates, financial institutions, sovereigns</w:t>
            </w:r>
          </w:p>
        </w:tc>
        <w:tc>
          <w:tcPr>
            <w:tcW w:w="3380" w:type="dxa"/>
            <w:vMerge w:val="restart"/>
            <w:tcBorders>
              <w:top w:val="nil"/>
              <w:left w:val="single" w:sz="4" w:space="0" w:color="auto"/>
              <w:bottom w:val="single" w:sz="4" w:space="0" w:color="auto"/>
              <w:right w:val="single" w:sz="4" w:space="0" w:color="auto"/>
            </w:tcBorders>
            <w:shd w:val="clear" w:color="auto" w:fill="auto"/>
            <w:hideMark/>
          </w:tcPr>
          <w:p w14:paraId="3E117668"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Broad applicability across sectors and instruments</w:t>
            </w:r>
          </w:p>
        </w:tc>
      </w:tr>
      <w:tr w:rsidR="00DB3B93" w:rsidRPr="00DB3B93" w14:paraId="17777C75" w14:textId="77777777" w:rsidTr="004E6B23">
        <w:trPr>
          <w:trHeight w:val="1000"/>
        </w:trPr>
        <w:tc>
          <w:tcPr>
            <w:tcW w:w="1420" w:type="dxa"/>
            <w:tcBorders>
              <w:top w:val="nil"/>
              <w:left w:val="single" w:sz="4" w:space="0" w:color="auto"/>
              <w:bottom w:val="single" w:sz="4" w:space="0" w:color="auto"/>
              <w:right w:val="single" w:sz="4" w:space="0" w:color="auto"/>
            </w:tcBorders>
            <w:shd w:val="clear" w:color="auto" w:fill="auto"/>
            <w:hideMark/>
          </w:tcPr>
          <w:p w14:paraId="5345C6C8"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21</w:t>
            </w:r>
          </w:p>
        </w:tc>
        <w:tc>
          <w:tcPr>
            <w:tcW w:w="3380" w:type="dxa"/>
            <w:vMerge/>
            <w:tcBorders>
              <w:top w:val="nil"/>
              <w:left w:val="single" w:sz="4" w:space="0" w:color="auto"/>
              <w:bottom w:val="single" w:sz="4" w:space="0" w:color="auto"/>
              <w:right w:val="single" w:sz="4" w:space="0" w:color="auto"/>
            </w:tcBorders>
            <w:hideMark/>
          </w:tcPr>
          <w:p w14:paraId="36E7D3D4"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vMerge/>
            <w:tcBorders>
              <w:top w:val="nil"/>
              <w:left w:val="single" w:sz="4" w:space="0" w:color="auto"/>
              <w:bottom w:val="single" w:sz="4" w:space="0" w:color="auto"/>
              <w:right w:val="single" w:sz="4" w:space="0" w:color="auto"/>
            </w:tcBorders>
            <w:hideMark/>
          </w:tcPr>
          <w:p w14:paraId="76B63871" w14:textId="77777777" w:rsidR="00DB3B93" w:rsidRPr="00DB3B93" w:rsidRDefault="00DB3B93" w:rsidP="004E6B23">
            <w:pPr>
              <w:spacing w:after="0" w:line="240" w:lineRule="auto"/>
              <w:rPr>
                <w:rFonts w:ascii="Poppins" w:eastAsia="Times New Roman" w:hAnsi="Poppins" w:cs="Poppins"/>
                <w:color w:val="000000"/>
                <w:sz w:val="19"/>
                <w:szCs w:val="19"/>
              </w:rPr>
            </w:pPr>
          </w:p>
        </w:tc>
        <w:tc>
          <w:tcPr>
            <w:tcW w:w="3380" w:type="dxa"/>
            <w:tcBorders>
              <w:top w:val="nil"/>
              <w:left w:val="nil"/>
              <w:bottom w:val="single" w:sz="4" w:space="0" w:color="auto"/>
              <w:right w:val="single" w:sz="4" w:space="0" w:color="auto"/>
            </w:tcBorders>
            <w:shd w:val="clear" w:color="auto" w:fill="auto"/>
            <w:hideMark/>
          </w:tcPr>
          <w:p w14:paraId="47A02B61" w14:textId="77777777" w:rsidR="00DB3B93" w:rsidRPr="00DB3B93" w:rsidRDefault="00DB3B93" w:rsidP="004E6B23">
            <w:pPr>
              <w:spacing w:after="0" w:line="240" w:lineRule="auto"/>
              <w:rPr>
                <w:rFonts w:ascii="Poppins" w:eastAsia="Times New Roman" w:hAnsi="Poppins" w:cs="Poppins"/>
                <w:color w:val="000000"/>
                <w:sz w:val="19"/>
                <w:szCs w:val="19"/>
              </w:rPr>
            </w:pPr>
            <w:r w:rsidRPr="00DB3B93">
              <w:rPr>
                <w:rFonts w:ascii="Poppins" w:eastAsia="Times New Roman" w:hAnsi="Poppins" w:cs="Poppins"/>
                <w:color w:val="000000"/>
                <w:sz w:val="19"/>
                <w:szCs w:val="19"/>
              </w:rPr>
              <w:t>- Bonds, loans, sukuk</w:t>
            </w:r>
          </w:p>
        </w:tc>
        <w:tc>
          <w:tcPr>
            <w:tcW w:w="3380" w:type="dxa"/>
            <w:vMerge/>
            <w:tcBorders>
              <w:top w:val="nil"/>
              <w:left w:val="single" w:sz="4" w:space="0" w:color="auto"/>
              <w:bottom w:val="single" w:sz="4" w:space="0" w:color="auto"/>
              <w:right w:val="single" w:sz="4" w:space="0" w:color="auto"/>
            </w:tcBorders>
            <w:hideMark/>
          </w:tcPr>
          <w:p w14:paraId="66AD0A78" w14:textId="77777777" w:rsidR="00DB3B93" w:rsidRPr="00DB3B93" w:rsidRDefault="00DB3B93" w:rsidP="004E6B23">
            <w:pPr>
              <w:spacing w:after="0" w:line="240" w:lineRule="auto"/>
              <w:rPr>
                <w:rFonts w:ascii="Poppins" w:eastAsia="Times New Roman" w:hAnsi="Poppins" w:cs="Poppins"/>
                <w:color w:val="000000"/>
                <w:sz w:val="19"/>
                <w:szCs w:val="19"/>
              </w:rPr>
            </w:pPr>
          </w:p>
        </w:tc>
      </w:tr>
    </w:tbl>
    <w:p w14:paraId="1DC70FD6" w14:textId="77777777" w:rsidR="00DB3B93" w:rsidRDefault="00DB3B93" w:rsidP="008540C3">
      <w:pPr>
        <w:ind w:left="360"/>
        <w:rPr>
          <w:rFonts w:ascii="Poppins" w:hAnsi="Poppins" w:cs="Poppins"/>
          <w:sz w:val="20"/>
          <w:szCs w:val="20"/>
        </w:rPr>
      </w:pPr>
    </w:p>
    <w:p w14:paraId="72AE9B2A" w14:textId="2CFF3DC0" w:rsidR="00292DB6" w:rsidRDefault="00DB3B93">
      <w:pPr>
        <w:rPr>
          <w:rFonts w:ascii="Poppins" w:hAnsi="Poppins" w:cs="Poppins"/>
          <w:sz w:val="20"/>
          <w:szCs w:val="20"/>
        </w:rPr>
      </w:pPr>
      <w:r>
        <w:rPr>
          <w:rFonts w:ascii="Poppins" w:hAnsi="Poppins" w:cs="Poppins"/>
          <w:sz w:val="20"/>
          <w:szCs w:val="20"/>
        </w:rPr>
        <w:br w:type="page"/>
      </w:r>
    </w:p>
    <w:p w14:paraId="4B766D7C" w14:textId="6378771E" w:rsidR="00292DB6" w:rsidRPr="00292DB6" w:rsidRDefault="00292DB6" w:rsidP="00292DB6">
      <w:pPr>
        <w:pStyle w:val="Heading1"/>
        <w:rPr>
          <w:rFonts w:eastAsiaTheme="minorHAnsi"/>
        </w:rPr>
      </w:pPr>
      <w:r w:rsidRPr="00292DB6">
        <w:rPr>
          <w:rFonts w:eastAsiaTheme="minorHAnsi"/>
        </w:rPr>
        <w:lastRenderedPageBreak/>
        <w:t>Annex G: Climate Scenario Analysis Methodology Overview</w:t>
      </w:r>
    </w:p>
    <w:p w14:paraId="195313BA" w14:textId="77777777" w:rsidR="00292DB6" w:rsidRPr="00292DB6" w:rsidRDefault="00292DB6" w:rsidP="00292DB6">
      <w:pPr>
        <w:rPr>
          <w:rFonts w:ascii="Poppins" w:hAnsi="Poppins" w:cs="Poppins"/>
          <w:b/>
          <w:bCs/>
          <w:sz w:val="20"/>
          <w:szCs w:val="20"/>
        </w:rPr>
      </w:pPr>
      <w:r w:rsidRPr="00292DB6">
        <w:rPr>
          <w:rFonts w:ascii="Poppins" w:hAnsi="Poppins" w:cs="Poppins"/>
          <w:b/>
          <w:bCs/>
          <w:sz w:val="20"/>
          <w:szCs w:val="20"/>
        </w:rPr>
        <w:t>1. Introduction</w:t>
      </w:r>
    </w:p>
    <w:p w14:paraId="23288CB5" w14:textId="4A4F8894" w:rsidR="00292DB6" w:rsidRPr="00292DB6" w:rsidRDefault="00292DB6" w:rsidP="00292DB6">
      <w:pPr>
        <w:rPr>
          <w:rFonts w:ascii="Poppins" w:hAnsi="Poppins" w:cs="Poppins"/>
          <w:sz w:val="20"/>
          <w:szCs w:val="20"/>
        </w:rPr>
      </w:pPr>
      <w:r w:rsidRPr="00292DB6">
        <w:rPr>
          <w:rFonts w:ascii="Poppins" w:hAnsi="Poppins" w:cs="Poppins"/>
          <w:sz w:val="20"/>
          <w:szCs w:val="20"/>
        </w:rPr>
        <w:t>Climate scenario analysis is a strategic tool used by organizations to assess the resilience of their business models and strategies under a range of plausible future climate conditions. It supports understanding of both </w:t>
      </w:r>
      <w:r w:rsidRPr="00292DB6">
        <w:rPr>
          <w:rFonts w:ascii="Poppins" w:hAnsi="Poppins" w:cs="Poppins"/>
          <w:b/>
          <w:bCs/>
          <w:sz w:val="20"/>
          <w:szCs w:val="20"/>
        </w:rPr>
        <w:t>transition risks</w:t>
      </w:r>
      <w:r w:rsidRPr="00292DB6">
        <w:rPr>
          <w:rFonts w:ascii="Poppins" w:hAnsi="Poppins" w:cs="Poppins"/>
          <w:sz w:val="20"/>
          <w:szCs w:val="20"/>
        </w:rPr>
        <w:t> (policy, technology, market changes) and </w:t>
      </w:r>
      <w:r w:rsidRPr="00292DB6">
        <w:rPr>
          <w:rFonts w:ascii="Poppins" w:hAnsi="Poppins" w:cs="Poppins"/>
          <w:b/>
          <w:bCs/>
          <w:sz w:val="20"/>
          <w:szCs w:val="20"/>
        </w:rPr>
        <w:t>physical risks</w:t>
      </w:r>
      <w:r w:rsidRPr="00292DB6">
        <w:rPr>
          <w:rFonts w:ascii="Poppins" w:hAnsi="Poppins" w:cs="Poppins"/>
          <w:sz w:val="20"/>
          <w:szCs w:val="20"/>
        </w:rPr>
        <w:t> (acute and chronic climate impacts). The methodology aligns with recommendations from the </w:t>
      </w:r>
      <w:r w:rsidR="00D80A92">
        <w:rPr>
          <w:rFonts w:ascii="Poppins" w:hAnsi="Poppins" w:cs="Poppins"/>
          <w:b/>
          <w:bCs/>
          <w:sz w:val="20"/>
          <w:szCs w:val="20"/>
        </w:rPr>
        <w:t xml:space="preserve">Paris Agreement </w:t>
      </w:r>
      <w:r w:rsidRPr="00292DB6">
        <w:rPr>
          <w:rFonts w:ascii="Poppins" w:hAnsi="Poppins" w:cs="Poppins"/>
          <w:sz w:val="20"/>
          <w:szCs w:val="20"/>
        </w:rPr>
        <w:t>and is increasingly mandated or encouraged by regulators and investors globally.</w:t>
      </w:r>
    </w:p>
    <w:p w14:paraId="65AAAFD4" w14:textId="77777777" w:rsidR="00292DB6" w:rsidRPr="00292DB6" w:rsidRDefault="00292DB6" w:rsidP="00292DB6">
      <w:pPr>
        <w:rPr>
          <w:rFonts w:ascii="Poppins" w:hAnsi="Poppins" w:cs="Poppins"/>
          <w:sz w:val="20"/>
          <w:szCs w:val="20"/>
        </w:rPr>
      </w:pPr>
      <w:r w:rsidRPr="00292DB6">
        <w:rPr>
          <w:rFonts w:ascii="Poppins" w:hAnsi="Poppins" w:cs="Poppins"/>
          <w:sz w:val="20"/>
          <w:szCs w:val="20"/>
        </w:rPr>
        <w:t>The objective is not to predict the future but to explore potential impacts, identify vulnerabilities, and inform strategic decision-making under uncertainty.</w:t>
      </w:r>
    </w:p>
    <w:p w14:paraId="60283B12" w14:textId="77777777" w:rsidR="00292DB6" w:rsidRPr="00292DB6" w:rsidRDefault="00292DB6" w:rsidP="00292DB6">
      <w:pPr>
        <w:rPr>
          <w:rFonts w:ascii="Poppins" w:hAnsi="Poppins" w:cs="Poppins"/>
          <w:b/>
          <w:bCs/>
          <w:sz w:val="20"/>
          <w:szCs w:val="20"/>
        </w:rPr>
      </w:pPr>
      <w:r w:rsidRPr="00292DB6">
        <w:rPr>
          <w:rFonts w:ascii="Poppins" w:hAnsi="Poppins" w:cs="Poppins"/>
          <w:b/>
          <w:bCs/>
          <w:sz w:val="20"/>
          <w:szCs w:val="20"/>
        </w:rPr>
        <w:t>2. Core Principles</w:t>
      </w:r>
    </w:p>
    <w:p w14:paraId="026F0054" w14:textId="77777777" w:rsidR="00292DB6" w:rsidRPr="00292DB6" w:rsidRDefault="00292DB6" w:rsidP="00292DB6">
      <w:pPr>
        <w:numPr>
          <w:ilvl w:val="0"/>
          <w:numId w:val="7"/>
        </w:numPr>
        <w:rPr>
          <w:rFonts w:ascii="Poppins" w:hAnsi="Poppins" w:cs="Poppins"/>
          <w:sz w:val="20"/>
          <w:szCs w:val="20"/>
        </w:rPr>
      </w:pPr>
      <w:r w:rsidRPr="00292DB6">
        <w:rPr>
          <w:rFonts w:ascii="Poppins" w:hAnsi="Poppins" w:cs="Poppins"/>
          <w:b/>
          <w:bCs/>
          <w:sz w:val="20"/>
          <w:szCs w:val="20"/>
        </w:rPr>
        <w:t>Plausibility:</w:t>
      </w:r>
      <w:r w:rsidRPr="00292DB6">
        <w:rPr>
          <w:rFonts w:ascii="Poppins" w:hAnsi="Poppins" w:cs="Poppins"/>
          <w:sz w:val="20"/>
          <w:szCs w:val="20"/>
        </w:rPr>
        <w:t> Scenarios must be scientifically credible and consistent with current climate science and policy trajectories.</w:t>
      </w:r>
    </w:p>
    <w:p w14:paraId="776C415F" w14:textId="77777777" w:rsidR="00292DB6" w:rsidRPr="00292DB6" w:rsidRDefault="00292DB6" w:rsidP="00292DB6">
      <w:pPr>
        <w:numPr>
          <w:ilvl w:val="0"/>
          <w:numId w:val="7"/>
        </w:numPr>
        <w:rPr>
          <w:rFonts w:ascii="Poppins" w:hAnsi="Poppins" w:cs="Poppins"/>
          <w:sz w:val="20"/>
          <w:szCs w:val="20"/>
        </w:rPr>
      </w:pPr>
      <w:r w:rsidRPr="00292DB6">
        <w:rPr>
          <w:rFonts w:ascii="Poppins" w:hAnsi="Poppins" w:cs="Poppins"/>
          <w:b/>
          <w:bCs/>
          <w:sz w:val="20"/>
          <w:szCs w:val="20"/>
        </w:rPr>
        <w:t>Diversity:</w:t>
      </w:r>
      <w:r w:rsidRPr="00292DB6">
        <w:rPr>
          <w:rFonts w:ascii="Poppins" w:hAnsi="Poppins" w:cs="Poppins"/>
          <w:sz w:val="20"/>
          <w:szCs w:val="20"/>
        </w:rPr>
        <w:t> Use multiple scenarios capturing a range of temperature pathways and risk types (e.g., 1.5°C net zero, 2°C, 3–4°C high emissions).</w:t>
      </w:r>
    </w:p>
    <w:p w14:paraId="0F14D5D3" w14:textId="77777777" w:rsidR="00292DB6" w:rsidRPr="00292DB6" w:rsidRDefault="00292DB6" w:rsidP="00292DB6">
      <w:pPr>
        <w:numPr>
          <w:ilvl w:val="0"/>
          <w:numId w:val="7"/>
        </w:numPr>
        <w:rPr>
          <w:rFonts w:ascii="Poppins" w:hAnsi="Poppins" w:cs="Poppins"/>
          <w:sz w:val="20"/>
          <w:szCs w:val="20"/>
        </w:rPr>
      </w:pPr>
      <w:r w:rsidRPr="00292DB6">
        <w:rPr>
          <w:rFonts w:ascii="Poppins" w:hAnsi="Poppins" w:cs="Poppins"/>
          <w:b/>
          <w:bCs/>
          <w:sz w:val="20"/>
          <w:szCs w:val="20"/>
        </w:rPr>
        <w:t>Quantification:</w:t>
      </w:r>
      <w:r w:rsidRPr="00292DB6">
        <w:rPr>
          <w:rFonts w:ascii="Poppins" w:hAnsi="Poppins" w:cs="Poppins"/>
          <w:sz w:val="20"/>
          <w:szCs w:val="20"/>
        </w:rPr>
        <w:t> Translate scenario outcomes into financial and operational metrics (e.g., revenue impact, capital expenditure, asset impairment).</w:t>
      </w:r>
    </w:p>
    <w:p w14:paraId="2D5BB0E2" w14:textId="77777777" w:rsidR="00292DB6" w:rsidRPr="00292DB6" w:rsidRDefault="00292DB6" w:rsidP="00292DB6">
      <w:pPr>
        <w:numPr>
          <w:ilvl w:val="0"/>
          <w:numId w:val="7"/>
        </w:numPr>
        <w:rPr>
          <w:rFonts w:ascii="Poppins" w:hAnsi="Poppins" w:cs="Poppins"/>
          <w:sz w:val="20"/>
          <w:szCs w:val="20"/>
        </w:rPr>
      </w:pPr>
      <w:r w:rsidRPr="00292DB6">
        <w:rPr>
          <w:rFonts w:ascii="Poppins" w:hAnsi="Poppins" w:cs="Poppins"/>
          <w:b/>
          <w:bCs/>
          <w:sz w:val="20"/>
          <w:szCs w:val="20"/>
        </w:rPr>
        <w:t>Transparency:</w:t>
      </w:r>
      <w:r w:rsidRPr="00292DB6">
        <w:rPr>
          <w:rFonts w:ascii="Poppins" w:hAnsi="Poppins" w:cs="Poppins"/>
          <w:sz w:val="20"/>
          <w:szCs w:val="20"/>
        </w:rPr>
        <w:t> Clearly disclose assumptions, methodologies, and limitations.</w:t>
      </w:r>
    </w:p>
    <w:p w14:paraId="319D8E8B" w14:textId="77777777" w:rsidR="00292DB6" w:rsidRPr="00292DB6" w:rsidRDefault="00292DB6" w:rsidP="00292DB6">
      <w:pPr>
        <w:rPr>
          <w:rFonts w:ascii="Poppins" w:hAnsi="Poppins" w:cs="Poppins"/>
          <w:b/>
          <w:bCs/>
          <w:sz w:val="20"/>
          <w:szCs w:val="20"/>
        </w:rPr>
      </w:pPr>
      <w:r w:rsidRPr="00292DB6">
        <w:rPr>
          <w:rFonts w:ascii="Poppins" w:hAnsi="Poppins" w:cs="Poppins"/>
          <w:b/>
          <w:bCs/>
          <w:sz w:val="20"/>
          <w:szCs w:val="20"/>
        </w:rPr>
        <w:t>3. Major Scenario Frameworks</w:t>
      </w:r>
    </w:p>
    <w:p w14:paraId="04722611" w14:textId="77777777" w:rsidR="00292DB6" w:rsidRPr="00292DB6" w:rsidRDefault="00292DB6" w:rsidP="00292DB6">
      <w:pPr>
        <w:rPr>
          <w:rFonts w:ascii="Poppins" w:hAnsi="Poppins" w:cs="Poppins"/>
          <w:sz w:val="20"/>
          <w:szCs w:val="20"/>
        </w:rPr>
      </w:pPr>
      <w:r w:rsidRPr="00292DB6">
        <w:rPr>
          <w:rFonts w:ascii="Poppins" w:hAnsi="Poppins" w:cs="Poppins"/>
          <w:sz w:val="20"/>
          <w:szCs w:val="20"/>
        </w:rPr>
        <w:t>Organizations typically select scenarios from established, peer-reviewed frameworks, including:</w:t>
      </w:r>
    </w:p>
    <w:tbl>
      <w:tblPr>
        <w:tblW w:w="1313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52"/>
        <w:gridCol w:w="4590"/>
        <w:gridCol w:w="4590"/>
      </w:tblGrid>
      <w:tr w:rsidR="00292DB6" w:rsidRPr="00292DB6" w14:paraId="0B08D1D7" w14:textId="77777777" w:rsidTr="004E6B23">
        <w:trPr>
          <w:tblHeader/>
        </w:trPr>
        <w:tc>
          <w:tcPr>
            <w:tcW w:w="3952" w:type="dxa"/>
            <w:tcBorders>
              <w:top w:val="single" w:sz="6" w:space="0" w:color="auto"/>
              <w:left w:val="single" w:sz="6" w:space="0" w:color="auto"/>
              <w:bottom w:val="single" w:sz="6" w:space="0" w:color="auto"/>
              <w:right w:val="single" w:sz="6" w:space="0" w:color="auto"/>
            </w:tcBorders>
            <w:hideMark/>
          </w:tcPr>
          <w:p w14:paraId="2A2B1D2A" w14:textId="77777777" w:rsidR="00292DB6" w:rsidRPr="00292DB6" w:rsidRDefault="00292DB6" w:rsidP="004E6B23">
            <w:pPr>
              <w:rPr>
                <w:rFonts w:ascii="Poppins" w:hAnsi="Poppins" w:cs="Poppins"/>
                <w:b/>
                <w:bCs/>
                <w:sz w:val="20"/>
                <w:szCs w:val="20"/>
              </w:rPr>
            </w:pPr>
            <w:r w:rsidRPr="00292DB6">
              <w:rPr>
                <w:rFonts w:ascii="Poppins" w:hAnsi="Poppins" w:cs="Poppins"/>
                <w:b/>
                <w:bCs/>
                <w:sz w:val="20"/>
                <w:szCs w:val="20"/>
              </w:rPr>
              <w:t>Framework</w:t>
            </w:r>
          </w:p>
        </w:tc>
        <w:tc>
          <w:tcPr>
            <w:tcW w:w="4590" w:type="dxa"/>
            <w:tcBorders>
              <w:top w:val="single" w:sz="6" w:space="0" w:color="auto"/>
              <w:left w:val="single" w:sz="6" w:space="0" w:color="auto"/>
              <w:bottom w:val="single" w:sz="6" w:space="0" w:color="auto"/>
              <w:right w:val="single" w:sz="6" w:space="0" w:color="auto"/>
            </w:tcBorders>
            <w:hideMark/>
          </w:tcPr>
          <w:p w14:paraId="530A9692" w14:textId="77777777" w:rsidR="00292DB6" w:rsidRPr="00292DB6" w:rsidRDefault="00292DB6" w:rsidP="004E6B23">
            <w:pPr>
              <w:rPr>
                <w:rFonts w:ascii="Poppins" w:hAnsi="Poppins" w:cs="Poppins"/>
                <w:b/>
                <w:bCs/>
                <w:sz w:val="20"/>
                <w:szCs w:val="20"/>
              </w:rPr>
            </w:pPr>
            <w:r w:rsidRPr="00292DB6">
              <w:rPr>
                <w:rFonts w:ascii="Poppins" w:hAnsi="Poppins" w:cs="Poppins"/>
                <w:b/>
                <w:bCs/>
                <w:sz w:val="20"/>
                <w:szCs w:val="20"/>
              </w:rPr>
              <w:t>Use Case</w:t>
            </w:r>
          </w:p>
        </w:tc>
        <w:tc>
          <w:tcPr>
            <w:tcW w:w="4590" w:type="dxa"/>
            <w:tcBorders>
              <w:top w:val="single" w:sz="6" w:space="0" w:color="auto"/>
              <w:left w:val="single" w:sz="6" w:space="0" w:color="auto"/>
              <w:bottom w:val="single" w:sz="6" w:space="0" w:color="auto"/>
              <w:right w:val="single" w:sz="6" w:space="0" w:color="auto"/>
            </w:tcBorders>
            <w:hideMark/>
          </w:tcPr>
          <w:p w14:paraId="583F2F5C" w14:textId="77777777" w:rsidR="00292DB6" w:rsidRPr="00292DB6" w:rsidRDefault="00292DB6" w:rsidP="004E6B23">
            <w:pPr>
              <w:rPr>
                <w:rFonts w:ascii="Poppins" w:hAnsi="Poppins" w:cs="Poppins"/>
                <w:b/>
                <w:bCs/>
                <w:sz w:val="20"/>
                <w:szCs w:val="20"/>
              </w:rPr>
            </w:pPr>
            <w:r w:rsidRPr="00292DB6">
              <w:rPr>
                <w:rFonts w:ascii="Poppins" w:hAnsi="Poppins" w:cs="Poppins"/>
                <w:b/>
                <w:bCs/>
                <w:sz w:val="20"/>
                <w:szCs w:val="20"/>
              </w:rPr>
              <w:t>Maintained By</w:t>
            </w:r>
          </w:p>
        </w:tc>
      </w:tr>
      <w:tr w:rsidR="00292DB6" w:rsidRPr="00292DB6" w14:paraId="5CDE880F" w14:textId="77777777" w:rsidTr="004E6B23">
        <w:tc>
          <w:tcPr>
            <w:tcW w:w="395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6C66CA6B" w14:textId="23A2D76B" w:rsidR="00292DB6" w:rsidRPr="00292DB6" w:rsidRDefault="00292DB6" w:rsidP="004E6B23">
            <w:pPr>
              <w:rPr>
                <w:rFonts w:ascii="Poppins" w:hAnsi="Poppins" w:cs="Poppins"/>
                <w:sz w:val="20"/>
                <w:szCs w:val="20"/>
              </w:rPr>
            </w:pPr>
            <w:r w:rsidRPr="00292DB6">
              <w:rPr>
                <w:rFonts w:ascii="Poppins" w:hAnsi="Poppins" w:cs="Poppins"/>
                <w:b/>
                <w:bCs/>
                <w:sz w:val="20"/>
                <w:szCs w:val="20"/>
              </w:rPr>
              <w:t>IEA Scenarios</w:t>
            </w:r>
            <w:r w:rsidRPr="00292DB6">
              <w:rPr>
                <w:rFonts w:ascii="Poppins" w:hAnsi="Poppins" w:cs="Poppins"/>
                <w:sz w:val="20"/>
                <w:szCs w:val="20"/>
              </w:rPr>
              <w:t xml:space="preserve"> (e.g., NZE, STEPS)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3E70563E"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Energy transition pathways, sector-specific policy impacts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76A96D99"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International Energy Agency</w:t>
            </w:r>
          </w:p>
        </w:tc>
      </w:tr>
      <w:tr w:rsidR="00292DB6" w:rsidRPr="00292DB6" w14:paraId="00898513" w14:textId="77777777" w:rsidTr="004E6B23">
        <w:tc>
          <w:tcPr>
            <w:tcW w:w="395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60167C7E" w14:textId="77777777" w:rsidR="00292DB6" w:rsidRPr="00292DB6" w:rsidRDefault="00292DB6" w:rsidP="004E6B23">
            <w:pPr>
              <w:rPr>
                <w:rFonts w:ascii="Poppins" w:hAnsi="Poppins" w:cs="Poppins"/>
                <w:sz w:val="20"/>
                <w:szCs w:val="20"/>
              </w:rPr>
            </w:pPr>
            <w:r w:rsidRPr="00292DB6">
              <w:rPr>
                <w:rFonts w:ascii="Poppins" w:hAnsi="Poppins" w:cs="Poppins"/>
                <w:b/>
                <w:bCs/>
                <w:sz w:val="20"/>
                <w:szCs w:val="20"/>
              </w:rPr>
              <w:lastRenderedPageBreak/>
              <w:t>NGFS Scenarios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59B2CDD5"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Macro-financial risk analysis integrating physical and transition risks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3B8F38F9"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Network for Greening the Financial System</w:t>
            </w:r>
          </w:p>
        </w:tc>
      </w:tr>
      <w:tr w:rsidR="00292DB6" w:rsidRPr="00292DB6" w14:paraId="6A7B2F9C" w14:textId="77777777" w:rsidTr="004E6B23">
        <w:tc>
          <w:tcPr>
            <w:tcW w:w="395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36C2CA7F" w14:textId="77777777" w:rsidR="00292DB6" w:rsidRPr="00292DB6" w:rsidRDefault="00292DB6" w:rsidP="004E6B23">
            <w:pPr>
              <w:rPr>
                <w:rFonts w:ascii="Poppins" w:hAnsi="Poppins" w:cs="Poppins"/>
                <w:sz w:val="20"/>
                <w:szCs w:val="20"/>
              </w:rPr>
            </w:pPr>
            <w:r w:rsidRPr="00292DB6">
              <w:rPr>
                <w:rFonts w:ascii="Poppins" w:hAnsi="Poppins" w:cs="Poppins"/>
                <w:b/>
                <w:bCs/>
                <w:sz w:val="20"/>
                <w:szCs w:val="20"/>
              </w:rPr>
              <w:t>IPCC SSP/RCP Frameworks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69DF4480"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Physical climate impacts and socioeconomic pathways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3553CA0D"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Intergovernmental Panel on Climate Change</w:t>
            </w:r>
          </w:p>
        </w:tc>
      </w:tr>
      <w:tr w:rsidR="00292DB6" w:rsidRPr="00292DB6" w14:paraId="156D0994" w14:textId="77777777" w:rsidTr="004E6B23">
        <w:tc>
          <w:tcPr>
            <w:tcW w:w="395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12DE5A2D" w14:textId="77777777" w:rsidR="00292DB6" w:rsidRPr="00292DB6" w:rsidRDefault="00292DB6" w:rsidP="004E6B23">
            <w:pPr>
              <w:rPr>
                <w:rFonts w:ascii="Poppins" w:hAnsi="Poppins" w:cs="Poppins"/>
                <w:sz w:val="20"/>
                <w:szCs w:val="20"/>
              </w:rPr>
            </w:pPr>
            <w:r w:rsidRPr="00292DB6">
              <w:rPr>
                <w:rFonts w:ascii="Poppins" w:hAnsi="Poppins" w:cs="Poppins"/>
                <w:b/>
                <w:bCs/>
                <w:sz w:val="20"/>
                <w:szCs w:val="20"/>
              </w:rPr>
              <w:t>IAM Models (REMIND, GCAM, MESSAGE)</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77363667"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Integrated assessment of climate-economy interactions</w:t>
            </w:r>
          </w:p>
        </w:tc>
        <w:tc>
          <w:tcPr>
            <w:tcW w:w="459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hideMark/>
          </w:tcPr>
          <w:p w14:paraId="75D20740" w14:textId="77777777" w:rsidR="00292DB6" w:rsidRPr="00292DB6" w:rsidRDefault="00292DB6" w:rsidP="004E6B23">
            <w:pPr>
              <w:rPr>
                <w:rFonts w:ascii="Poppins" w:hAnsi="Poppins" w:cs="Poppins"/>
                <w:sz w:val="20"/>
                <w:szCs w:val="20"/>
              </w:rPr>
            </w:pPr>
            <w:r w:rsidRPr="00292DB6">
              <w:rPr>
                <w:rFonts w:ascii="Poppins" w:hAnsi="Poppins" w:cs="Poppins"/>
                <w:sz w:val="20"/>
                <w:szCs w:val="20"/>
              </w:rPr>
              <w:t>Various academic institutions</w:t>
            </w:r>
          </w:p>
        </w:tc>
      </w:tr>
    </w:tbl>
    <w:p w14:paraId="131538D4" w14:textId="77777777" w:rsidR="00292DB6" w:rsidRPr="00292DB6" w:rsidRDefault="00292DB6" w:rsidP="00292DB6">
      <w:pPr>
        <w:rPr>
          <w:rFonts w:ascii="Poppins" w:hAnsi="Poppins" w:cs="Poppins"/>
          <w:b/>
          <w:bCs/>
          <w:sz w:val="20"/>
          <w:szCs w:val="20"/>
        </w:rPr>
      </w:pPr>
      <w:r w:rsidRPr="00292DB6">
        <w:rPr>
          <w:rFonts w:ascii="Poppins" w:hAnsi="Poppins" w:cs="Poppins"/>
          <w:b/>
          <w:bCs/>
          <w:sz w:val="20"/>
          <w:szCs w:val="20"/>
        </w:rPr>
        <w:t>4. Climate Scenario Analysis Process</w:t>
      </w:r>
    </w:p>
    <w:p w14:paraId="3031CA20" w14:textId="77777777" w:rsidR="00292DB6" w:rsidRPr="00292DB6" w:rsidRDefault="00292DB6" w:rsidP="00292DB6">
      <w:pPr>
        <w:rPr>
          <w:rFonts w:ascii="Poppins" w:hAnsi="Poppins" w:cs="Poppins"/>
          <w:sz w:val="20"/>
          <w:szCs w:val="20"/>
        </w:rPr>
      </w:pPr>
      <w:r w:rsidRPr="00292DB6">
        <w:rPr>
          <w:rFonts w:ascii="Poppins" w:hAnsi="Poppins" w:cs="Poppins"/>
          <w:sz w:val="20"/>
          <w:szCs w:val="20"/>
        </w:rPr>
        <w:t>The process typically involves the following steps:</w:t>
      </w:r>
    </w:p>
    <w:p w14:paraId="0123EE71" w14:textId="77777777" w:rsidR="00292DB6" w:rsidRPr="00292DB6" w:rsidRDefault="00292DB6" w:rsidP="00292DB6">
      <w:pPr>
        <w:numPr>
          <w:ilvl w:val="0"/>
          <w:numId w:val="8"/>
        </w:numPr>
        <w:rPr>
          <w:rFonts w:ascii="Poppins" w:hAnsi="Poppins" w:cs="Poppins"/>
          <w:sz w:val="20"/>
          <w:szCs w:val="20"/>
        </w:rPr>
      </w:pPr>
      <w:r w:rsidRPr="00292DB6">
        <w:rPr>
          <w:rFonts w:ascii="Poppins" w:hAnsi="Poppins" w:cs="Poppins"/>
          <w:b/>
          <w:bCs/>
          <w:sz w:val="20"/>
          <w:szCs w:val="20"/>
        </w:rPr>
        <w:t>Governance Setup:</w:t>
      </w:r>
      <w:r w:rsidRPr="00292DB6">
        <w:rPr>
          <w:rFonts w:ascii="Poppins" w:hAnsi="Poppins" w:cs="Poppins"/>
          <w:sz w:val="20"/>
          <w:szCs w:val="20"/>
        </w:rPr>
        <w:t> Embed scenario analysis within enterprise risk management and strategic planning. Assign board-level oversight and define stakeholder roles.</w:t>
      </w:r>
    </w:p>
    <w:p w14:paraId="5A7F1D19" w14:textId="77777777" w:rsidR="00292DB6" w:rsidRPr="00292DB6" w:rsidRDefault="00292DB6" w:rsidP="00292DB6">
      <w:pPr>
        <w:numPr>
          <w:ilvl w:val="0"/>
          <w:numId w:val="8"/>
        </w:numPr>
        <w:rPr>
          <w:rFonts w:ascii="Poppins" w:hAnsi="Poppins" w:cs="Poppins"/>
          <w:sz w:val="20"/>
          <w:szCs w:val="20"/>
        </w:rPr>
      </w:pPr>
      <w:r w:rsidRPr="00292DB6">
        <w:rPr>
          <w:rFonts w:ascii="Poppins" w:hAnsi="Poppins" w:cs="Poppins"/>
          <w:b/>
          <w:bCs/>
          <w:sz w:val="20"/>
          <w:szCs w:val="20"/>
        </w:rPr>
        <w:t>Materiality Assessment:</w:t>
      </w:r>
      <w:r w:rsidRPr="00292DB6">
        <w:rPr>
          <w:rFonts w:ascii="Poppins" w:hAnsi="Poppins" w:cs="Poppins"/>
          <w:sz w:val="20"/>
          <w:szCs w:val="20"/>
        </w:rPr>
        <w:t> Identify and prioritize climate-related risks and opportunities relevant to the organization.</w:t>
      </w:r>
    </w:p>
    <w:p w14:paraId="598C1CD3" w14:textId="77777777" w:rsidR="00292DB6" w:rsidRPr="00292DB6" w:rsidRDefault="00292DB6" w:rsidP="00292DB6">
      <w:pPr>
        <w:numPr>
          <w:ilvl w:val="0"/>
          <w:numId w:val="8"/>
        </w:numPr>
        <w:rPr>
          <w:rFonts w:ascii="Poppins" w:hAnsi="Poppins" w:cs="Poppins"/>
          <w:sz w:val="20"/>
          <w:szCs w:val="20"/>
        </w:rPr>
      </w:pPr>
      <w:r w:rsidRPr="00292DB6">
        <w:rPr>
          <w:rFonts w:ascii="Poppins" w:hAnsi="Poppins" w:cs="Poppins"/>
          <w:b/>
          <w:bCs/>
          <w:sz w:val="20"/>
          <w:szCs w:val="20"/>
        </w:rPr>
        <w:t>Scenario Selection and Definition:</w:t>
      </w:r>
      <w:r w:rsidRPr="00292DB6">
        <w:rPr>
          <w:rFonts w:ascii="Poppins" w:hAnsi="Poppins" w:cs="Poppins"/>
          <w:sz w:val="20"/>
          <w:szCs w:val="20"/>
        </w:rPr>
        <w:t> Choose appropriate scenarios reflecting a range of climate futures and assumptions aligned with organizational exposures.</w:t>
      </w:r>
    </w:p>
    <w:p w14:paraId="6F3AC0A9" w14:textId="77777777" w:rsidR="00292DB6" w:rsidRPr="00292DB6" w:rsidRDefault="00292DB6" w:rsidP="00292DB6">
      <w:pPr>
        <w:numPr>
          <w:ilvl w:val="0"/>
          <w:numId w:val="8"/>
        </w:numPr>
        <w:rPr>
          <w:rFonts w:ascii="Poppins" w:hAnsi="Poppins" w:cs="Poppins"/>
          <w:sz w:val="20"/>
          <w:szCs w:val="20"/>
        </w:rPr>
      </w:pPr>
      <w:r w:rsidRPr="00292DB6">
        <w:rPr>
          <w:rFonts w:ascii="Poppins" w:hAnsi="Poppins" w:cs="Poppins"/>
          <w:b/>
          <w:bCs/>
          <w:sz w:val="20"/>
          <w:szCs w:val="20"/>
        </w:rPr>
        <w:t>Impact Evaluation:</w:t>
      </w:r>
      <w:r w:rsidRPr="00292DB6">
        <w:rPr>
          <w:rFonts w:ascii="Poppins" w:hAnsi="Poppins" w:cs="Poppins"/>
          <w:sz w:val="20"/>
          <w:szCs w:val="20"/>
        </w:rPr>
        <w:t xml:space="preserve"> Quantify potential effects on financials, operations, and strategy under each scenario. Assess </w:t>
      </w:r>
      <w:proofErr w:type="gramStart"/>
      <w:r w:rsidRPr="00292DB6">
        <w:rPr>
          <w:rFonts w:ascii="Poppins" w:hAnsi="Poppins" w:cs="Poppins"/>
          <w:sz w:val="20"/>
          <w:szCs w:val="20"/>
        </w:rPr>
        <w:t>sensitivities</w:t>
      </w:r>
      <w:proofErr w:type="gramEnd"/>
      <w:r w:rsidRPr="00292DB6">
        <w:rPr>
          <w:rFonts w:ascii="Poppins" w:hAnsi="Poppins" w:cs="Poppins"/>
          <w:sz w:val="20"/>
          <w:szCs w:val="20"/>
        </w:rPr>
        <w:t xml:space="preserve"> and vulnerabilities.</w:t>
      </w:r>
    </w:p>
    <w:p w14:paraId="3BFE16D2" w14:textId="77777777" w:rsidR="00292DB6" w:rsidRPr="00292DB6" w:rsidRDefault="00292DB6" w:rsidP="00292DB6">
      <w:pPr>
        <w:numPr>
          <w:ilvl w:val="0"/>
          <w:numId w:val="8"/>
        </w:numPr>
        <w:rPr>
          <w:rFonts w:ascii="Poppins" w:hAnsi="Poppins" w:cs="Poppins"/>
          <w:sz w:val="20"/>
          <w:szCs w:val="20"/>
        </w:rPr>
      </w:pPr>
      <w:r w:rsidRPr="00292DB6">
        <w:rPr>
          <w:rFonts w:ascii="Poppins" w:hAnsi="Poppins" w:cs="Poppins"/>
          <w:b/>
          <w:bCs/>
          <w:sz w:val="20"/>
          <w:szCs w:val="20"/>
        </w:rPr>
        <w:t>Response Identification:</w:t>
      </w:r>
      <w:r w:rsidRPr="00292DB6">
        <w:rPr>
          <w:rFonts w:ascii="Poppins" w:hAnsi="Poppins" w:cs="Poppins"/>
          <w:sz w:val="20"/>
          <w:szCs w:val="20"/>
        </w:rPr>
        <w:t> Develop strategic or operational adjustments to mitigate risks or capitalize on opportunities.</w:t>
      </w:r>
    </w:p>
    <w:p w14:paraId="1DBE40D8" w14:textId="77777777" w:rsidR="00292DB6" w:rsidRPr="00292DB6" w:rsidRDefault="00292DB6" w:rsidP="00292DB6">
      <w:pPr>
        <w:numPr>
          <w:ilvl w:val="0"/>
          <w:numId w:val="8"/>
        </w:numPr>
        <w:rPr>
          <w:rFonts w:ascii="Poppins" w:hAnsi="Poppins" w:cs="Poppins"/>
          <w:sz w:val="20"/>
          <w:szCs w:val="20"/>
        </w:rPr>
      </w:pPr>
      <w:r w:rsidRPr="00292DB6">
        <w:rPr>
          <w:rFonts w:ascii="Poppins" w:hAnsi="Poppins" w:cs="Poppins"/>
          <w:b/>
          <w:bCs/>
          <w:sz w:val="20"/>
          <w:szCs w:val="20"/>
        </w:rPr>
        <w:t>Documentation and Disclosure:</w:t>
      </w:r>
      <w:r w:rsidRPr="00292DB6">
        <w:rPr>
          <w:rFonts w:ascii="Poppins" w:hAnsi="Poppins" w:cs="Poppins"/>
          <w:sz w:val="20"/>
          <w:szCs w:val="20"/>
        </w:rPr>
        <w:t> Transparently report methodology, assumptions, results, and management actions to stakeholders.</w:t>
      </w:r>
    </w:p>
    <w:p w14:paraId="26CA6E0B" w14:textId="77777777" w:rsidR="00292DB6" w:rsidRPr="00292DB6" w:rsidRDefault="00292DB6" w:rsidP="00292DB6">
      <w:pPr>
        <w:rPr>
          <w:rFonts w:ascii="Poppins" w:hAnsi="Poppins" w:cs="Poppins"/>
          <w:b/>
          <w:bCs/>
          <w:sz w:val="20"/>
          <w:szCs w:val="20"/>
        </w:rPr>
      </w:pPr>
      <w:r w:rsidRPr="00292DB6">
        <w:rPr>
          <w:rFonts w:ascii="Poppins" w:hAnsi="Poppins" w:cs="Poppins"/>
          <w:b/>
          <w:bCs/>
          <w:sz w:val="20"/>
          <w:szCs w:val="20"/>
        </w:rPr>
        <w:lastRenderedPageBreak/>
        <w:t>5. Analytical Tools and Techniques</w:t>
      </w:r>
    </w:p>
    <w:p w14:paraId="3EEC7217" w14:textId="77777777" w:rsidR="00292DB6" w:rsidRPr="00292DB6" w:rsidRDefault="00292DB6" w:rsidP="00292DB6">
      <w:pPr>
        <w:rPr>
          <w:rFonts w:ascii="Poppins" w:hAnsi="Poppins" w:cs="Poppins"/>
          <w:sz w:val="20"/>
          <w:szCs w:val="20"/>
        </w:rPr>
      </w:pPr>
      <w:r w:rsidRPr="00292DB6">
        <w:rPr>
          <w:rFonts w:ascii="Poppins" w:hAnsi="Poppins" w:cs="Poppins"/>
          <w:sz w:val="20"/>
          <w:szCs w:val="20"/>
        </w:rPr>
        <w:t>Organizations leverage a variety of digital tools and models to support scenario analysis, including:</w:t>
      </w:r>
    </w:p>
    <w:p w14:paraId="0FE1AAE2" w14:textId="77777777" w:rsidR="00292DB6" w:rsidRPr="00292DB6" w:rsidRDefault="00292DB6" w:rsidP="00292DB6">
      <w:pPr>
        <w:numPr>
          <w:ilvl w:val="0"/>
          <w:numId w:val="9"/>
        </w:numPr>
        <w:rPr>
          <w:rFonts w:ascii="Poppins" w:hAnsi="Poppins" w:cs="Poppins"/>
          <w:sz w:val="20"/>
          <w:szCs w:val="20"/>
        </w:rPr>
      </w:pPr>
      <w:r w:rsidRPr="00292DB6">
        <w:rPr>
          <w:rFonts w:ascii="Poppins" w:hAnsi="Poppins" w:cs="Poppins"/>
          <w:b/>
          <w:bCs/>
          <w:sz w:val="20"/>
          <w:szCs w:val="20"/>
        </w:rPr>
        <w:t>Physical Risk Tools:</w:t>
      </w:r>
      <w:r w:rsidRPr="00292DB6">
        <w:rPr>
          <w:rFonts w:ascii="Poppins" w:hAnsi="Poppins" w:cs="Poppins"/>
          <w:sz w:val="20"/>
          <w:szCs w:val="20"/>
        </w:rPr>
        <w:t xml:space="preserve"> WRI Aqueduct, Climate Central, Four </w:t>
      </w:r>
      <w:proofErr w:type="gramStart"/>
      <w:r w:rsidRPr="00292DB6">
        <w:rPr>
          <w:rFonts w:ascii="Poppins" w:hAnsi="Poppins" w:cs="Poppins"/>
          <w:sz w:val="20"/>
          <w:szCs w:val="20"/>
        </w:rPr>
        <w:t>Twenty Seven</w:t>
      </w:r>
      <w:proofErr w:type="gramEnd"/>
      <w:r w:rsidRPr="00292DB6">
        <w:rPr>
          <w:rFonts w:ascii="Poppins" w:hAnsi="Poppins" w:cs="Poppins"/>
          <w:sz w:val="20"/>
          <w:szCs w:val="20"/>
        </w:rPr>
        <w:t xml:space="preserve"> – for asset-level exposure to floods, heatwaves, storms.</w:t>
      </w:r>
    </w:p>
    <w:p w14:paraId="5F65615D" w14:textId="77777777" w:rsidR="00292DB6" w:rsidRPr="00292DB6" w:rsidRDefault="00292DB6" w:rsidP="00292DB6">
      <w:pPr>
        <w:numPr>
          <w:ilvl w:val="0"/>
          <w:numId w:val="9"/>
        </w:numPr>
        <w:rPr>
          <w:rFonts w:ascii="Poppins" w:hAnsi="Poppins" w:cs="Poppins"/>
          <w:sz w:val="20"/>
          <w:szCs w:val="20"/>
        </w:rPr>
      </w:pPr>
      <w:r w:rsidRPr="00292DB6">
        <w:rPr>
          <w:rFonts w:ascii="Poppins" w:hAnsi="Poppins" w:cs="Poppins"/>
          <w:b/>
          <w:bCs/>
          <w:sz w:val="20"/>
          <w:szCs w:val="20"/>
        </w:rPr>
        <w:t>Transition Risk Tools:</w:t>
      </w:r>
      <w:r w:rsidRPr="00292DB6">
        <w:rPr>
          <w:rFonts w:ascii="Poppins" w:hAnsi="Poppins" w:cs="Poppins"/>
          <w:sz w:val="20"/>
          <w:szCs w:val="20"/>
        </w:rPr>
        <w:t xml:space="preserve"> Carbon Delta, </w:t>
      </w:r>
      <w:proofErr w:type="spellStart"/>
      <w:r w:rsidRPr="00292DB6">
        <w:rPr>
          <w:rFonts w:ascii="Poppins" w:hAnsi="Poppins" w:cs="Poppins"/>
          <w:sz w:val="20"/>
          <w:szCs w:val="20"/>
        </w:rPr>
        <w:t>Ortec</w:t>
      </w:r>
      <w:proofErr w:type="spellEnd"/>
      <w:r w:rsidRPr="00292DB6">
        <w:rPr>
          <w:rFonts w:ascii="Poppins" w:hAnsi="Poppins" w:cs="Poppins"/>
          <w:sz w:val="20"/>
          <w:szCs w:val="20"/>
        </w:rPr>
        <w:t xml:space="preserve"> Finance, PACTA – for policy, market, and technology transition impacts.</w:t>
      </w:r>
    </w:p>
    <w:p w14:paraId="4F550EA4" w14:textId="77777777" w:rsidR="00292DB6" w:rsidRPr="00292DB6" w:rsidRDefault="00292DB6" w:rsidP="00292DB6">
      <w:pPr>
        <w:numPr>
          <w:ilvl w:val="0"/>
          <w:numId w:val="9"/>
        </w:numPr>
        <w:rPr>
          <w:rFonts w:ascii="Poppins" w:hAnsi="Poppins" w:cs="Poppins"/>
          <w:sz w:val="20"/>
          <w:szCs w:val="20"/>
        </w:rPr>
      </w:pPr>
      <w:r w:rsidRPr="00292DB6">
        <w:rPr>
          <w:rFonts w:ascii="Poppins" w:hAnsi="Poppins" w:cs="Poppins"/>
          <w:b/>
          <w:bCs/>
          <w:sz w:val="20"/>
          <w:szCs w:val="20"/>
        </w:rPr>
        <w:t>Integrated Platforms:</w:t>
      </w:r>
      <w:r w:rsidRPr="00292DB6">
        <w:rPr>
          <w:rFonts w:ascii="Poppins" w:hAnsi="Poppins" w:cs="Poppins"/>
          <w:sz w:val="20"/>
          <w:szCs w:val="20"/>
        </w:rPr>
        <w:t xml:space="preserve"> Cervest, </w:t>
      </w:r>
      <w:proofErr w:type="spellStart"/>
      <w:r w:rsidRPr="00292DB6">
        <w:rPr>
          <w:rFonts w:ascii="Poppins" w:hAnsi="Poppins" w:cs="Poppins"/>
          <w:sz w:val="20"/>
          <w:szCs w:val="20"/>
        </w:rPr>
        <w:t>ClimateIQ</w:t>
      </w:r>
      <w:proofErr w:type="spellEnd"/>
      <w:r w:rsidRPr="00292DB6">
        <w:rPr>
          <w:rFonts w:ascii="Poppins" w:hAnsi="Poppins" w:cs="Poppins"/>
          <w:sz w:val="20"/>
          <w:szCs w:val="20"/>
        </w:rPr>
        <w:t>, S&amp;P Climate Credit Analytics – combining physical and transition risks with financial metrics.</w:t>
      </w:r>
    </w:p>
    <w:p w14:paraId="0D1F8BF6" w14:textId="77777777" w:rsidR="00292DB6" w:rsidRPr="00292DB6" w:rsidRDefault="00292DB6" w:rsidP="00292DB6">
      <w:pPr>
        <w:rPr>
          <w:rFonts w:ascii="Poppins" w:hAnsi="Poppins" w:cs="Poppins"/>
          <w:b/>
          <w:bCs/>
          <w:sz w:val="20"/>
          <w:szCs w:val="20"/>
        </w:rPr>
      </w:pPr>
      <w:r w:rsidRPr="00292DB6">
        <w:rPr>
          <w:rFonts w:ascii="Poppins" w:hAnsi="Poppins" w:cs="Poppins"/>
          <w:b/>
          <w:bCs/>
          <w:sz w:val="20"/>
          <w:szCs w:val="20"/>
        </w:rPr>
        <w:t>6. Use Cases and Benefits</w:t>
      </w:r>
    </w:p>
    <w:p w14:paraId="0E4922CE" w14:textId="77777777" w:rsidR="00292DB6" w:rsidRPr="00292DB6" w:rsidRDefault="00292DB6" w:rsidP="00292DB6">
      <w:pPr>
        <w:numPr>
          <w:ilvl w:val="0"/>
          <w:numId w:val="10"/>
        </w:numPr>
        <w:rPr>
          <w:rFonts w:ascii="Poppins" w:hAnsi="Poppins" w:cs="Poppins"/>
          <w:sz w:val="20"/>
          <w:szCs w:val="20"/>
        </w:rPr>
      </w:pPr>
      <w:proofErr w:type="gramStart"/>
      <w:r w:rsidRPr="00292DB6">
        <w:rPr>
          <w:rFonts w:ascii="Poppins" w:hAnsi="Poppins" w:cs="Poppins"/>
          <w:sz w:val="20"/>
          <w:szCs w:val="20"/>
        </w:rPr>
        <w:t>Enhances</w:t>
      </w:r>
      <w:proofErr w:type="gramEnd"/>
      <w:r w:rsidRPr="00292DB6">
        <w:rPr>
          <w:rFonts w:ascii="Poppins" w:hAnsi="Poppins" w:cs="Poppins"/>
          <w:sz w:val="20"/>
          <w:szCs w:val="20"/>
        </w:rPr>
        <w:t> </w:t>
      </w:r>
      <w:r w:rsidRPr="00292DB6">
        <w:rPr>
          <w:rFonts w:ascii="Poppins" w:hAnsi="Poppins" w:cs="Poppins"/>
          <w:b/>
          <w:bCs/>
          <w:sz w:val="20"/>
          <w:szCs w:val="20"/>
        </w:rPr>
        <w:t>strategic resilience</w:t>
      </w:r>
      <w:r w:rsidRPr="00292DB6">
        <w:rPr>
          <w:rFonts w:ascii="Poppins" w:hAnsi="Poppins" w:cs="Poppins"/>
          <w:sz w:val="20"/>
          <w:szCs w:val="20"/>
        </w:rPr>
        <w:t> by preparing for a range of climate futures.</w:t>
      </w:r>
    </w:p>
    <w:p w14:paraId="26C8E26C" w14:textId="77777777" w:rsidR="00292DB6" w:rsidRPr="00292DB6" w:rsidRDefault="00292DB6" w:rsidP="00292DB6">
      <w:pPr>
        <w:numPr>
          <w:ilvl w:val="0"/>
          <w:numId w:val="10"/>
        </w:numPr>
        <w:rPr>
          <w:rFonts w:ascii="Poppins" w:hAnsi="Poppins" w:cs="Poppins"/>
          <w:sz w:val="20"/>
          <w:szCs w:val="20"/>
        </w:rPr>
      </w:pPr>
      <w:r w:rsidRPr="00292DB6">
        <w:rPr>
          <w:rFonts w:ascii="Poppins" w:hAnsi="Poppins" w:cs="Poppins"/>
          <w:sz w:val="20"/>
          <w:szCs w:val="20"/>
        </w:rPr>
        <w:t>Supports </w:t>
      </w:r>
      <w:r w:rsidRPr="00292DB6">
        <w:rPr>
          <w:rFonts w:ascii="Poppins" w:hAnsi="Poppins" w:cs="Poppins"/>
          <w:b/>
          <w:bCs/>
          <w:sz w:val="20"/>
          <w:szCs w:val="20"/>
        </w:rPr>
        <w:t>regulatory compliance</w:t>
      </w:r>
      <w:r w:rsidRPr="00292DB6">
        <w:rPr>
          <w:rFonts w:ascii="Poppins" w:hAnsi="Poppins" w:cs="Poppins"/>
          <w:sz w:val="20"/>
          <w:szCs w:val="20"/>
        </w:rPr>
        <w:t> with TCFD and emerging disclosure requirements.</w:t>
      </w:r>
    </w:p>
    <w:p w14:paraId="03A31BCF" w14:textId="77777777" w:rsidR="00292DB6" w:rsidRPr="00292DB6" w:rsidRDefault="00292DB6" w:rsidP="00292DB6">
      <w:pPr>
        <w:numPr>
          <w:ilvl w:val="0"/>
          <w:numId w:val="10"/>
        </w:numPr>
        <w:rPr>
          <w:rFonts w:ascii="Poppins" w:hAnsi="Poppins" w:cs="Poppins"/>
          <w:sz w:val="20"/>
          <w:szCs w:val="20"/>
        </w:rPr>
      </w:pPr>
      <w:r w:rsidRPr="00292DB6">
        <w:rPr>
          <w:rFonts w:ascii="Poppins" w:hAnsi="Poppins" w:cs="Poppins"/>
          <w:sz w:val="20"/>
          <w:szCs w:val="20"/>
        </w:rPr>
        <w:t>Improves </w:t>
      </w:r>
      <w:r w:rsidRPr="00292DB6">
        <w:rPr>
          <w:rFonts w:ascii="Poppins" w:hAnsi="Poppins" w:cs="Poppins"/>
          <w:b/>
          <w:bCs/>
          <w:sz w:val="20"/>
          <w:szCs w:val="20"/>
        </w:rPr>
        <w:t>investor confidence</w:t>
      </w:r>
      <w:r w:rsidRPr="00292DB6">
        <w:rPr>
          <w:rFonts w:ascii="Poppins" w:hAnsi="Poppins" w:cs="Poppins"/>
          <w:sz w:val="20"/>
          <w:szCs w:val="20"/>
        </w:rPr>
        <w:t> through transparent risk management.</w:t>
      </w:r>
    </w:p>
    <w:p w14:paraId="236E8E1F" w14:textId="77777777" w:rsidR="00292DB6" w:rsidRPr="00292DB6" w:rsidRDefault="00292DB6" w:rsidP="00292DB6">
      <w:pPr>
        <w:numPr>
          <w:ilvl w:val="0"/>
          <w:numId w:val="10"/>
        </w:numPr>
        <w:rPr>
          <w:rFonts w:ascii="Poppins" w:hAnsi="Poppins" w:cs="Poppins"/>
          <w:sz w:val="20"/>
          <w:szCs w:val="20"/>
        </w:rPr>
      </w:pPr>
      <w:proofErr w:type="gramStart"/>
      <w:r w:rsidRPr="00292DB6">
        <w:rPr>
          <w:rFonts w:ascii="Poppins" w:hAnsi="Poppins" w:cs="Poppins"/>
          <w:sz w:val="20"/>
          <w:szCs w:val="20"/>
        </w:rPr>
        <w:t>Facilitates</w:t>
      </w:r>
      <w:proofErr w:type="gramEnd"/>
      <w:r w:rsidRPr="00292DB6">
        <w:rPr>
          <w:rFonts w:ascii="Poppins" w:hAnsi="Poppins" w:cs="Poppins"/>
          <w:sz w:val="20"/>
          <w:szCs w:val="20"/>
        </w:rPr>
        <w:t> </w:t>
      </w:r>
      <w:r w:rsidRPr="00292DB6">
        <w:rPr>
          <w:rFonts w:ascii="Poppins" w:hAnsi="Poppins" w:cs="Poppins"/>
          <w:b/>
          <w:bCs/>
          <w:sz w:val="20"/>
          <w:szCs w:val="20"/>
        </w:rPr>
        <w:t>capital allocation</w:t>
      </w:r>
      <w:r w:rsidRPr="00292DB6">
        <w:rPr>
          <w:rFonts w:ascii="Poppins" w:hAnsi="Poppins" w:cs="Poppins"/>
          <w:sz w:val="20"/>
          <w:szCs w:val="20"/>
        </w:rPr>
        <w:t> aligned with sustainability goals.</w:t>
      </w:r>
    </w:p>
    <w:p w14:paraId="634EFE65" w14:textId="77777777" w:rsidR="00292DB6" w:rsidRPr="00292DB6" w:rsidRDefault="00292DB6" w:rsidP="00292DB6">
      <w:pPr>
        <w:rPr>
          <w:rFonts w:ascii="Poppins" w:hAnsi="Poppins" w:cs="Poppins"/>
          <w:sz w:val="20"/>
          <w:szCs w:val="20"/>
        </w:rPr>
      </w:pPr>
      <w:r w:rsidRPr="00292DB6">
        <w:rPr>
          <w:rFonts w:ascii="Poppins" w:hAnsi="Poppins" w:cs="Poppins"/>
          <w:b/>
          <w:bCs/>
          <w:sz w:val="20"/>
          <w:szCs w:val="20"/>
        </w:rPr>
        <w:t>References:</w:t>
      </w:r>
    </w:p>
    <w:p w14:paraId="68825F4D" w14:textId="77777777" w:rsidR="00292DB6" w:rsidRPr="00292DB6" w:rsidRDefault="00292DB6" w:rsidP="00292DB6">
      <w:pPr>
        <w:numPr>
          <w:ilvl w:val="0"/>
          <w:numId w:val="11"/>
        </w:numPr>
        <w:rPr>
          <w:rFonts w:ascii="Poppins" w:hAnsi="Poppins" w:cs="Poppins"/>
          <w:sz w:val="20"/>
          <w:szCs w:val="20"/>
        </w:rPr>
      </w:pPr>
      <w:r w:rsidRPr="00292DB6">
        <w:rPr>
          <w:rFonts w:ascii="Poppins" w:hAnsi="Poppins" w:cs="Poppins"/>
          <w:sz w:val="20"/>
          <w:szCs w:val="20"/>
        </w:rPr>
        <w:t>Task Force on Climate-related Financial Disclosures (TCFD) Guidance</w:t>
      </w:r>
    </w:p>
    <w:p w14:paraId="6C8EFB6A" w14:textId="77777777" w:rsidR="00292DB6" w:rsidRPr="00292DB6" w:rsidRDefault="00292DB6" w:rsidP="00292DB6">
      <w:pPr>
        <w:numPr>
          <w:ilvl w:val="0"/>
          <w:numId w:val="11"/>
        </w:numPr>
        <w:rPr>
          <w:rFonts w:ascii="Poppins" w:hAnsi="Poppins" w:cs="Poppins"/>
          <w:sz w:val="20"/>
          <w:szCs w:val="20"/>
        </w:rPr>
      </w:pPr>
      <w:r w:rsidRPr="00292DB6">
        <w:rPr>
          <w:rFonts w:ascii="Poppins" w:hAnsi="Poppins" w:cs="Poppins"/>
          <w:sz w:val="20"/>
          <w:szCs w:val="20"/>
        </w:rPr>
        <w:t>Network for Greening the Financial System (NGFS) Scenario Guide</w:t>
      </w:r>
    </w:p>
    <w:p w14:paraId="445007AB" w14:textId="77777777" w:rsidR="00292DB6" w:rsidRPr="00292DB6" w:rsidRDefault="00292DB6" w:rsidP="00292DB6">
      <w:pPr>
        <w:numPr>
          <w:ilvl w:val="0"/>
          <w:numId w:val="11"/>
        </w:numPr>
        <w:rPr>
          <w:rFonts w:ascii="Poppins" w:hAnsi="Poppins" w:cs="Poppins"/>
          <w:sz w:val="20"/>
          <w:szCs w:val="20"/>
        </w:rPr>
      </w:pPr>
      <w:r w:rsidRPr="00292DB6">
        <w:rPr>
          <w:rFonts w:ascii="Poppins" w:hAnsi="Poppins" w:cs="Poppins"/>
          <w:sz w:val="20"/>
          <w:szCs w:val="20"/>
        </w:rPr>
        <w:t>International Energy Agency (IEA) Climate Scenarios</w:t>
      </w:r>
    </w:p>
    <w:p w14:paraId="4D431631" w14:textId="77777777" w:rsidR="00292DB6" w:rsidRPr="00292DB6" w:rsidRDefault="00292DB6" w:rsidP="00292DB6">
      <w:pPr>
        <w:numPr>
          <w:ilvl w:val="0"/>
          <w:numId w:val="11"/>
        </w:numPr>
        <w:rPr>
          <w:rFonts w:ascii="Poppins" w:hAnsi="Poppins" w:cs="Poppins"/>
          <w:sz w:val="20"/>
          <w:szCs w:val="20"/>
        </w:rPr>
      </w:pPr>
      <w:r w:rsidRPr="00292DB6">
        <w:rPr>
          <w:rFonts w:ascii="Poppins" w:hAnsi="Poppins" w:cs="Poppins"/>
          <w:sz w:val="20"/>
          <w:szCs w:val="20"/>
        </w:rPr>
        <w:t>Intergovernmental Panel on Climate Change (IPCC) Assessment Reports</w:t>
      </w:r>
    </w:p>
    <w:p w14:paraId="21B7454C" w14:textId="77777777" w:rsidR="00292DB6" w:rsidRPr="00292DB6" w:rsidRDefault="00292DB6" w:rsidP="00292DB6">
      <w:pPr>
        <w:numPr>
          <w:ilvl w:val="0"/>
          <w:numId w:val="11"/>
        </w:numPr>
        <w:rPr>
          <w:rFonts w:ascii="Poppins" w:hAnsi="Poppins" w:cs="Poppins"/>
          <w:sz w:val="20"/>
          <w:szCs w:val="20"/>
        </w:rPr>
      </w:pPr>
      <w:r w:rsidRPr="00292DB6">
        <w:rPr>
          <w:rFonts w:ascii="Poppins" w:hAnsi="Poppins" w:cs="Poppins"/>
          <w:sz w:val="20"/>
          <w:szCs w:val="20"/>
        </w:rPr>
        <w:t>Berkeley Group Climate Scenario Analysis Methodology (2024)</w:t>
      </w:r>
    </w:p>
    <w:p w14:paraId="0EEA32E1" w14:textId="77777777" w:rsidR="00292DB6" w:rsidRPr="00292DB6" w:rsidRDefault="00292DB6" w:rsidP="00292DB6">
      <w:pPr>
        <w:numPr>
          <w:ilvl w:val="0"/>
          <w:numId w:val="11"/>
        </w:numPr>
        <w:rPr>
          <w:rFonts w:ascii="Poppins" w:hAnsi="Poppins" w:cs="Poppins"/>
          <w:sz w:val="20"/>
          <w:szCs w:val="20"/>
        </w:rPr>
      </w:pPr>
      <w:proofErr w:type="spellStart"/>
      <w:r w:rsidRPr="00292DB6">
        <w:rPr>
          <w:rFonts w:ascii="Poppins" w:hAnsi="Poppins" w:cs="Poppins"/>
          <w:sz w:val="20"/>
          <w:szCs w:val="20"/>
        </w:rPr>
        <w:t>ASuENE</w:t>
      </w:r>
      <w:proofErr w:type="spellEnd"/>
      <w:r w:rsidRPr="00292DB6">
        <w:rPr>
          <w:rFonts w:ascii="Poppins" w:hAnsi="Poppins" w:cs="Poppins"/>
          <w:sz w:val="20"/>
          <w:szCs w:val="20"/>
        </w:rPr>
        <w:t xml:space="preserve"> Blog on Climate Scenario Analysis (2025)</w:t>
      </w:r>
    </w:p>
    <w:p w14:paraId="062374B6" w14:textId="77777777" w:rsidR="00881BC8" w:rsidRDefault="00881BC8" w:rsidP="00292DB6">
      <w:pPr>
        <w:rPr>
          <w:rFonts w:ascii="Poppins" w:hAnsi="Poppins" w:cs="Poppins"/>
          <w:sz w:val="20"/>
          <w:szCs w:val="20"/>
        </w:rPr>
      </w:pPr>
    </w:p>
    <w:p w14:paraId="75E658FC" w14:textId="77777777" w:rsidR="001B4B3B" w:rsidRDefault="001B4B3B" w:rsidP="001B4B3B">
      <w:pPr>
        <w:pStyle w:val="Heading1"/>
      </w:pPr>
      <w:r w:rsidRPr="001B4B3B">
        <w:lastRenderedPageBreak/>
        <w:t>Annex H: Sustainable Finance: Comprehensive Product Portfolio</w:t>
      </w:r>
    </w:p>
    <w:p w14:paraId="64F2F347" w14:textId="45DE22B5" w:rsidR="00A863C0" w:rsidRPr="00F35195" w:rsidRDefault="00A863C0" w:rsidP="00A863C0">
      <w:pPr>
        <w:rPr>
          <w:rFonts w:ascii="Poppins" w:hAnsi="Poppins" w:cs="Poppins"/>
        </w:rPr>
      </w:pPr>
      <w:r w:rsidRPr="00F35195">
        <w:rPr>
          <w:rFonts w:ascii="Poppins" w:hAnsi="Poppins" w:cs="Poppins"/>
          <w:b/>
          <w:bCs/>
        </w:rPr>
        <w:t>Green Loans</w:t>
      </w:r>
    </w:p>
    <w:p w14:paraId="576BE5F9" w14:textId="77777777" w:rsidR="00A863C0" w:rsidRPr="00F35195" w:rsidRDefault="00A863C0" w:rsidP="00A863C0">
      <w:pPr>
        <w:numPr>
          <w:ilvl w:val="0"/>
          <w:numId w:val="3"/>
        </w:numPr>
        <w:spacing w:line="278" w:lineRule="auto"/>
        <w:rPr>
          <w:rFonts w:ascii="Poppins" w:hAnsi="Poppins" w:cs="Poppins"/>
        </w:rPr>
      </w:pPr>
      <w:r w:rsidRPr="00F35195">
        <w:rPr>
          <w:rFonts w:ascii="Poppins" w:hAnsi="Poppins" w:cs="Poppins"/>
          <w:b/>
          <w:bCs/>
        </w:rPr>
        <w:t>Project Financing</w:t>
      </w:r>
      <w:r w:rsidRPr="00F35195">
        <w:rPr>
          <w:rFonts w:ascii="Poppins" w:hAnsi="Poppins" w:cs="Poppins"/>
        </w:rPr>
        <w:t>: Dedicated funding for renewable energy, energy-efficient buildings, and sustainable infrastructure</w:t>
      </w:r>
    </w:p>
    <w:p w14:paraId="616272F9" w14:textId="77777777" w:rsidR="00A863C0" w:rsidRPr="00F35195" w:rsidRDefault="00A863C0" w:rsidP="00A863C0">
      <w:pPr>
        <w:numPr>
          <w:ilvl w:val="0"/>
          <w:numId w:val="3"/>
        </w:numPr>
        <w:spacing w:line="278" w:lineRule="auto"/>
        <w:rPr>
          <w:rFonts w:ascii="Poppins" w:hAnsi="Poppins" w:cs="Poppins"/>
        </w:rPr>
      </w:pPr>
      <w:r w:rsidRPr="00F35195">
        <w:rPr>
          <w:rFonts w:ascii="Poppins" w:hAnsi="Poppins" w:cs="Poppins"/>
          <w:b/>
          <w:bCs/>
        </w:rPr>
        <w:t>Working Capital</w:t>
      </w:r>
      <w:r w:rsidRPr="00F35195">
        <w:rPr>
          <w:rFonts w:ascii="Poppins" w:hAnsi="Poppins" w:cs="Poppins"/>
        </w:rPr>
        <w:t>: Support for businesses transitioning to sustainable operations and green technology adoption</w:t>
      </w:r>
    </w:p>
    <w:p w14:paraId="18E19B6B" w14:textId="77777777" w:rsidR="00A863C0" w:rsidRPr="00F35195" w:rsidRDefault="00A863C0" w:rsidP="00A863C0">
      <w:pPr>
        <w:numPr>
          <w:ilvl w:val="0"/>
          <w:numId w:val="3"/>
        </w:numPr>
        <w:spacing w:line="278" w:lineRule="auto"/>
        <w:rPr>
          <w:rFonts w:ascii="Poppins" w:hAnsi="Poppins" w:cs="Poppins"/>
        </w:rPr>
      </w:pPr>
      <w:r w:rsidRPr="00F35195">
        <w:rPr>
          <w:rFonts w:ascii="Poppins" w:hAnsi="Poppins" w:cs="Poppins"/>
          <w:b/>
          <w:bCs/>
        </w:rPr>
        <w:t>Equipment Financing</w:t>
      </w:r>
      <w:r w:rsidRPr="00F35195">
        <w:rPr>
          <w:rFonts w:ascii="Poppins" w:hAnsi="Poppins" w:cs="Poppins"/>
        </w:rPr>
        <w:t>: Funding for energy-efficient machinery, renewable energy systems, and clean technology equipment</w:t>
      </w:r>
    </w:p>
    <w:p w14:paraId="22140CFF" w14:textId="77777777" w:rsidR="00A863C0" w:rsidRPr="00F35195" w:rsidRDefault="00A863C0" w:rsidP="00A863C0">
      <w:pPr>
        <w:rPr>
          <w:rFonts w:ascii="Poppins" w:hAnsi="Poppins" w:cs="Poppins"/>
        </w:rPr>
      </w:pPr>
      <w:r w:rsidRPr="00F35195">
        <w:rPr>
          <w:rFonts w:ascii="Poppins" w:hAnsi="Poppins" w:cs="Poppins"/>
          <w:b/>
          <w:bCs/>
        </w:rPr>
        <w:t>Green Bonds</w:t>
      </w:r>
    </w:p>
    <w:p w14:paraId="76436428" w14:textId="77777777" w:rsidR="00A863C0" w:rsidRPr="00F35195" w:rsidRDefault="00A863C0" w:rsidP="00A863C0">
      <w:pPr>
        <w:numPr>
          <w:ilvl w:val="0"/>
          <w:numId w:val="4"/>
        </w:numPr>
        <w:spacing w:line="278" w:lineRule="auto"/>
        <w:rPr>
          <w:rFonts w:ascii="Poppins" w:hAnsi="Poppins" w:cs="Poppins"/>
        </w:rPr>
      </w:pPr>
      <w:r w:rsidRPr="00F35195">
        <w:rPr>
          <w:rFonts w:ascii="Poppins" w:hAnsi="Poppins" w:cs="Poppins"/>
          <w:b/>
          <w:bCs/>
        </w:rPr>
        <w:t>Issuance Standards</w:t>
      </w:r>
      <w:r w:rsidRPr="00F35195">
        <w:rPr>
          <w:rFonts w:ascii="Poppins" w:hAnsi="Poppins" w:cs="Poppins"/>
        </w:rPr>
        <w:t>: Alignment with international green bond principles and certification requirements</w:t>
      </w:r>
    </w:p>
    <w:p w14:paraId="1266445A" w14:textId="77777777" w:rsidR="00A863C0" w:rsidRPr="00F35195" w:rsidRDefault="00A863C0" w:rsidP="00A863C0">
      <w:pPr>
        <w:numPr>
          <w:ilvl w:val="0"/>
          <w:numId w:val="4"/>
        </w:numPr>
        <w:spacing w:line="278" w:lineRule="auto"/>
        <w:rPr>
          <w:rFonts w:ascii="Poppins" w:hAnsi="Poppins" w:cs="Poppins"/>
        </w:rPr>
      </w:pPr>
      <w:r w:rsidRPr="00F35195">
        <w:rPr>
          <w:rFonts w:ascii="Poppins" w:hAnsi="Poppins" w:cs="Poppins"/>
          <w:b/>
          <w:bCs/>
        </w:rPr>
        <w:t>Use of Proceeds</w:t>
      </w:r>
      <w:r w:rsidRPr="00F35195">
        <w:rPr>
          <w:rFonts w:ascii="Poppins" w:hAnsi="Poppins" w:cs="Poppins"/>
        </w:rPr>
        <w:t>: Exclusive funding for projects meeting strict environmental criteria</w:t>
      </w:r>
    </w:p>
    <w:p w14:paraId="7858E0DF" w14:textId="77777777" w:rsidR="00A863C0" w:rsidRPr="00F35195" w:rsidRDefault="00A863C0" w:rsidP="00A863C0">
      <w:pPr>
        <w:numPr>
          <w:ilvl w:val="0"/>
          <w:numId w:val="4"/>
        </w:numPr>
        <w:spacing w:line="278" w:lineRule="auto"/>
        <w:rPr>
          <w:rFonts w:ascii="Poppins" w:hAnsi="Poppins" w:cs="Poppins"/>
        </w:rPr>
      </w:pPr>
      <w:r w:rsidRPr="00F35195">
        <w:rPr>
          <w:rFonts w:ascii="Poppins" w:hAnsi="Poppins" w:cs="Poppins"/>
          <w:b/>
          <w:bCs/>
        </w:rPr>
        <w:t>Impact Reporting</w:t>
      </w:r>
      <w:r w:rsidRPr="00F35195">
        <w:rPr>
          <w:rFonts w:ascii="Poppins" w:hAnsi="Poppins" w:cs="Poppins"/>
        </w:rPr>
        <w:t>: Regular disclosure of environmental outcomes and fund utilization</w:t>
      </w:r>
    </w:p>
    <w:p w14:paraId="04B7C35A" w14:textId="77777777" w:rsidR="00A863C0" w:rsidRPr="00F35195" w:rsidRDefault="00A863C0" w:rsidP="00A863C0">
      <w:pPr>
        <w:rPr>
          <w:rFonts w:ascii="Poppins" w:hAnsi="Poppins" w:cs="Poppins"/>
        </w:rPr>
      </w:pPr>
      <w:r w:rsidRPr="00F35195">
        <w:rPr>
          <w:rFonts w:ascii="Poppins" w:hAnsi="Poppins" w:cs="Poppins"/>
          <w:b/>
          <w:bCs/>
        </w:rPr>
        <w:t>Green Mortgages</w:t>
      </w:r>
    </w:p>
    <w:p w14:paraId="18CDFC62" w14:textId="77777777" w:rsidR="00A863C0" w:rsidRPr="00F35195" w:rsidRDefault="00A863C0" w:rsidP="00A863C0">
      <w:pPr>
        <w:numPr>
          <w:ilvl w:val="0"/>
          <w:numId w:val="5"/>
        </w:numPr>
        <w:spacing w:line="278" w:lineRule="auto"/>
        <w:rPr>
          <w:rFonts w:ascii="Poppins" w:hAnsi="Poppins" w:cs="Poppins"/>
        </w:rPr>
      </w:pPr>
      <w:r w:rsidRPr="00F35195">
        <w:rPr>
          <w:rFonts w:ascii="Poppins" w:hAnsi="Poppins" w:cs="Poppins"/>
          <w:b/>
          <w:bCs/>
        </w:rPr>
        <w:t>Energy-Efficient Housing</w:t>
      </w:r>
      <w:r w:rsidRPr="00F35195">
        <w:rPr>
          <w:rFonts w:ascii="Poppins" w:hAnsi="Poppins" w:cs="Poppins"/>
        </w:rPr>
        <w:t>: Preferential rates for homes meeting energy efficiency standards</w:t>
      </w:r>
    </w:p>
    <w:p w14:paraId="31580748" w14:textId="77777777" w:rsidR="00A863C0" w:rsidRPr="00F35195" w:rsidRDefault="00A863C0" w:rsidP="00A863C0">
      <w:pPr>
        <w:numPr>
          <w:ilvl w:val="0"/>
          <w:numId w:val="5"/>
        </w:numPr>
        <w:spacing w:line="278" w:lineRule="auto"/>
        <w:rPr>
          <w:rFonts w:ascii="Poppins" w:hAnsi="Poppins" w:cs="Poppins"/>
        </w:rPr>
      </w:pPr>
      <w:r w:rsidRPr="00F35195">
        <w:rPr>
          <w:rFonts w:ascii="Poppins" w:hAnsi="Poppins" w:cs="Poppins"/>
          <w:b/>
          <w:bCs/>
        </w:rPr>
        <w:t>Green Building Incentives</w:t>
      </w:r>
      <w:r w:rsidRPr="00F35195">
        <w:rPr>
          <w:rFonts w:ascii="Poppins" w:hAnsi="Poppins" w:cs="Poppins"/>
        </w:rPr>
        <w:t>: Additional benefits for LEED, BREEAM, or locally certified sustainable buildings</w:t>
      </w:r>
    </w:p>
    <w:p w14:paraId="191C1A2B" w14:textId="77777777" w:rsidR="00A863C0" w:rsidRPr="00F35195" w:rsidRDefault="00A863C0" w:rsidP="00A863C0">
      <w:pPr>
        <w:numPr>
          <w:ilvl w:val="0"/>
          <w:numId w:val="5"/>
        </w:numPr>
        <w:spacing w:line="278" w:lineRule="auto"/>
        <w:rPr>
          <w:rFonts w:ascii="Poppins" w:hAnsi="Poppins" w:cs="Poppins"/>
        </w:rPr>
      </w:pPr>
      <w:r w:rsidRPr="00F35195">
        <w:rPr>
          <w:rFonts w:ascii="Poppins" w:hAnsi="Poppins" w:cs="Poppins"/>
          <w:b/>
          <w:bCs/>
        </w:rPr>
        <w:t>Renovation Support</w:t>
      </w:r>
      <w:r w:rsidRPr="00F35195">
        <w:rPr>
          <w:rFonts w:ascii="Poppins" w:hAnsi="Poppins" w:cs="Poppins"/>
        </w:rPr>
        <w:t xml:space="preserve">: </w:t>
      </w:r>
      <w:proofErr w:type="gramStart"/>
      <w:r w:rsidRPr="00F35195">
        <w:rPr>
          <w:rFonts w:ascii="Poppins" w:hAnsi="Poppins" w:cs="Poppins"/>
        </w:rPr>
        <w:t>Financing for</w:t>
      </w:r>
      <w:proofErr w:type="gramEnd"/>
      <w:r w:rsidRPr="00F35195">
        <w:rPr>
          <w:rFonts w:ascii="Poppins" w:hAnsi="Poppins" w:cs="Poppins"/>
        </w:rPr>
        <w:t xml:space="preserve"> energy-efficient home improvements and renewable energy installations</w:t>
      </w:r>
    </w:p>
    <w:p w14:paraId="6624A242" w14:textId="77777777" w:rsidR="00A863C0" w:rsidRPr="00F35195" w:rsidRDefault="00A863C0" w:rsidP="00A863C0">
      <w:pPr>
        <w:rPr>
          <w:rFonts w:ascii="Poppins" w:hAnsi="Poppins" w:cs="Poppins"/>
        </w:rPr>
      </w:pPr>
      <w:r w:rsidRPr="00F35195">
        <w:rPr>
          <w:rFonts w:ascii="Poppins" w:hAnsi="Poppins" w:cs="Poppins"/>
          <w:b/>
          <w:bCs/>
        </w:rPr>
        <w:t>Sustainability-Linked Loans</w:t>
      </w:r>
    </w:p>
    <w:p w14:paraId="2671B87C" w14:textId="77777777" w:rsidR="00A863C0" w:rsidRPr="00F35195" w:rsidRDefault="00A863C0" w:rsidP="00A863C0">
      <w:pPr>
        <w:numPr>
          <w:ilvl w:val="0"/>
          <w:numId w:val="6"/>
        </w:numPr>
        <w:spacing w:line="278" w:lineRule="auto"/>
        <w:rPr>
          <w:rFonts w:ascii="Poppins" w:hAnsi="Poppins" w:cs="Poppins"/>
        </w:rPr>
      </w:pPr>
      <w:r w:rsidRPr="00F35195">
        <w:rPr>
          <w:rFonts w:ascii="Poppins" w:hAnsi="Poppins" w:cs="Poppins"/>
          <w:b/>
          <w:bCs/>
        </w:rPr>
        <w:t>Performance Targets</w:t>
      </w:r>
      <w:r w:rsidRPr="00F35195">
        <w:rPr>
          <w:rFonts w:ascii="Poppins" w:hAnsi="Poppins" w:cs="Poppins"/>
        </w:rPr>
        <w:t>: Interest rates tied to specific sustainability metrics (carbon reduction, energy efficiency, waste reduction)</w:t>
      </w:r>
    </w:p>
    <w:p w14:paraId="73BF4635" w14:textId="77777777" w:rsidR="00A863C0" w:rsidRPr="00F35195" w:rsidRDefault="00A863C0" w:rsidP="00A863C0">
      <w:pPr>
        <w:numPr>
          <w:ilvl w:val="0"/>
          <w:numId w:val="6"/>
        </w:numPr>
        <w:spacing w:line="278" w:lineRule="auto"/>
        <w:rPr>
          <w:rFonts w:ascii="Poppins" w:hAnsi="Poppins" w:cs="Poppins"/>
        </w:rPr>
      </w:pPr>
      <w:r w:rsidRPr="00F35195">
        <w:rPr>
          <w:rFonts w:ascii="Poppins" w:hAnsi="Poppins" w:cs="Poppins"/>
          <w:b/>
          <w:bCs/>
        </w:rPr>
        <w:lastRenderedPageBreak/>
        <w:t>Flexibility Options</w:t>
      </w:r>
      <w:r w:rsidRPr="00F35195">
        <w:rPr>
          <w:rFonts w:ascii="Poppins" w:hAnsi="Poppins" w:cs="Poppins"/>
        </w:rPr>
        <w:t>: Adaptable terms based on achievement of predetermined ESG performance indicators</w:t>
      </w:r>
    </w:p>
    <w:p w14:paraId="0BF5654E" w14:textId="77777777" w:rsidR="00A863C0" w:rsidRPr="00F35195" w:rsidRDefault="00A863C0" w:rsidP="00A863C0">
      <w:pPr>
        <w:numPr>
          <w:ilvl w:val="0"/>
          <w:numId w:val="6"/>
        </w:numPr>
        <w:spacing w:line="278" w:lineRule="auto"/>
        <w:rPr>
          <w:rFonts w:ascii="Poppins" w:hAnsi="Poppins" w:cs="Poppins"/>
        </w:rPr>
      </w:pPr>
      <w:r w:rsidRPr="00F35195">
        <w:rPr>
          <w:rFonts w:ascii="Poppins" w:hAnsi="Poppins" w:cs="Poppins"/>
          <w:b/>
          <w:bCs/>
        </w:rPr>
        <w:t>Monitoring Framework</w:t>
      </w:r>
      <w:r w:rsidRPr="00F35195">
        <w:rPr>
          <w:rFonts w:ascii="Poppins" w:hAnsi="Poppins" w:cs="Poppins"/>
        </w:rPr>
        <w:t>: Regular assessment of sustainability performance against agreed benchmarks</w:t>
      </w:r>
    </w:p>
    <w:p w14:paraId="4C8EE7CC" w14:textId="77777777" w:rsidR="00A863C0" w:rsidRPr="001458FF" w:rsidRDefault="00A863C0" w:rsidP="008540C3">
      <w:pPr>
        <w:ind w:left="360"/>
        <w:rPr>
          <w:rFonts w:ascii="Poppins" w:hAnsi="Poppins" w:cs="Poppins"/>
          <w:sz w:val="20"/>
          <w:szCs w:val="20"/>
        </w:rPr>
      </w:pPr>
    </w:p>
    <w:sectPr w:rsidR="00A863C0" w:rsidRPr="001458FF" w:rsidSect="009A7232">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B7983" w14:textId="77777777" w:rsidR="00946365" w:rsidRDefault="00946365" w:rsidP="000E237B">
      <w:pPr>
        <w:spacing w:after="0" w:line="240" w:lineRule="auto"/>
      </w:pPr>
      <w:r>
        <w:separator/>
      </w:r>
    </w:p>
  </w:endnote>
  <w:endnote w:type="continuationSeparator" w:id="0">
    <w:p w14:paraId="34560904" w14:textId="77777777" w:rsidR="00946365" w:rsidRDefault="00946365" w:rsidP="000E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altName w:val="Nirmala UI"/>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AB330" w14:textId="77777777" w:rsidR="00946365" w:rsidRDefault="00946365" w:rsidP="000E237B">
      <w:pPr>
        <w:spacing w:after="0" w:line="240" w:lineRule="auto"/>
      </w:pPr>
      <w:r>
        <w:separator/>
      </w:r>
    </w:p>
  </w:footnote>
  <w:footnote w:type="continuationSeparator" w:id="0">
    <w:p w14:paraId="663C3466" w14:textId="77777777" w:rsidR="00946365" w:rsidRDefault="00946365" w:rsidP="000E2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793636"/>
      <w:docPartObj>
        <w:docPartGallery w:val="Page Numbers (Top of Page)"/>
        <w:docPartUnique/>
      </w:docPartObj>
    </w:sdtPr>
    <w:sdtEndPr>
      <w:rPr>
        <w:noProof/>
      </w:rPr>
    </w:sdtEndPr>
    <w:sdtContent>
      <w:p w14:paraId="1A18515C" w14:textId="6091E9C5" w:rsidR="000E237B" w:rsidRDefault="000E237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9A046E3" w14:textId="77777777" w:rsidR="000E237B" w:rsidRDefault="000E2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37D24"/>
    <w:multiLevelType w:val="hybridMultilevel"/>
    <w:tmpl w:val="BD10928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B84E83"/>
    <w:multiLevelType w:val="multilevel"/>
    <w:tmpl w:val="7E2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D1172"/>
    <w:multiLevelType w:val="multilevel"/>
    <w:tmpl w:val="E76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86829"/>
    <w:multiLevelType w:val="hybridMultilevel"/>
    <w:tmpl w:val="5164C69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4F4F37"/>
    <w:multiLevelType w:val="multilevel"/>
    <w:tmpl w:val="745C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D3B02"/>
    <w:multiLevelType w:val="multilevel"/>
    <w:tmpl w:val="D20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5700B"/>
    <w:multiLevelType w:val="multilevel"/>
    <w:tmpl w:val="345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813629"/>
    <w:multiLevelType w:val="multilevel"/>
    <w:tmpl w:val="060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D1576"/>
    <w:multiLevelType w:val="multilevel"/>
    <w:tmpl w:val="FD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947C1"/>
    <w:multiLevelType w:val="multilevel"/>
    <w:tmpl w:val="E246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A5260B"/>
    <w:multiLevelType w:val="multilevel"/>
    <w:tmpl w:val="5D3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519163">
    <w:abstractNumId w:val="0"/>
  </w:num>
  <w:num w:numId="2" w16cid:durableId="1071004894">
    <w:abstractNumId w:val="3"/>
  </w:num>
  <w:num w:numId="3" w16cid:durableId="631139014">
    <w:abstractNumId w:val="7"/>
  </w:num>
  <w:num w:numId="4" w16cid:durableId="447241802">
    <w:abstractNumId w:val="8"/>
  </w:num>
  <w:num w:numId="5" w16cid:durableId="1045064448">
    <w:abstractNumId w:val="10"/>
  </w:num>
  <w:num w:numId="6" w16cid:durableId="28841350">
    <w:abstractNumId w:val="2"/>
  </w:num>
  <w:num w:numId="7" w16cid:durableId="2052915679">
    <w:abstractNumId w:val="1"/>
  </w:num>
  <w:num w:numId="8" w16cid:durableId="371686024">
    <w:abstractNumId w:val="4"/>
  </w:num>
  <w:num w:numId="9" w16cid:durableId="2106873867">
    <w:abstractNumId w:val="9"/>
  </w:num>
  <w:num w:numId="10" w16cid:durableId="222639166">
    <w:abstractNumId w:val="5"/>
  </w:num>
  <w:num w:numId="11" w16cid:durableId="1487236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C3"/>
    <w:rsid w:val="00064B94"/>
    <w:rsid w:val="000B4C64"/>
    <w:rsid w:val="000C32DA"/>
    <w:rsid w:val="000E237B"/>
    <w:rsid w:val="001458FF"/>
    <w:rsid w:val="00156430"/>
    <w:rsid w:val="00170946"/>
    <w:rsid w:val="001B4B3B"/>
    <w:rsid w:val="00292DB6"/>
    <w:rsid w:val="002E7DF0"/>
    <w:rsid w:val="0032017C"/>
    <w:rsid w:val="00320DFA"/>
    <w:rsid w:val="00482968"/>
    <w:rsid w:val="004B2865"/>
    <w:rsid w:val="004E6B23"/>
    <w:rsid w:val="00582847"/>
    <w:rsid w:val="00593E2F"/>
    <w:rsid w:val="005B1654"/>
    <w:rsid w:val="005C1997"/>
    <w:rsid w:val="005D01C5"/>
    <w:rsid w:val="00621DA5"/>
    <w:rsid w:val="00626C83"/>
    <w:rsid w:val="00642F01"/>
    <w:rsid w:val="00735DE1"/>
    <w:rsid w:val="007477C2"/>
    <w:rsid w:val="0079484A"/>
    <w:rsid w:val="007A5B6F"/>
    <w:rsid w:val="007B0BF3"/>
    <w:rsid w:val="007D7239"/>
    <w:rsid w:val="008540C3"/>
    <w:rsid w:val="00872D45"/>
    <w:rsid w:val="00881BC8"/>
    <w:rsid w:val="00946365"/>
    <w:rsid w:val="009A7232"/>
    <w:rsid w:val="009C6606"/>
    <w:rsid w:val="00A07FCC"/>
    <w:rsid w:val="00A632BC"/>
    <w:rsid w:val="00A863C0"/>
    <w:rsid w:val="00AB4543"/>
    <w:rsid w:val="00BB1F11"/>
    <w:rsid w:val="00BB5DAE"/>
    <w:rsid w:val="00C64213"/>
    <w:rsid w:val="00D80A92"/>
    <w:rsid w:val="00DB3B93"/>
    <w:rsid w:val="00DC541D"/>
    <w:rsid w:val="00DD62DA"/>
    <w:rsid w:val="00EE13BC"/>
    <w:rsid w:val="00EE3831"/>
    <w:rsid w:val="00EF488D"/>
    <w:rsid w:val="00F146B2"/>
    <w:rsid w:val="00F86C2D"/>
    <w:rsid w:val="00F9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7119"/>
  <w15:chartTrackingRefBased/>
  <w15:docId w15:val="{DC5C9FB8-DE6F-4F7F-863F-5CB5DA5F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B3B"/>
    <w:pPr>
      <w:keepNext/>
      <w:keepLines/>
      <w:spacing w:before="360" w:after="80"/>
      <w:outlineLvl w:val="0"/>
    </w:pPr>
    <w:rPr>
      <w:rFonts w:ascii="Poppins" w:eastAsiaTheme="majorEastAsia" w:hAnsi="Poppins" w:cstheme="majorBidi"/>
      <w:b/>
      <w:color w:val="000000" w:themeColor="text1"/>
      <w:sz w:val="24"/>
      <w:szCs w:val="40"/>
    </w:rPr>
  </w:style>
  <w:style w:type="paragraph" w:styleId="Heading2">
    <w:name w:val="heading 2"/>
    <w:basedOn w:val="Normal"/>
    <w:next w:val="Normal"/>
    <w:link w:val="Heading2Char"/>
    <w:uiPriority w:val="9"/>
    <w:semiHidden/>
    <w:unhideWhenUsed/>
    <w:qFormat/>
    <w:rsid w:val="00854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B3B"/>
    <w:rPr>
      <w:rFonts w:ascii="Poppins" w:eastAsiaTheme="majorEastAsia" w:hAnsi="Poppins" w:cstheme="majorBidi"/>
      <w:b/>
      <w:color w:val="000000" w:themeColor="text1"/>
      <w:sz w:val="24"/>
      <w:szCs w:val="40"/>
    </w:rPr>
  </w:style>
  <w:style w:type="character" w:customStyle="1" w:styleId="Heading2Char">
    <w:name w:val="Heading 2 Char"/>
    <w:basedOn w:val="DefaultParagraphFont"/>
    <w:link w:val="Heading2"/>
    <w:uiPriority w:val="9"/>
    <w:semiHidden/>
    <w:rsid w:val="00854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0C3"/>
    <w:rPr>
      <w:rFonts w:eastAsiaTheme="majorEastAsia" w:cstheme="majorBidi"/>
      <w:color w:val="272727" w:themeColor="text1" w:themeTint="D8"/>
    </w:rPr>
  </w:style>
  <w:style w:type="paragraph" w:styleId="Title">
    <w:name w:val="Title"/>
    <w:basedOn w:val="Normal"/>
    <w:next w:val="Normal"/>
    <w:link w:val="TitleChar"/>
    <w:uiPriority w:val="10"/>
    <w:qFormat/>
    <w:rsid w:val="00854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0C3"/>
    <w:pPr>
      <w:spacing w:before="160"/>
      <w:jc w:val="center"/>
    </w:pPr>
    <w:rPr>
      <w:i/>
      <w:iCs/>
      <w:color w:val="404040" w:themeColor="text1" w:themeTint="BF"/>
    </w:rPr>
  </w:style>
  <w:style w:type="character" w:customStyle="1" w:styleId="QuoteChar">
    <w:name w:val="Quote Char"/>
    <w:basedOn w:val="DefaultParagraphFont"/>
    <w:link w:val="Quote"/>
    <w:uiPriority w:val="29"/>
    <w:rsid w:val="008540C3"/>
    <w:rPr>
      <w:i/>
      <w:iCs/>
      <w:color w:val="404040" w:themeColor="text1" w:themeTint="BF"/>
    </w:rPr>
  </w:style>
  <w:style w:type="paragraph" w:styleId="ListParagraph">
    <w:name w:val="List Paragraph"/>
    <w:basedOn w:val="Normal"/>
    <w:uiPriority w:val="34"/>
    <w:qFormat/>
    <w:rsid w:val="008540C3"/>
    <w:pPr>
      <w:ind w:left="720"/>
      <w:contextualSpacing/>
    </w:pPr>
  </w:style>
  <w:style w:type="character" w:styleId="IntenseEmphasis">
    <w:name w:val="Intense Emphasis"/>
    <w:basedOn w:val="DefaultParagraphFont"/>
    <w:uiPriority w:val="21"/>
    <w:qFormat/>
    <w:rsid w:val="008540C3"/>
    <w:rPr>
      <w:i/>
      <w:iCs/>
      <w:color w:val="0F4761" w:themeColor="accent1" w:themeShade="BF"/>
    </w:rPr>
  </w:style>
  <w:style w:type="paragraph" w:styleId="IntenseQuote">
    <w:name w:val="Intense Quote"/>
    <w:basedOn w:val="Normal"/>
    <w:next w:val="Normal"/>
    <w:link w:val="IntenseQuoteChar"/>
    <w:uiPriority w:val="30"/>
    <w:qFormat/>
    <w:rsid w:val="00854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0C3"/>
    <w:rPr>
      <w:i/>
      <w:iCs/>
      <w:color w:val="0F4761" w:themeColor="accent1" w:themeShade="BF"/>
    </w:rPr>
  </w:style>
  <w:style w:type="character" w:styleId="IntenseReference">
    <w:name w:val="Intense Reference"/>
    <w:basedOn w:val="DefaultParagraphFont"/>
    <w:uiPriority w:val="32"/>
    <w:qFormat/>
    <w:rsid w:val="008540C3"/>
    <w:rPr>
      <w:b/>
      <w:bCs/>
      <w:smallCaps/>
      <w:color w:val="0F4761" w:themeColor="accent1" w:themeShade="BF"/>
      <w:spacing w:val="5"/>
    </w:rPr>
  </w:style>
  <w:style w:type="table" w:styleId="TableGrid">
    <w:name w:val="Table Grid"/>
    <w:basedOn w:val="TableNormal"/>
    <w:uiPriority w:val="39"/>
    <w:rsid w:val="00854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37B"/>
  </w:style>
  <w:style w:type="paragraph" w:styleId="Footer">
    <w:name w:val="footer"/>
    <w:basedOn w:val="Normal"/>
    <w:link w:val="FooterChar"/>
    <w:uiPriority w:val="99"/>
    <w:unhideWhenUsed/>
    <w:rsid w:val="000E2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3979">
      <w:bodyDiv w:val="1"/>
      <w:marLeft w:val="0"/>
      <w:marRight w:val="0"/>
      <w:marTop w:val="0"/>
      <w:marBottom w:val="0"/>
      <w:divBdr>
        <w:top w:val="none" w:sz="0" w:space="0" w:color="auto"/>
        <w:left w:val="none" w:sz="0" w:space="0" w:color="auto"/>
        <w:bottom w:val="none" w:sz="0" w:space="0" w:color="auto"/>
        <w:right w:val="none" w:sz="0" w:space="0" w:color="auto"/>
      </w:divBdr>
    </w:div>
    <w:div w:id="85350964">
      <w:bodyDiv w:val="1"/>
      <w:marLeft w:val="0"/>
      <w:marRight w:val="0"/>
      <w:marTop w:val="0"/>
      <w:marBottom w:val="0"/>
      <w:divBdr>
        <w:top w:val="none" w:sz="0" w:space="0" w:color="auto"/>
        <w:left w:val="none" w:sz="0" w:space="0" w:color="auto"/>
        <w:bottom w:val="none" w:sz="0" w:space="0" w:color="auto"/>
        <w:right w:val="none" w:sz="0" w:space="0" w:color="auto"/>
      </w:divBdr>
    </w:div>
    <w:div w:id="196509533">
      <w:bodyDiv w:val="1"/>
      <w:marLeft w:val="0"/>
      <w:marRight w:val="0"/>
      <w:marTop w:val="0"/>
      <w:marBottom w:val="0"/>
      <w:divBdr>
        <w:top w:val="none" w:sz="0" w:space="0" w:color="auto"/>
        <w:left w:val="none" w:sz="0" w:space="0" w:color="auto"/>
        <w:bottom w:val="none" w:sz="0" w:space="0" w:color="auto"/>
        <w:right w:val="none" w:sz="0" w:space="0" w:color="auto"/>
      </w:divBdr>
    </w:div>
    <w:div w:id="755516330">
      <w:bodyDiv w:val="1"/>
      <w:marLeft w:val="0"/>
      <w:marRight w:val="0"/>
      <w:marTop w:val="0"/>
      <w:marBottom w:val="0"/>
      <w:divBdr>
        <w:top w:val="none" w:sz="0" w:space="0" w:color="auto"/>
        <w:left w:val="none" w:sz="0" w:space="0" w:color="auto"/>
        <w:bottom w:val="none" w:sz="0" w:space="0" w:color="auto"/>
        <w:right w:val="none" w:sz="0" w:space="0" w:color="auto"/>
      </w:divBdr>
      <w:divsChild>
        <w:div w:id="1438135748">
          <w:marLeft w:val="0"/>
          <w:marRight w:val="0"/>
          <w:marTop w:val="0"/>
          <w:marBottom w:val="0"/>
          <w:divBdr>
            <w:top w:val="none" w:sz="0" w:space="0" w:color="auto"/>
            <w:left w:val="none" w:sz="0" w:space="0" w:color="auto"/>
            <w:bottom w:val="none" w:sz="0" w:space="0" w:color="auto"/>
            <w:right w:val="none" w:sz="0" w:space="0" w:color="auto"/>
          </w:divBdr>
          <w:divsChild>
            <w:div w:id="11946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465">
      <w:bodyDiv w:val="1"/>
      <w:marLeft w:val="0"/>
      <w:marRight w:val="0"/>
      <w:marTop w:val="0"/>
      <w:marBottom w:val="0"/>
      <w:divBdr>
        <w:top w:val="none" w:sz="0" w:space="0" w:color="auto"/>
        <w:left w:val="none" w:sz="0" w:space="0" w:color="auto"/>
        <w:bottom w:val="none" w:sz="0" w:space="0" w:color="auto"/>
        <w:right w:val="none" w:sz="0" w:space="0" w:color="auto"/>
      </w:divBdr>
    </w:div>
    <w:div w:id="834027942">
      <w:bodyDiv w:val="1"/>
      <w:marLeft w:val="0"/>
      <w:marRight w:val="0"/>
      <w:marTop w:val="0"/>
      <w:marBottom w:val="0"/>
      <w:divBdr>
        <w:top w:val="none" w:sz="0" w:space="0" w:color="auto"/>
        <w:left w:val="none" w:sz="0" w:space="0" w:color="auto"/>
        <w:bottom w:val="none" w:sz="0" w:space="0" w:color="auto"/>
        <w:right w:val="none" w:sz="0" w:space="0" w:color="auto"/>
      </w:divBdr>
      <w:divsChild>
        <w:div w:id="371928424">
          <w:marLeft w:val="0"/>
          <w:marRight w:val="0"/>
          <w:marTop w:val="0"/>
          <w:marBottom w:val="0"/>
          <w:divBdr>
            <w:top w:val="single" w:sz="2" w:space="0" w:color="E5E7EB"/>
            <w:left w:val="single" w:sz="2" w:space="0" w:color="E5E7EB"/>
            <w:bottom w:val="single" w:sz="2" w:space="0" w:color="E5E7EB"/>
            <w:right w:val="single" w:sz="2" w:space="0" w:color="E5E7EB"/>
          </w:divBdr>
          <w:divsChild>
            <w:div w:id="1915966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7399444">
      <w:bodyDiv w:val="1"/>
      <w:marLeft w:val="0"/>
      <w:marRight w:val="0"/>
      <w:marTop w:val="0"/>
      <w:marBottom w:val="0"/>
      <w:divBdr>
        <w:top w:val="none" w:sz="0" w:space="0" w:color="auto"/>
        <w:left w:val="none" w:sz="0" w:space="0" w:color="auto"/>
        <w:bottom w:val="none" w:sz="0" w:space="0" w:color="auto"/>
        <w:right w:val="none" w:sz="0" w:space="0" w:color="auto"/>
      </w:divBdr>
      <w:divsChild>
        <w:div w:id="1368604281">
          <w:marLeft w:val="0"/>
          <w:marRight w:val="0"/>
          <w:marTop w:val="0"/>
          <w:marBottom w:val="0"/>
          <w:divBdr>
            <w:top w:val="none" w:sz="0" w:space="0" w:color="auto"/>
            <w:left w:val="none" w:sz="0" w:space="0" w:color="auto"/>
            <w:bottom w:val="none" w:sz="0" w:space="0" w:color="auto"/>
            <w:right w:val="none" w:sz="0" w:space="0" w:color="auto"/>
          </w:divBdr>
          <w:divsChild>
            <w:div w:id="1770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0114">
      <w:bodyDiv w:val="1"/>
      <w:marLeft w:val="0"/>
      <w:marRight w:val="0"/>
      <w:marTop w:val="0"/>
      <w:marBottom w:val="0"/>
      <w:divBdr>
        <w:top w:val="none" w:sz="0" w:space="0" w:color="auto"/>
        <w:left w:val="none" w:sz="0" w:space="0" w:color="auto"/>
        <w:bottom w:val="none" w:sz="0" w:space="0" w:color="auto"/>
        <w:right w:val="none" w:sz="0" w:space="0" w:color="auto"/>
      </w:divBdr>
    </w:div>
    <w:div w:id="1037465097">
      <w:bodyDiv w:val="1"/>
      <w:marLeft w:val="0"/>
      <w:marRight w:val="0"/>
      <w:marTop w:val="0"/>
      <w:marBottom w:val="0"/>
      <w:divBdr>
        <w:top w:val="none" w:sz="0" w:space="0" w:color="auto"/>
        <w:left w:val="none" w:sz="0" w:space="0" w:color="auto"/>
        <w:bottom w:val="none" w:sz="0" w:space="0" w:color="auto"/>
        <w:right w:val="none" w:sz="0" w:space="0" w:color="auto"/>
      </w:divBdr>
    </w:div>
    <w:div w:id="1165971697">
      <w:bodyDiv w:val="1"/>
      <w:marLeft w:val="0"/>
      <w:marRight w:val="0"/>
      <w:marTop w:val="0"/>
      <w:marBottom w:val="0"/>
      <w:divBdr>
        <w:top w:val="none" w:sz="0" w:space="0" w:color="auto"/>
        <w:left w:val="none" w:sz="0" w:space="0" w:color="auto"/>
        <w:bottom w:val="none" w:sz="0" w:space="0" w:color="auto"/>
        <w:right w:val="none" w:sz="0" w:space="0" w:color="auto"/>
      </w:divBdr>
    </w:div>
    <w:div w:id="1221136245">
      <w:bodyDiv w:val="1"/>
      <w:marLeft w:val="0"/>
      <w:marRight w:val="0"/>
      <w:marTop w:val="0"/>
      <w:marBottom w:val="0"/>
      <w:divBdr>
        <w:top w:val="none" w:sz="0" w:space="0" w:color="auto"/>
        <w:left w:val="none" w:sz="0" w:space="0" w:color="auto"/>
        <w:bottom w:val="none" w:sz="0" w:space="0" w:color="auto"/>
        <w:right w:val="none" w:sz="0" w:space="0" w:color="auto"/>
      </w:divBdr>
      <w:divsChild>
        <w:div w:id="38208437">
          <w:marLeft w:val="0"/>
          <w:marRight w:val="0"/>
          <w:marTop w:val="0"/>
          <w:marBottom w:val="0"/>
          <w:divBdr>
            <w:top w:val="single" w:sz="2" w:space="0" w:color="E5E7EB"/>
            <w:left w:val="single" w:sz="2" w:space="0" w:color="E5E7EB"/>
            <w:bottom w:val="single" w:sz="2" w:space="0" w:color="E5E7EB"/>
            <w:right w:val="single" w:sz="2" w:space="0" w:color="E5E7EB"/>
          </w:divBdr>
          <w:divsChild>
            <w:div w:id="1619995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1282167">
      <w:bodyDiv w:val="1"/>
      <w:marLeft w:val="0"/>
      <w:marRight w:val="0"/>
      <w:marTop w:val="0"/>
      <w:marBottom w:val="0"/>
      <w:divBdr>
        <w:top w:val="none" w:sz="0" w:space="0" w:color="auto"/>
        <w:left w:val="none" w:sz="0" w:space="0" w:color="auto"/>
        <w:bottom w:val="none" w:sz="0" w:space="0" w:color="auto"/>
        <w:right w:val="none" w:sz="0" w:space="0" w:color="auto"/>
      </w:divBdr>
    </w:div>
    <w:div w:id="1338995781">
      <w:bodyDiv w:val="1"/>
      <w:marLeft w:val="0"/>
      <w:marRight w:val="0"/>
      <w:marTop w:val="0"/>
      <w:marBottom w:val="0"/>
      <w:divBdr>
        <w:top w:val="none" w:sz="0" w:space="0" w:color="auto"/>
        <w:left w:val="none" w:sz="0" w:space="0" w:color="auto"/>
        <w:bottom w:val="none" w:sz="0" w:space="0" w:color="auto"/>
        <w:right w:val="none" w:sz="0" w:space="0" w:color="auto"/>
      </w:divBdr>
    </w:div>
    <w:div w:id="1466116243">
      <w:bodyDiv w:val="1"/>
      <w:marLeft w:val="0"/>
      <w:marRight w:val="0"/>
      <w:marTop w:val="0"/>
      <w:marBottom w:val="0"/>
      <w:divBdr>
        <w:top w:val="none" w:sz="0" w:space="0" w:color="auto"/>
        <w:left w:val="none" w:sz="0" w:space="0" w:color="auto"/>
        <w:bottom w:val="none" w:sz="0" w:space="0" w:color="auto"/>
        <w:right w:val="none" w:sz="0" w:space="0" w:color="auto"/>
      </w:divBdr>
    </w:div>
    <w:div w:id="1468206010">
      <w:bodyDiv w:val="1"/>
      <w:marLeft w:val="0"/>
      <w:marRight w:val="0"/>
      <w:marTop w:val="0"/>
      <w:marBottom w:val="0"/>
      <w:divBdr>
        <w:top w:val="none" w:sz="0" w:space="0" w:color="auto"/>
        <w:left w:val="none" w:sz="0" w:space="0" w:color="auto"/>
        <w:bottom w:val="none" w:sz="0" w:space="0" w:color="auto"/>
        <w:right w:val="none" w:sz="0" w:space="0" w:color="auto"/>
      </w:divBdr>
    </w:div>
    <w:div w:id="1473867375">
      <w:bodyDiv w:val="1"/>
      <w:marLeft w:val="0"/>
      <w:marRight w:val="0"/>
      <w:marTop w:val="0"/>
      <w:marBottom w:val="0"/>
      <w:divBdr>
        <w:top w:val="none" w:sz="0" w:space="0" w:color="auto"/>
        <w:left w:val="none" w:sz="0" w:space="0" w:color="auto"/>
        <w:bottom w:val="none" w:sz="0" w:space="0" w:color="auto"/>
        <w:right w:val="none" w:sz="0" w:space="0" w:color="auto"/>
      </w:divBdr>
    </w:div>
    <w:div w:id="1566376942">
      <w:bodyDiv w:val="1"/>
      <w:marLeft w:val="0"/>
      <w:marRight w:val="0"/>
      <w:marTop w:val="0"/>
      <w:marBottom w:val="0"/>
      <w:divBdr>
        <w:top w:val="none" w:sz="0" w:space="0" w:color="auto"/>
        <w:left w:val="none" w:sz="0" w:space="0" w:color="auto"/>
        <w:bottom w:val="none" w:sz="0" w:space="0" w:color="auto"/>
        <w:right w:val="none" w:sz="0" w:space="0" w:color="auto"/>
      </w:divBdr>
    </w:div>
    <w:div w:id="1932398431">
      <w:bodyDiv w:val="1"/>
      <w:marLeft w:val="0"/>
      <w:marRight w:val="0"/>
      <w:marTop w:val="0"/>
      <w:marBottom w:val="0"/>
      <w:divBdr>
        <w:top w:val="none" w:sz="0" w:space="0" w:color="auto"/>
        <w:left w:val="none" w:sz="0" w:space="0" w:color="auto"/>
        <w:bottom w:val="none" w:sz="0" w:space="0" w:color="auto"/>
        <w:right w:val="none" w:sz="0" w:space="0" w:color="auto"/>
      </w:divBdr>
    </w:div>
    <w:div w:id="1963536685">
      <w:bodyDiv w:val="1"/>
      <w:marLeft w:val="0"/>
      <w:marRight w:val="0"/>
      <w:marTop w:val="0"/>
      <w:marBottom w:val="0"/>
      <w:divBdr>
        <w:top w:val="none" w:sz="0" w:space="0" w:color="auto"/>
        <w:left w:val="none" w:sz="0" w:space="0" w:color="auto"/>
        <w:bottom w:val="none" w:sz="0" w:space="0" w:color="auto"/>
        <w:right w:val="none" w:sz="0" w:space="0" w:color="auto"/>
      </w:divBdr>
    </w:div>
    <w:div w:id="210845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3CB71-6871-46B6-AD59-D94DEA53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34</Pages>
  <Words>4874</Words>
  <Characters>27787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yashfa khalid</dc:creator>
  <cp:keywords/>
  <dc:description/>
  <cp:lastModifiedBy>Mahnoor Khalique</cp:lastModifiedBy>
  <cp:revision>28</cp:revision>
  <dcterms:created xsi:type="dcterms:W3CDTF">2025-07-07T07:09:00Z</dcterms:created>
  <dcterms:modified xsi:type="dcterms:W3CDTF">2025-07-07T11:53:00Z</dcterms:modified>
</cp:coreProperties>
</file>