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60"/>
        </w:rPr>
        <w:t>HEALTHCARE IoT</w:t>
        <w:br/>
        <w:t>BIG DATA PIPELINE</w:t>
      </w:r>
    </w:p>
    <w:p>
      <w:pPr>
        <w:jc w:val="center"/>
      </w:pPr>
      <w:r>
        <w:rPr>
          <w:color w:val="2F5597"/>
          <w:sz w:val="36"/>
        </w:rPr>
        <w:t>Complete Project Documentation</w:t>
      </w:r>
    </w:p>
    <w:p/>
    <w:p>
      <w:pPr>
        <w:jc w:val="center"/>
      </w:pPr>
      <w:r>
        <w:rPr>
          <w:sz w:val="22"/>
        </w:rPr>
        <w:t>Synthetic healthcare telemetry • Streaming ingestion • Medallion Lakehouse</w:t>
        <w:br/>
        <w:t>AWS Glue / PySpark • Amazon S3 • Snowflake • dbt • Apache Airflow • Power BI</w:t>
      </w:r>
    </w:p>
    <w:p/>
    <w:p>
      <w:pPr>
        <w:spacing w:before="800"/>
        <w:jc w:val="center"/>
      </w:pPr>
      <w:r>
        <w:rPr>
          <w:b/>
        </w:rPr>
        <w:t>GitHub Repository</w:t>
        <w:br/>
      </w:r>
      <w:r>
        <w:t>https://github.com/yousefmichael/healthcare-iot-big-data-pipeline</w:t>
      </w:r>
    </w:p>
    <w:p>
      <w:pPr>
        <w:spacing w:before="1200"/>
        <w:jc w:val="center"/>
      </w:pPr>
      <w:r>
        <w:rPr>
          <w:i/>
        </w:rPr>
        <w:t>Prepared from the six supplied project documents and the public repository README.</w:t>
        <w:br/>
        <w:t>Version: October 2026</w:t>
      </w:r>
    </w:p>
    <w:p>
      <w:r>
        <w:br w:type="page"/>
      </w:r>
    </w:p>
    <w:p>
      <w:pPr>
        <w:pStyle w:val="Heading1"/>
        <w:keepNext/>
      </w:pPr>
      <w:r>
        <w:t>Document Scope and Reading Guide</w:t>
      </w:r>
    </w:p>
    <w:p>
      <w:r>
        <w:t>This document consolidates the project materials into one end-to-end technical reference. It describes the intended architecture, the documented implementation, the major data contracts, processing responsibilities, orchestration, warehouse modeling, and operational procedures.</w:t>
      </w:r>
    </w:p>
    <w:p>
      <w:r>
        <w:t>The GitHub repository is treated as the implementation reference where its README gives concrete details. The merged source document also contains planning material and suggested alternatives. Those recommendations are not automatically described as implemented features.</w:t>
      </w:r>
    </w:p>
    <w:p>
      <w:r>
        <w:t>Implementation note: validate commands, file paths, table names, credentials, and service configuration against the current checkout before running them. Secrets and generated datasets should remain outside source control.</w:t>
      </w:r>
    </w:p>
    <w:p>
      <w:pPr>
        <w:pStyle w:val="Heading1"/>
        <w:keepNext/>
      </w:pPr>
      <w:r>
        <w:t>Table of Contents</w:t>
      </w:r>
    </w:p>
    <w:p>
      <w:pPr>
        <w:pStyle w:val="ListBullet"/>
        <w:spacing w:after="40"/>
      </w:pPr>
      <w:r>
        <w:t>1. Executive Summary</w:t>
      </w:r>
    </w:p>
    <w:p>
      <w:pPr>
        <w:pStyle w:val="ListBullet"/>
        <w:spacing w:after="40"/>
      </w:pPr>
      <w:r>
        <w:t>2. Project Objectives and Scope</w:t>
      </w:r>
    </w:p>
    <w:p>
      <w:pPr>
        <w:pStyle w:val="ListBullet"/>
        <w:spacing w:after="40"/>
      </w:pPr>
      <w:r>
        <w:t>3. End-to-End Architecture</w:t>
      </w:r>
    </w:p>
    <w:p>
      <w:pPr>
        <w:pStyle w:val="ListBullet"/>
        <w:spacing w:after="40"/>
      </w:pPr>
      <w:r>
        <w:t>4. Synthetic Data Generation</w:t>
      </w:r>
    </w:p>
    <w:p>
      <w:pPr>
        <w:pStyle w:val="ListBullet"/>
        <w:spacing w:after="40"/>
      </w:pPr>
      <w:r>
        <w:t>5. Batch and Streaming Ingestion</w:t>
      </w:r>
    </w:p>
    <w:p>
      <w:pPr>
        <w:pStyle w:val="ListBullet"/>
        <w:spacing w:after="40"/>
      </w:pPr>
      <w:r>
        <w:t>6. Amazon S3 Storage Layout</w:t>
      </w:r>
    </w:p>
    <w:p>
      <w:pPr>
        <w:pStyle w:val="ListBullet"/>
        <w:spacing w:after="40"/>
      </w:pPr>
      <w:r>
        <w:t>7. Medallion Architecture: Bronze, Silver, Gold and Quarantine</w:t>
      </w:r>
    </w:p>
    <w:p>
      <w:pPr>
        <w:pStyle w:val="ListBullet"/>
        <w:spacing w:after="40"/>
      </w:pPr>
      <w:r>
        <w:t>8. Data Quality and Validation</w:t>
      </w:r>
    </w:p>
    <w:p>
      <w:pPr>
        <w:pStyle w:val="ListBullet"/>
        <w:spacing w:after="40"/>
      </w:pPr>
      <w:r>
        <w:t>9. Snowflake Warehouse Integration</w:t>
      </w:r>
    </w:p>
    <w:p>
      <w:pPr>
        <w:pStyle w:val="ListBullet"/>
        <w:spacing w:after="40"/>
      </w:pPr>
      <w:r>
        <w:t>10. dbt Transformation and Testing</w:t>
      </w:r>
    </w:p>
    <w:p>
      <w:pPr>
        <w:pStyle w:val="ListBullet"/>
        <w:spacing w:after="40"/>
      </w:pPr>
      <w:r>
        <w:t>11. Apache Airflow Orchestration</w:t>
      </w:r>
    </w:p>
    <w:p>
      <w:pPr>
        <w:pStyle w:val="ListBullet"/>
        <w:spacing w:after="40"/>
      </w:pPr>
      <w:r>
        <w:t>12. Power BI Analytics</w:t>
      </w:r>
    </w:p>
    <w:p>
      <w:pPr>
        <w:pStyle w:val="ListBullet"/>
        <w:spacing w:after="40"/>
      </w:pPr>
      <w:r>
        <w:t>13. Repository Structure</w:t>
      </w:r>
    </w:p>
    <w:p>
      <w:pPr>
        <w:pStyle w:val="ListBullet"/>
        <w:spacing w:after="40"/>
      </w:pPr>
      <w:r>
        <w:t>14. Execution Runbook</w:t>
      </w:r>
    </w:p>
    <w:p>
      <w:pPr>
        <w:pStyle w:val="ListBullet"/>
        <w:spacing w:after="40"/>
      </w:pPr>
      <w:r>
        <w:t>15. Security, Reliability and Limitations</w:t>
      </w:r>
    </w:p>
    <w:p>
      <w:pPr>
        <w:pStyle w:val="ListBullet"/>
        <w:spacing w:after="40"/>
      </w:pPr>
      <w:r>
        <w:t>16. Demonstration Plan</w:t>
      </w:r>
    </w:p>
    <w:p>
      <w:pPr>
        <w:pStyle w:val="ListBullet"/>
        <w:spacing w:after="40"/>
      </w:pPr>
      <w:r>
        <w:t>17. Conclusion</w:t>
      </w:r>
    </w:p>
    <w:p>
      <w:pPr>
        <w:pStyle w:val="ListBullet"/>
        <w:spacing w:after="40"/>
      </w:pPr>
      <w:r>
        <w:t>Appendix A. Key Dataset Reference</w:t>
      </w:r>
    </w:p>
    <w:p>
      <w:r>
        <w:br w:type="page"/>
      </w:r>
    </w:p>
    <w:p>
      <w:pPr>
        <w:pStyle w:val="Heading1"/>
        <w:keepNext/>
      </w:pPr>
      <w:r>
        <w:t>1. Executive Summary</w:t>
      </w:r>
    </w:p>
    <w:p>
      <w:r>
        <w:t>The Samsung Healthcare IoT Big Data Pipeline is an end-to-end data engineering demonstration that simulates hospital operations and continuously generated medical-device telemetry. It combines historical batch data with streaming events, preserves source records in Amazon S3, applies quality controls and transformations through AWS Glue/PySpark, loads curated datasets into Snowflake, builds analytical models with dbt, coordinates dependencies with Apache Airflow, and exposes operational insights through Power BI.</w:t>
      </w:r>
    </w:p>
    <w:p>
      <w:r>
        <w:t>The project emphasizes reproducibility, separation of raw and curated data, auditable handling of invalid records, and a clear path from device-level events to analytics-ready models. The patient and clinical data are synthetic; this is an engineering and analytics simulation, not a clinical decision-support or diagnostic system.</w:t>
      </w:r>
    </w:p>
    <w:p>
      <w:pPr>
        <w:pStyle w:val="Heading2"/>
        <w:keepNext/>
      </w:pPr>
      <w:r>
        <w:t>Core architecture</w:t>
      </w:r>
    </w:p>
    <w:p>
      <w:pPr>
        <w:spacing w:before="60" w:after="140"/>
        <w:ind w:left="259" w:right="173"/>
        <w:shd w:fill="F2F2F2"/>
      </w:pPr>
      <w:r>
        <w:rPr>
          <w:rFonts w:ascii="Consolas" w:hAnsi="Consolas"/>
          <w:sz w:val="16"/>
        </w:rPr>
        <w:t>Python batch generator ───────────────┐</w:t>
        <w:br/>
        <w:t xml:space="preserve">                                      ├─&gt; Amazon S3 Bronze/raw</w:t>
        <w:br/>
        <w:t>Python producer -&gt; Kafka -&gt; S3 bridge ─┘             |</w:t>
        <w:br/>
        <w:t xml:space="preserve">                                                    v</w:t>
        <w:br/>
        <w:t xml:space="preserve">                                  AWS Glue / PySpark (Silver + Quarantine)</w:t>
        <w:br/>
        <w:t xml:space="preserve">                                                    |</w:t>
        <w:br/>
        <w:t xml:space="preserve">                                                    v</w:t>
        <w:br/>
        <w:t xml:space="preserve">                                          Gold analytical outputs</w:t>
        <w:br/>
        <w:t xml:space="preserve">                                                    |</w:t>
        <w:br/>
        <w:t xml:space="preserve">                                                    v</w:t>
        <w:br/>
        <w:t xml:space="preserve">                                      Snowflake RAW -&gt; dbt models/tests</w:t>
        <w:br/>
        <w:t xml:space="preserve">                                                    |</w:t>
        <w:br/>
        <w:t xml:space="preserve">                                                    v</w:t>
        <w:br/>
        <w:t xml:space="preserve">                                                Power BI</w:t>
        <w:br/>
        <w:br/>
        <w:t>Apache Airflow coordinates pipeline tasks and dependencies.</w:t>
      </w:r>
    </w:p>
    <w:p>
      <w:pPr>
        <w:pStyle w:val="Heading2"/>
        <w:keepNext/>
      </w:pPr>
      <w:r>
        <w:t>Main technologies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B4C7E7"/>
          </w:tcPr>
          <w:p>
            <w:pPr>
              <w:spacing w:after="20"/>
            </w:pPr>
            <w:r/>
            <w:r>
              <w:rPr>
                <w:b/>
                <w:sz w:val="17"/>
              </w:rPr>
              <w:t>Technology</w:t>
            </w:r>
          </w:p>
        </w:tc>
        <w:tc>
          <w:tcPr>
            <w:tcW w:type="dxa" w:w="4968"/>
            <w:vAlign w:val="center"/>
            <w:shd w:fill="B4C7E7"/>
          </w:tcPr>
          <w:p>
            <w:pPr>
              <w:spacing w:after="20"/>
            </w:pPr>
            <w:r/>
            <w:r>
              <w:rPr>
                <w:b/>
                <w:sz w:val="17"/>
              </w:rPr>
              <w:t>Responsibility</w:t>
            </w:r>
          </w:p>
        </w:tc>
      </w:tr>
      <w:tr>
        <w:tc>
          <w:tcPr>
            <w:tcW w:type="dxa" w:w="4968"/>
            <w:vAlign w:val="center"/>
          </w:tcPr>
          <w:p>
            <w:pPr>
              <w:spacing w:after="20"/>
            </w:pPr>
            <w:r/>
            <w:r>
              <w:rPr>
                <w:b w:val="0"/>
                <w:sz w:val="17"/>
              </w:rPr>
              <w:t>Python</w:t>
            </w:r>
          </w:p>
        </w:tc>
        <w:tc>
          <w:tcPr>
            <w:tcW w:type="dxa" w:w="4968"/>
            <w:vAlign w:val="center"/>
          </w:tcPr>
          <w:p>
            <w:pPr>
              <w:spacing w:after="20"/>
            </w:pPr>
            <w:r/>
            <w:r>
              <w:rPr>
                <w:b w:val="0"/>
                <w:sz w:val="17"/>
              </w:rPr>
              <w:t>Generates synthetic hospital reference data and telemetry.</w:t>
            </w:r>
          </w:p>
        </w:tc>
      </w:tr>
      <w:tr>
        <w:tc>
          <w:tcPr>
            <w:tcW w:type="dxa" w:w="4968"/>
            <w:vAlign w:val="center"/>
          </w:tcPr>
          <w:p>
            <w:pPr>
              <w:spacing w:after="20"/>
            </w:pPr>
            <w:r/>
            <w:r>
              <w:rPr>
                <w:b w:val="0"/>
                <w:sz w:val="17"/>
              </w:rPr>
              <w:t>Apache Kafka</w:t>
            </w:r>
          </w:p>
        </w:tc>
        <w:tc>
          <w:tcPr>
            <w:tcW w:type="dxa" w:w="4968"/>
            <w:vAlign w:val="center"/>
          </w:tcPr>
          <w:p>
            <w:pPr>
              <w:spacing w:after="20"/>
            </w:pPr>
            <w:r/>
            <w:r>
              <w:rPr>
                <w:b w:val="0"/>
                <w:sz w:val="17"/>
              </w:rPr>
              <w:t>Buffers and distributes live-style vital readings and device events.</w:t>
            </w:r>
          </w:p>
        </w:tc>
      </w:tr>
      <w:tr>
        <w:tc>
          <w:tcPr>
            <w:tcW w:type="dxa" w:w="4968"/>
            <w:vAlign w:val="center"/>
          </w:tcPr>
          <w:p>
            <w:pPr>
              <w:spacing w:after="20"/>
            </w:pPr>
            <w:r/>
            <w:r>
              <w:rPr>
                <w:b w:val="0"/>
                <w:sz w:val="17"/>
              </w:rPr>
              <w:t>Kafka Connect S3 Sink / streaming bridge</w:t>
            </w:r>
          </w:p>
        </w:tc>
        <w:tc>
          <w:tcPr>
            <w:tcW w:type="dxa" w:w="4968"/>
            <w:vAlign w:val="center"/>
          </w:tcPr>
          <w:p>
            <w:pPr>
              <w:spacing w:after="20"/>
            </w:pPr>
            <w:r/>
            <w:r>
              <w:rPr>
                <w:b w:val="0"/>
                <w:sz w:val="17"/>
              </w:rPr>
              <w:t>Transfers Kafka events to Amazon S3; the repository documentation describes a micro-batch JSON bridge for the Airflow workflow.</w:t>
            </w:r>
          </w:p>
        </w:tc>
      </w:tr>
      <w:tr>
        <w:tc>
          <w:tcPr>
            <w:tcW w:type="dxa" w:w="4968"/>
            <w:vAlign w:val="center"/>
          </w:tcPr>
          <w:p>
            <w:pPr>
              <w:spacing w:after="20"/>
            </w:pPr>
            <w:r/>
            <w:r>
              <w:rPr>
                <w:b w:val="0"/>
                <w:sz w:val="17"/>
              </w:rPr>
              <w:t>Amazon S3</w:t>
            </w:r>
          </w:p>
        </w:tc>
        <w:tc>
          <w:tcPr>
            <w:tcW w:type="dxa" w:w="4968"/>
            <w:vAlign w:val="center"/>
          </w:tcPr>
          <w:p>
            <w:pPr>
              <w:spacing w:after="20"/>
            </w:pPr>
            <w:r/>
            <w:r>
              <w:rPr>
                <w:b w:val="0"/>
                <w:sz w:val="17"/>
              </w:rPr>
              <w:t>Stores raw Bronze inputs, curated Parquet outputs, Gold outputs, and quarantine records.</w:t>
            </w:r>
          </w:p>
        </w:tc>
      </w:tr>
      <w:tr>
        <w:tc>
          <w:tcPr>
            <w:tcW w:type="dxa" w:w="4968"/>
            <w:vAlign w:val="center"/>
          </w:tcPr>
          <w:p>
            <w:pPr>
              <w:spacing w:after="20"/>
            </w:pPr>
            <w:r/>
            <w:r>
              <w:rPr>
                <w:b w:val="0"/>
                <w:sz w:val="17"/>
              </w:rPr>
              <w:t>AWS Glue + PySpark</w:t>
            </w:r>
          </w:p>
        </w:tc>
        <w:tc>
          <w:tcPr>
            <w:tcW w:type="dxa" w:w="4968"/>
            <w:vAlign w:val="center"/>
          </w:tcPr>
          <w:p>
            <w:pPr>
              <w:spacing w:after="20"/>
            </w:pPr>
            <w:r/>
            <w:r>
              <w:rPr>
                <w:b w:val="0"/>
                <w:sz w:val="17"/>
              </w:rPr>
              <w:t>Performs distributed cleaning, schema enforcement, deduplication, reference checks, and analytical aggregation.</w:t>
            </w:r>
          </w:p>
        </w:tc>
      </w:tr>
      <w:tr>
        <w:tc>
          <w:tcPr>
            <w:tcW w:type="dxa" w:w="4968"/>
            <w:vAlign w:val="center"/>
          </w:tcPr>
          <w:p>
            <w:pPr>
              <w:spacing w:after="20"/>
            </w:pPr>
            <w:r/>
            <w:r>
              <w:rPr>
                <w:b w:val="0"/>
                <w:sz w:val="17"/>
              </w:rPr>
              <w:t>Snowflake</w:t>
            </w:r>
          </w:p>
        </w:tc>
        <w:tc>
          <w:tcPr>
            <w:tcW w:type="dxa" w:w="4968"/>
            <w:vAlign w:val="center"/>
          </w:tcPr>
          <w:p>
            <w:pPr>
              <w:spacing w:after="20"/>
            </w:pPr>
            <w:r/>
            <w:r>
              <w:rPr>
                <w:b w:val="0"/>
                <w:sz w:val="17"/>
              </w:rPr>
              <w:t>Warehouse landing and serving platform for curated datasets.</w:t>
            </w:r>
          </w:p>
        </w:tc>
      </w:tr>
      <w:tr>
        <w:tc>
          <w:tcPr>
            <w:tcW w:type="dxa" w:w="4968"/>
            <w:vAlign w:val="center"/>
          </w:tcPr>
          <w:p>
            <w:pPr>
              <w:spacing w:after="20"/>
            </w:pPr>
            <w:r/>
            <w:r>
              <w:rPr>
                <w:b w:val="0"/>
                <w:sz w:val="17"/>
              </w:rPr>
              <w:t>dbt Core</w:t>
            </w:r>
          </w:p>
        </w:tc>
        <w:tc>
          <w:tcPr>
            <w:tcW w:type="dxa" w:w="4968"/>
            <w:vAlign w:val="center"/>
          </w:tcPr>
          <w:p>
            <w:pPr>
              <w:spacing w:after="20"/>
            </w:pPr>
            <w:r/>
            <w:r>
              <w:rPr>
                <w:b w:val="0"/>
                <w:sz w:val="17"/>
              </w:rPr>
              <w:t>Builds staging, intermediate, and mart models and runs data-quality tests.</w:t>
            </w:r>
          </w:p>
        </w:tc>
      </w:tr>
      <w:tr>
        <w:tc>
          <w:tcPr>
            <w:tcW w:type="dxa" w:w="4968"/>
            <w:vAlign w:val="center"/>
          </w:tcPr>
          <w:p>
            <w:pPr>
              <w:spacing w:after="20"/>
            </w:pPr>
            <w:r/>
            <w:r>
              <w:rPr>
                <w:b w:val="0"/>
                <w:sz w:val="17"/>
              </w:rPr>
              <w:t>Apache Airflow</w:t>
            </w:r>
          </w:p>
        </w:tc>
        <w:tc>
          <w:tcPr>
            <w:tcW w:type="dxa" w:w="4968"/>
            <w:vAlign w:val="center"/>
          </w:tcPr>
          <w:p>
            <w:pPr>
              <w:spacing w:after="20"/>
            </w:pPr>
            <w:r/>
            <w:r>
              <w:rPr>
                <w:b w:val="0"/>
                <w:sz w:val="17"/>
              </w:rPr>
              <w:t>Coordinates tasks, sensors, processing, loading, transformations, and downstream notification.</w:t>
            </w:r>
          </w:p>
        </w:tc>
      </w:tr>
      <w:tr>
        <w:tc>
          <w:tcPr>
            <w:tcW w:type="dxa" w:w="4968"/>
            <w:vAlign w:val="center"/>
          </w:tcPr>
          <w:p>
            <w:pPr>
              <w:spacing w:after="20"/>
            </w:pPr>
            <w:r/>
            <w:r>
              <w:rPr>
                <w:b w:val="0"/>
                <w:sz w:val="17"/>
              </w:rPr>
              <w:t>Power BI</w:t>
            </w:r>
          </w:p>
        </w:tc>
        <w:tc>
          <w:tcPr>
            <w:tcW w:type="dxa" w:w="4968"/>
            <w:vAlign w:val="center"/>
          </w:tcPr>
          <w:p>
            <w:pPr>
              <w:spacing w:after="20"/>
            </w:pPr>
            <w:r/>
            <w:r>
              <w:rPr>
                <w:b w:val="0"/>
                <w:sz w:val="17"/>
              </w:rPr>
              <w:t>Presents operational, vital-sign/anomaly, and device-health analytics.</w:t>
            </w:r>
          </w:p>
        </w:tc>
      </w:tr>
    </w:tbl>
    <w:p/>
    <w:p>
      <w:pPr>
        <w:pStyle w:val="Heading1"/>
        <w:keepNext/>
      </w:pPr>
      <w:r>
        <w:t>2. Project Objectives and Scope</w:t>
      </w:r>
    </w:p>
    <w:p>
      <w:pPr>
        <w:pStyle w:val="Heading2"/>
        <w:keepNext/>
      </w:pPr>
      <w:r>
        <w:t>2.1 Objectives</w:t>
      </w:r>
    </w:p>
    <w:p>
      <w:pPr>
        <w:pStyle w:val="ListBullet"/>
        <w:spacing w:after="40"/>
      </w:pPr>
      <w:r>
        <w:t>Generate synthetic hospital entities and time-series IoT telemetry at configurable volumes.</w:t>
      </w:r>
    </w:p>
    <w:p>
      <w:pPr>
        <w:pStyle w:val="ListBullet"/>
        <w:spacing w:after="40"/>
      </w:pPr>
      <w:r>
        <w:t>Demonstrate two ingestion patterns: historical batch files and continuous event streaming.</w:t>
      </w:r>
    </w:p>
    <w:p>
      <w:pPr>
        <w:pStyle w:val="ListBullet"/>
        <w:spacing w:after="40"/>
      </w:pPr>
      <w:r>
        <w:t>Preserve source data in S3 before downstream transformation.</w:t>
      </w:r>
    </w:p>
    <w:p>
      <w:pPr>
        <w:pStyle w:val="ListBullet"/>
        <w:spacing w:after="40"/>
      </w:pPr>
      <w:r>
        <w:t>Apply data quality checks and route rejected records to an auditable quarantine area.</w:t>
      </w:r>
    </w:p>
    <w:p>
      <w:pPr>
        <w:pStyle w:val="ListBullet"/>
        <w:spacing w:after="40"/>
      </w:pPr>
      <w:r>
        <w:t>Produce validated Silver datasets and Gold analytical outputs using PySpark.</w:t>
      </w:r>
    </w:p>
    <w:p>
      <w:pPr>
        <w:pStyle w:val="ListBullet"/>
        <w:spacing w:after="40"/>
      </w:pPr>
      <w:r>
        <w:t>Load curated data into Snowflake and model it with dbt.</w:t>
      </w:r>
    </w:p>
    <w:p>
      <w:pPr>
        <w:pStyle w:val="ListBullet"/>
        <w:spacing w:after="40"/>
      </w:pPr>
      <w:r>
        <w:t>Automate task dependencies and readiness checks through Airflow.</w:t>
      </w:r>
    </w:p>
    <w:p>
      <w:pPr>
        <w:pStyle w:val="ListBullet"/>
        <w:spacing w:after="40"/>
      </w:pPr>
      <w:r>
        <w:t>Expose hospital operations, simulated anomalies, and device-health measures in Power BI.</w:t>
      </w:r>
    </w:p>
    <w:p>
      <w:pPr>
        <w:pStyle w:val="Heading2"/>
        <w:keepNext/>
      </w:pPr>
      <w:r>
        <w:t>2.2 Scope and interpretation</w:t>
      </w:r>
    </w:p>
    <w:p>
      <w:r>
        <w:t>The source materials include both an early implementation plan and later technical descriptions. The early plan mentions proposed volumes and optional alternatives; the repository README and the later implementation documents describe the more concrete design. Accordingly, volume examples and optional integrations such as Snowpipe should be treated as configurable or future enhancements unless confirmed in the current code.</w:t>
      </w:r>
    </w:p>
    <w:p>
      <w:r>
        <w:t>The platform uses synthetic data and configurable simulation thresholds. Physiological boundaries used by the pipeline are engineering rules for this dataset and must not be interpreted as universal medical advice.</w:t>
      </w:r>
    </w:p>
    <w:p>
      <w:pPr>
        <w:pStyle w:val="Heading1"/>
        <w:keepNext/>
      </w:pPr>
      <w:r>
        <w:t>3. End-to-End Architecture</w:t>
      </w:r>
    </w:p>
    <w:p>
      <w:pPr>
        <w:pStyle w:val="Heading2"/>
        <w:keepNext/>
      </w:pPr>
      <w:r>
        <w:t>3.1 Data flow</w:t>
      </w:r>
    </w:p>
    <w:p>
      <w:pPr>
        <w:pStyle w:val="ListNumber"/>
        <w:spacing w:after="40"/>
      </w:pPr>
      <w:r>
        <w:t>Batch generation: generate_batch_data_v2.py creates hospital reference entities and historical records in CSV/JSONL formats.</w:t>
      </w:r>
    </w:p>
    <w:p>
      <w:pPr>
        <w:pStyle w:val="ListNumber"/>
        <w:spacing w:after="40"/>
      </w:pPr>
      <w:r>
        <w:t>Streaming generation: stream_to_kafka.py emits vital readings and device status events to Kafka topics.</w:t>
      </w:r>
    </w:p>
    <w:p>
      <w:pPr>
        <w:pStyle w:val="ListNumber"/>
        <w:spacing w:after="40"/>
      </w:pPr>
      <w:r>
        <w:t>Raw landing: batch files and streamed event objects land under the S3 raw/ prefixes, which form the Bronze layer.</w:t>
      </w:r>
    </w:p>
    <w:p>
      <w:pPr>
        <w:pStyle w:val="ListNumber"/>
        <w:spacing w:after="40"/>
      </w:pPr>
      <w:r>
        <w:t>Lakehouse processing: AWS Glue/PySpark reads the raw inputs, applies schema and quality rules, deduplicates records, and separates rejected records from accepted data.</w:t>
      </w:r>
    </w:p>
    <w:p>
      <w:pPr>
        <w:pStyle w:val="ListNumber"/>
        <w:spacing w:after="40"/>
      </w:pPr>
      <w:r>
        <w:t>Curated storage: validated records are written as Parquet datasets in Silver; Gold outputs provide analytical summaries.</w:t>
      </w:r>
    </w:p>
    <w:p>
      <w:pPr>
        <w:pStyle w:val="ListNumber"/>
        <w:spacing w:after="40"/>
      </w:pPr>
      <w:r>
        <w:t>Warehouse ingestion: Airflow loads Silver and Gold datasets into Snowflake landing tables and validates row counts before replacing target data.</w:t>
      </w:r>
    </w:p>
    <w:p>
      <w:pPr>
        <w:pStyle w:val="ListNumber"/>
        <w:spacing w:after="40"/>
      </w:pPr>
      <w:r>
        <w:t>Warehouse modeling: dbt builds staging and intermediate views and analytical marts, then executes tests.</w:t>
      </w:r>
    </w:p>
    <w:p>
      <w:pPr>
        <w:pStyle w:val="ListNumber"/>
        <w:spacing w:after="40"/>
      </w:pPr>
      <w:r>
        <w:t>Consumption: Power BI queries the analytical models to visualize operational and monitoring metrics.</w:t>
      </w:r>
    </w:p>
    <w:p>
      <w:pPr>
        <w:pStyle w:val="Heading2"/>
        <w:keepNext/>
      </w:pPr>
      <w:r>
        <w:t>3.2 Design principles</w:t>
      </w:r>
    </w:p>
    <w:p>
      <w:pPr>
        <w:pStyle w:val="ListBullet"/>
        <w:spacing w:after="40"/>
      </w:pPr>
      <w:r>
        <w:t>Separate raw preservation from cleaned and analytics-ready data.</w:t>
      </w:r>
    </w:p>
    <w:p>
      <w:pPr>
        <w:pStyle w:val="ListBullet"/>
        <w:spacing w:after="40"/>
      </w:pPr>
      <w:r>
        <w:t>Keep batch and streaming ingestion paths distinguishable for traceability.</w:t>
      </w:r>
    </w:p>
    <w:p>
      <w:pPr>
        <w:pStyle w:val="ListBullet"/>
        <w:spacing w:after="40"/>
      </w:pPr>
      <w:r>
        <w:t>Do not silently discard invalid records; preserve the reason and source payload in quarantine where configured.</w:t>
      </w:r>
    </w:p>
    <w:p>
      <w:pPr>
        <w:pStyle w:val="ListBullet"/>
        <w:spacing w:after="40"/>
      </w:pPr>
      <w:r>
        <w:t>Use stable identifiers and explicit deduplication rules.</w:t>
      </w:r>
    </w:p>
    <w:p>
      <w:pPr>
        <w:pStyle w:val="ListBullet"/>
        <w:spacing w:after="40"/>
      </w:pPr>
      <w:r>
        <w:t>Keep event time distinct from ingestion/processing time where available.</w:t>
      </w:r>
    </w:p>
    <w:p>
      <w:pPr>
        <w:pStyle w:val="ListBullet"/>
        <w:spacing w:after="40"/>
      </w:pPr>
      <w:r>
        <w:t>Protect warehouse tables against accidental replacement by empty loads.</w:t>
      </w:r>
    </w:p>
    <w:p>
      <w:pPr>
        <w:pStyle w:val="ListBullet"/>
        <w:spacing w:after="40"/>
      </w:pPr>
      <w:r>
        <w:t>Keep credentials out of source files and Git history.</w:t>
      </w:r>
    </w:p>
    <w:p>
      <w:pPr>
        <w:pStyle w:val="Heading1"/>
        <w:keepNext/>
      </w:pPr>
      <w:r>
        <w:t>4. Synthetic Data Generation</w:t>
      </w:r>
    </w:p>
    <w:p>
      <w:pPr>
        <w:pStyle w:val="Heading2"/>
        <w:keepNext/>
      </w:pPr>
      <w:r>
        <w:t>4.1 Generator components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20"/>
            </w:pPr>
            <w:r/>
            <w:r>
              <w:rPr>
                <w:b/>
                <w:sz w:val="17"/>
              </w:rPr>
              <w:t>Component</w:t>
            </w:r>
          </w:p>
        </w:tc>
        <w:tc>
          <w:tcPr>
            <w:tcW w:type="dxa" w:w="3312"/>
            <w:vAlign w:val="center"/>
            <w:shd w:fill="B4C7E7"/>
          </w:tcPr>
          <w:p>
            <w:pPr>
              <w:spacing w:after="20"/>
            </w:pPr>
            <w:r/>
            <w:r>
              <w:rPr>
                <w:b/>
                <w:sz w:val="17"/>
              </w:rPr>
              <w:t>Purpose</w:t>
            </w:r>
          </w:p>
        </w:tc>
        <w:tc>
          <w:tcPr>
            <w:tcW w:type="dxa" w:w="3312"/>
            <w:vAlign w:val="center"/>
            <w:shd w:fill="B4C7E7"/>
          </w:tcPr>
          <w:p>
            <w:pPr>
              <w:spacing w:after="20"/>
            </w:pPr>
            <w:r/>
            <w:r>
              <w:rPr>
                <w:b/>
                <w:sz w:val="17"/>
              </w:rPr>
              <w:t>Output</w:t>
            </w:r>
          </w:p>
        </w:tc>
      </w:tr>
      <w:tr>
        <w:tc>
          <w:tcPr>
            <w:tcW w:type="dxa" w:w="3312"/>
            <w:vAlign w:val="center"/>
          </w:tcPr>
          <w:p>
            <w:pPr>
              <w:spacing w:after="20"/>
            </w:pPr>
            <w:r/>
            <w:r>
              <w:rPr>
                <w:b w:val="0"/>
                <w:sz w:val="17"/>
              </w:rPr>
              <w:t>generate_batch_data_v2.py</w:t>
            </w:r>
          </w:p>
        </w:tc>
        <w:tc>
          <w:tcPr>
            <w:tcW w:type="dxa" w:w="3312"/>
            <w:vAlign w:val="center"/>
          </w:tcPr>
          <w:p>
            <w:pPr>
              <w:spacing w:after="20"/>
            </w:pPr>
            <w:r/>
            <w:r>
              <w:rPr>
                <w:b w:val="0"/>
                <w:sz w:val="17"/>
              </w:rPr>
              <w:t>Creates reference entities and historical event data.</w:t>
            </w:r>
          </w:p>
        </w:tc>
        <w:tc>
          <w:tcPr>
            <w:tcW w:type="dxa" w:w="3312"/>
            <w:vAlign w:val="center"/>
          </w:tcPr>
          <w:p>
            <w:pPr>
              <w:spacing w:after="20"/>
            </w:pPr>
            <w:r/>
            <w:r>
              <w:rPr>
                <w:b w:val="0"/>
                <w:sz w:val="17"/>
              </w:rPr>
              <w:t>CSV reference tables, vital_readings.csv, device_status_events.jsonl, and manifest metadata where implemented.</w:t>
            </w:r>
          </w:p>
        </w:tc>
      </w:tr>
      <w:tr>
        <w:tc>
          <w:tcPr>
            <w:tcW w:type="dxa" w:w="3312"/>
            <w:vAlign w:val="center"/>
          </w:tcPr>
          <w:p>
            <w:pPr>
              <w:spacing w:after="20"/>
            </w:pPr>
            <w:r/>
            <w:r>
              <w:rPr>
                <w:b w:val="0"/>
                <w:sz w:val="17"/>
              </w:rPr>
              <w:t>stream_to_kafka.py</w:t>
            </w:r>
          </w:p>
        </w:tc>
        <w:tc>
          <w:tcPr>
            <w:tcW w:type="dxa" w:w="3312"/>
            <w:vAlign w:val="center"/>
          </w:tcPr>
          <w:p>
            <w:pPr>
              <w:spacing w:after="20"/>
            </w:pPr>
            <w:r/>
            <w:r>
              <w:rPr>
                <w:b w:val="0"/>
                <w:sz w:val="17"/>
              </w:rPr>
              <w:t>Continuously simulates telemetry from active devices.</w:t>
            </w:r>
          </w:p>
        </w:tc>
        <w:tc>
          <w:tcPr>
            <w:tcW w:type="dxa" w:w="3312"/>
            <w:vAlign w:val="center"/>
          </w:tcPr>
          <w:p>
            <w:pPr>
              <w:spacing w:after="20"/>
            </w:pPr>
            <w:r/>
            <w:r>
              <w:rPr>
                <w:b w:val="0"/>
                <w:sz w:val="17"/>
              </w:rPr>
              <w:t>JSON messages published to Kafka topics vital-readings and device-status-events.</w:t>
            </w:r>
          </w:p>
        </w:tc>
      </w:tr>
    </w:tbl>
    <w:p/>
    <w:p>
      <w:pPr>
        <w:pStyle w:val="Heading2"/>
        <w:keepNext/>
      </w:pPr>
      <w:r>
        <w:t>4.2 Data entities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20"/>
            </w:pPr>
            <w:r/>
            <w:r>
              <w:rPr>
                <w:b/>
                <w:sz w:val="17"/>
              </w:rPr>
              <w:t>Dataset</w:t>
            </w:r>
          </w:p>
        </w:tc>
        <w:tc>
          <w:tcPr>
            <w:tcW w:type="dxa" w:w="3312"/>
            <w:vAlign w:val="center"/>
            <w:shd w:fill="B4C7E7"/>
          </w:tcPr>
          <w:p>
            <w:pPr>
              <w:spacing w:after="20"/>
            </w:pPr>
            <w:r/>
            <w:r>
              <w:rPr>
                <w:b/>
                <w:sz w:val="17"/>
              </w:rPr>
              <w:t>Important fields / purpose</w:t>
            </w:r>
          </w:p>
        </w:tc>
        <w:tc>
          <w:tcPr>
            <w:tcW w:type="dxa" w:w="3312"/>
            <w:vAlign w:val="center"/>
            <w:shd w:fill="B4C7E7"/>
          </w:tcPr>
          <w:p>
            <w:pPr>
              <w:spacing w:after="20"/>
            </w:pPr>
            <w:r/>
            <w:r>
              <w:rPr>
                <w:b/>
                <w:sz w:val="17"/>
              </w:rPr>
              <w:t>Documented default batch volume</w:t>
            </w:r>
          </w:p>
        </w:tc>
      </w:tr>
      <w:tr>
        <w:tc>
          <w:tcPr>
            <w:tcW w:type="dxa" w:w="3312"/>
            <w:vAlign w:val="center"/>
          </w:tcPr>
          <w:p>
            <w:pPr>
              <w:spacing w:after="20"/>
            </w:pPr>
            <w:r/>
            <w:r>
              <w:rPr>
                <w:b w:val="0"/>
                <w:sz w:val="17"/>
              </w:rPr>
              <w:t>wards</w:t>
            </w:r>
          </w:p>
        </w:tc>
        <w:tc>
          <w:tcPr>
            <w:tcW w:type="dxa" w:w="3312"/>
            <w:vAlign w:val="center"/>
          </w:tcPr>
          <w:p>
            <w:pPr>
              <w:spacing w:after="20"/>
            </w:pPr>
            <w:r/>
            <w:r>
              <w:rPr>
                <w:b w:val="0"/>
                <w:sz w:val="17"/>
              </w:rPr>
              <w:t>ward_id, ward_name, floor, ward_type; hospital departments.</w:t>
            </w:r>
          </w:p>
        </w:tc>
        <w:tc>
          <w:tcPr>
            <w:tcW w:type="dxa" w:w="3312"/>
            <w:vAlign w:val="center"/>
          </w:tcPr>
          <w:p>
            <w:pPr>
              <w:spacing w:after="20"/>
            </w:pPr>
            <w:r/>
            <w:r>
              <w:rPr>
                <w:b w:val="0"/>
                <w:sz w:val="17"/>
              </w:rPr>
              <w:t>60</w:t>
            </w:r>
          </w:p>
        </w:tc>
      </w:tr>
      <w:tr>
        <w:tc>
          <w:tcPr>
            <w:tcW w:type="dxa" w:w="3312"/>
            <w:vAlign w:val="center"/>
          </w:tcPr>
          <w:p>
            <w:pPr>
              <w:spacing w:after="20"/>
            </w:pPr>
            <w:r/>
            <w:r>
              <w:rPr>
                <w:b w:val="0"/>
                <w:sz w:val="17"/>
              </w:rPr>
              <w:t>beds</w:t>
            </w:r>
          </w:p>
        </w:tc>
        <w:tc>
          <w:tcPr>
            <w:tcW w:type="dxa" w:w="3312"/>
            <w:vAlign w:val="center"/>
          </w:tcPr>
          <w:p>
            <w:pPr>
              <w:spacing w:after="20"/>
            </w:pPr>
            <w:r/>
            <w:r>
              <w:rPr>
                <w:b w:val="0"/>
                <w:sz w:val="17"/>
              </w:rPr>
              <w:t>bed_id, ward_id, bed_number, bed_status; physical beds and status.</w:t>
            </w:r>
          </w:p>
        </w:tc>
        <w:tc>
          <w:tcPr>
            <w:tcW w:type="dxa" w:w="3312"/>
            <w:vAlign w:val="center"/>
          </w:tcPr>
          <w:p>
            <w:pPr>
              <w:spacing w:after="20"/>
            </w:pPr>
            <w:r/>
            <w:r>
              <w:rPr>
                <w:b w:val="0"/>
                <w:sz w:val="17"/>
              </w:rPr>
              <w:t>1,600</w:t>
            </w:r>
          </w:p>
        </w:tc>
      </w:tr>
      <w:tr>
        <w:tc>
          <w:tcPr>
            <w:tcW w:type="dxa" w:w="3312"/>
            <w:vAlign w:val="center"/>
          </w:tcPr>
          <w:p>
            <w:pPr>
              <w:spacing w:after="20"/>
            </w:pPr>
            <w:r/>
            <w:r>
              <w:rPr>
                <w:b w:val="0"/>
                <w:sz w:val="17"/>
              </w:rPr>
              <w:t>patients</w:t>
            </w:r>
          </w:p>
        </w:tc>
        <w:tc>
          <w:tcPr>
            <w:tcW w:type="dxa" w:w="3312"/>
            <w:vAlign w:val="center"/>
          </w:tcPr>
          <w:p>
            <w:pPr>
              <w:spacing w:after="20"/>
            </w:pPr>
            <w:r/>
            <w:r>
              <w:rPr>
                <w:b w:val="0"/>
                <w:sz w:val="17"/>
              </w:rPr>
              <w:t>patient_id, name, date_of_birth, gender; synthetic profiles.</w:t>
            </w:r>
          </w:p>
        </w:tc>
        <w:tc>
          <w:tcPr>
            <w:tcW w:type="dxa" w:w="3312"/>
            <w:vAlign w:val="center"/>
          </w:tcPr>
          <w:p>
            <w:pPr>
              <w:spacing w:after="20"/>
            </w:pPr>
            <w:r/>
            <w:r>
              <w:rPr>
                <w:b w:val="0"/>
                <w:sz w:val="17"/>
              </w:rPr>
              <w:t>5,000</w:t>
            </w:r>
          </w:p>
        </w:tc>
      </w:tr>
      <w:tr>
        <w:tc>
          <w:tcPr>
            <w:tcW w:type="dxa" w:w="3312"/>
            <w:vAlign w:val="center"/>
          </w:tcPr>
          <w:p>
            <w:pPr>
              <w:spacing w:after="20"/>
            </w:pPr>
            <w:r/>
            <w:r>
              <w:rPr>
                <w:b w:val="0"/>
                <w:sz w:val="17"/>
              </w:rPr>
              <w:t>devices</w:t>
            </w:r>
          </w:p>
        </w:tc>
        <w:tc>
          <w:tcPr>
            <w:tcW w:type="dxa" w:w="3312"/>
            <w:vAlign w:val="center"/>
          </w:tcPr>
          <w:p>
            <w:pPr>
              <w:spacing w:after="20"/>
            </w:pPr>
            <w:r/>
            <w:r>
              <w:rPr>
                <w:b w:val="0"/>
                <w:sz w:val="17"/>
              </w:rPr>
              <w:t>device_id, device_type, model, installed_at; registered IoT devices.</w:t>
            </w:r>
          </w:p>
        </w:tc>
        <w:tc>
          <w:tcPr>
            <w:tcW w:type="dxa" w:w="3312"/>
            <w:vAlign w:val="center"/>
          </w:tcPr>
          <w:p>
            <w:pPr>
              <w:spacing w:after="20"/>
            </w:pPr>
            <w:r/>
            <w:r>
              <w:rPr>
                <w:b w:val="0"/>
                <w:sz w:val="17"/>
              </w:rPr>
              <w:t>1,000</w:t>
            </w:r>
          </w:p>
        </w:tc>
      </w:tr>
      <w:tr>
        <w:tc>
          <w:tcPr>
            <w:tcW w:type="dxa" w:w="3312"/>
            <w:vAlign w:val="center"/>
          </w:tcPr>
          <w:p>
            <w:pPr>
              <w:spacing w:after="20"/>
            </w:pPr>
            <w:r/>
            <w:r>
              <w:rPr>
                <w:b w:val="0"/>
                <w:sz w:val="17"/>
              </w:rPr>
              <w:t>admissions</w:t>
            </w:r>
          </w:p>
        </w:tc>
        <w:tc>
          <w:tcPr>
            <w:tcW w:type="dxa" w:w="3312"/>
            <w:vAlign w:val="center"/>
          </w:tcPr>
          <w:p>
            <w:pPr>
              <w:spacing w:after="20"/>
            </w:pPr>
            <w:r/>
            <w:r>
              <w:rPr>
                <w:b w:val="0"/>
                <w:sz w:val="17"/>
              </w:rPr>
              <w:t>admission_id, patient_id, bed_id, admitted_at, status; hospital stays.</w:t>
            </w:r>
          </w:p>
        </w:tc>
        <w:tc>
          <w:tcPr>
            <w:tcW w:type="dxa" w:w="3312"/>
            <w:vAlign w:val="center"/>
          </w:tcPr>
          <w:p>
            <w:pPr>
              <w:spacing w:after="20"/>
            </w:pPr>
            <w:r/>
            <w:r>
              <w:rPr>
                <w:b w:val="0"/>
                <w:sz w:val="17"/>
              </w:rPr>
              <w:t>300</w:t>
            </w:r>
          </w:p>
        </w:tc>
      </w:tr>
      <w:tr>
        <w:tc>
          <w:tcPr>
            <w:tcW w:type="dxa" w:w="3312"/>
            <w:vAlign w:val="center"/>
          </w:tcPr>
          <w:p>
            <w:pPr>
              <w:spacing w:after="20"/>
            </w:pPr>
            <w:r/>
            <w:r>
              <w:rPr>
                <w:b w:val="0"/>
                <w:sz w:val="17"/>
              </w:rPr>
              <w:t>device_assignments</w:t>
            </w:r>
          </w:p>
        </w:tc>
        <w:tc>
          <w:tcPr>
            <w:tcW w:type="dxa" w:w="3312"/>
            <w:vAlign w:val="center"/>
          </w:tcPr>
          <w:p>
            <w:pPr>
              <w:spacing w:after="20"/>
            </w:pPr>
            <w:r/>
            <w:r>
              <w:rPr>
                <w:b w:val="0"/>
                <w:sz w:val="17"/>
              </w:rPr>
              <w:t>assignment_id, device_id, patient_id, admission_id; device-to-patient/admission links.</w:t>
            </w:r>
          </w:p>
        </w:tc>
        <w:tc>
          <w:tcPr>
            <w:tcW w:type="dxa" w:w="3312"/>
            <w:vAlign w:val="center"/>
          </w:tcPr>
          <w:p>
            <w:pPr>
              <w:spacing w:after="20"/>
            </w:pPr>
            <w:r/>
            <w:r>
              <w:rPr>
                <w:b w:val="0"/>
                <w:sz w:val="17"/>
              </w:rPr>
              <w:t>300</w:t>
            </w:r>
          </w:p>
        </w:tc>
      </w:tr>
      <w:tr>
        <w:tc>
          <w:tcPr>
            <w:tcW w:type="dxa" w:w="3312"/>
            <w:vAlign w:val="center"/>
          </w:tcPr>
          <w:p>
            <w:pPr>
              <w:spacing w:after="20"/>
            </w:pPr>
            <w:r/>
            <w:r>
              <w:rPr>
                <w:b w:val="0"/>
                <w:sz w:val="17"/>
              </w:rPr>
              <w:t>vital_readings</w:t>
            </w:r>
          </w:p>
        </w:tc>
        <w:tc>
          <w:tcPr>
            <w:tcW w:type="dxa" w:w="3312"/>
            <w:vAlign w:val="center"/>
          </w:tcPr>
          <w:p>
            <w:pPr>
              <w:spacing w:after="20"/>
            </w:pPr>
            <w:r/>
            <w:r>
              <w:rPr>
                <w:b w:val="0"/>
                <w:sz w:val="17"/>
              </w:rPr>
              <w:t>reading_id, device_id, patient_id, metric_type, metric_value, unit, measured_at.</w:t>
            </w:r>
          </w:p>
        </w:tc>
        <w:tc>
          <w:tcPr>
            <w:tcW w:type="dxa" w:w="3312"/>
            <w:vAlign w:val="center"/>
          </w:tcPr>
          <w:p>
            <w:pPr>
              <w:spacing w:after="20"/>
            </w:pPr>
            <w:r/>
            <w:r>
              <w:rPr>
                <w:b w:val="0"/>
                <w:sz w:val="17"/>
              </w:rPr>
              <w:t>500,000</w:t>
            </w:r>
          </w:p>
        </w:tc>
      </w:tr>
      <w:tr>
        <w:tc>
          <w:tcPr>
            <w:tcW w:type="dxa" w:w="3312"/>
            <w:vAlign w:val="center"/>
          </w:tcPr>
          <w:p>
            <w:pPr>
              <w:spacing w:after="20"/>
            </w:pPr>
            <w:r/>
            <w:r>
              <w:rPr>
                <w:b w:val="0"/>
                <w:sz w:val="17"/>
              </w:rPr>
              <w:t>device_status_events</w:t>
            </w:r>
          </w:p>
        </w:tc>
        <w:tc>
          <w:tcPr>
            <w:tcW w:type="dxa" w:w="3312"/>
            <w:vAlign w:val="center"/>
          </w:tcPr>
          <w:p>
            <w:pPr>
              <w:spacing w:after="20"/>
            </w:pPr>
            <w:r/>
            <w:r>
              <w:rPr>
                <w:b w:val="0"/>
                <w:sz w:val="17"/>
              </w:rPr>
              <w:t>event_id, device_id, event_type, event_time; online, heartbeat, sensor and disconnect events.</w:t>
            </w:r>
          </w:p>
        </w:tc>
        <w:tc>
          <w:tcPr>
            <w:tcW w:type="dxa" w:w="3312"/>
            <w:vAlign w:val="center"/>
          </w:tcPr>
          <w:p>
            <w:pPr>
              <w:spacing w:after="20"/>
            </w:pPr>
            <w:r/>
            <w:r>
              <w:rPr>
                <w:b w:val="0"/>
                <w:sz w:val="17"/>
              </w:rPr>
              <w:t>20,000</w:t>
            </w:r>
          </w:p>
        </w:tc>
      </w:tr>
      <w:tr>
        <w:tc>
          <w:tcPr>
            <w:tcW w:type="dxa" w:w="3312"/>
            <w:vAlign w:val="center"/>
          </w:tcPr>
          <w:p>
            <w:pPr>
              <w:spacing w:after="20"/>
            </w:pPr>
            <w:r/>
            <w:r>
              <w:rPr>
                <w:b w:val="0"/>
                <w:sz w:val="17"/>
              </w:rPr>
              <w:t>anomaly_scenarios</w:t>
            </w:r>
          </w:p>
        </w:tc>
        <w:tc>
          <w:tcPr>
            <w:tcW w:type="dxa" w:w="3312"/>
            <w:vAlign w:val="center"/>
          </w:tcPr>
          <w:p>
            <w:pPr>
              <w:spacing w:after="20"/>
            </w:pPr>
            <w:r/>
            <w:r>
              <w:rPr>
                <w:b w:val="0"/>
                <w:sz w:val="17"/>
              </w:rPr>
              <w:t>Ground-truth scenario windows used for evaluation; separate from raw event payloads.</w:t>
            </w:r>
          </w:p>
        </w:tc>
        <w:tc>
          <w:tcPr>
            <w:tcW w:type="dxa" w:w="3312"/>
            <w:vAlign w:val="center"/>
          </w:tcPr>
          <w:p>
            <w:pPr>
              <w:spacing w:after="20"/>
            </w:pPr>
            <w:r/>
            <w:r>
              <w:rPr>
                <w:b w:val="0"/>
                <w:sz w:val="17"/>
              </w:rPr>
              <w:t>Implementation-dependent</w:t>
            </w:r>
          </w:p>
        </w:tc>
      </w:tr>
    </w:tbl>
    <w:p/>
    <w:p>
      <w:r>
        <w:t>The listed counts are the generator documentation's default profile, not a guarantee for every run. Streaming volume depends on runtime, interval, and producer logic.</w:t>
      </w:r>
    </w:p>
    <w:p>
      <w:pPr>
        <w:pStyle w:val="Heading2"/>
        <w:keepNext/>
      </w:pPr>
      <w:r>
        <w:t>4.3 Vital-sign simulation</w:t>
      </w:r>
    </w:p>
    <w:p>
      <w:r>
        <w:t>The documented generator uses normal distributions around configured baselines, then constrains ordinary generated values to configured bounds before controlled anomaly injection. The parameters below describe the simulation, not clinical diagnostic thresholds.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B4C7E7"/>
          </w:tcPr>
          <w:p>
            <w:pPr>
              <w:spacing w:after="20"/>
            </w:pPr>
            <w:r/>
            <w:r>
              <w:rPr>
                <w:b/>
                <w:sz w:val="17"/>
              </w:rPr>
              <w:t>Metric</w:t>
            </w:r>
          </w:p>
        </w:tc>
        <w:tc>
          <w:tcPr>
            <w:tcW w:type="dxa" w:w="1987"/>
            <w:vAlign w:val="center"/>
            <w:shd w:fill="B4C7E7"/>
          </w:tcPr>
          <w:p>
            <w:pPr>
              <w:spacing w:after="20"/>
            </w:pPr>
            <w:r/>
            <w:r>
              <w:rPr>
                <w:b/>
                <w:sz w:val="17"/>
              </w:rPr>
              <w:t>Mean (μ)</w:t>
            </w:r>
          </w:p>
        </w:tc>
        <w:tc>
          <w:tcPr>
            <w:tcW w:type="dxa" w:w="1987"/>
            <w:vAlign w:val="center"/>
            <w:shd w:fill="B4C7E7"/>
          </w:tcPr>
          <w:p>
            <w:pPr>
              <w:spacing w:after="20"/>
            </w:pPr>
            <w:r/>
            <w:r>
              <w:rPr>
                <w:b/>
                <w:sz w:val="17"/>
              </w:rPr>
              <w:t>Standard deviation (σ)</w:t>
            </w:r>
          </w:p>
        </w:tc>
        <w:tc>
          <w:tcPr>
            <w:tcW w:type="dxa" w:w="1987"/>
            <w:vAlign w:val="center"/>
            <w:shd w:fill="B4C7E7"/>
          </w:tcPr>
          <w:p>
            <w:pPr>
              <w:spacing w:after="20"/>
            </w:pPr>
            <w:r/>
            <w:r>
              <w:rPr>
                <w:b/>
                <w:sz w:val="17"/>
              </w:rPr>
              <w:t>Configured normal-generation bounds</w:t>
            </w:r>
          </w:p>
        </w:tc>
        <w:tc>
          <w:tcPr>
            <w:tcW w:type="dxa" w:w="1987"/>
            <w:vAlign w:val="center"/>
            <w:shd w:fill="B4C7E7"/>
          </w:tcPr>
          <w:p>
            <w:pPr>
              <w:spacing w:after="20"/>
            </w:pPr>
            <w:r/>
            <w:r>
              <w:rPr>
                <w:b/>
                <w:sz w:val="17"/>
              </w:rPr>
              <w:t>Unit</w:t>
            </w:r>
          </w:p>
        </w:tc>
      </w:tr>
      <w:tr>
        <w:tc>
          <w:tcPr>
            <w:tcW w:type="dxa" w:w="1987"/>
            <w:vAlign w:val="center"/>
          </w:tcPr>
          <w:p>
            <w:pPr>
              <w:spacing w:after="20"/>
            </w:pPr>
            <w:r/>
            <w:r>
              <w:rPr>
                <w:b w:val="0"/>
                <w:sz w:val="17"/>
              </w:rPr>
              <w:t>Heart rate</w:t>
            </w:r>
          </w:p>
        </w:tc>
        <w:tc>
          <w:tcPr>
            <w:tcW w:type="dxa" w:w="1987"/>
            <w:vAlign w:val="center"/>
          </w:tcPr>
          <w:p>
            <w:pPr>
              <w:spacing w:after="20"/>
            </w:pPr>
            <w:r/>
            <w:r>
              <w:rPr>
                <w:b w:val="0"/>
                <w:sz w:val="17"/>
              </w:rPr>
              <w:t>72</w:t>
            </w:r>
          </w:p>
        </w:tc>
        <w:tc>
          <w:tcPr>
            <w:tcW w:type="dxa" w:w="1987"/>
            <w:vAlign w:val="center"/>
          </w:tcPr>
          <w:p>
            <w:pPr>
              <w:spacing w:after="20"/>
            </w:pPr>
            <w:r/>
            <w:r>
              <w:rPr>
                <w:b w:val="0"/>
                <w:sz w:val="17"/>
              </w:rPr>
              <w:t>10</w:t>
            </w:r>
          </w:p>
        </w:tc>
        <w:tc>
          <w:tcPr>
            <w:tcW w:type="dxa" w:w="1987"/>
            <w:vAlign w:val="center"/>
          </w:tcPr>
          <w:p>
            <w:pPr>
              <w:spacing w:after="20"/>
            </w:pPr>
            <w:r/>
            <w:r>
              <w:rPr>
                <w:b w:val="0"/>
                <w:sz w:val="17"/>
              </w:rPr>
              <w:t>35–190</w:t>
            </w:r>
          </w:p>
        </w:tc>
        <w:tc>
          <w:tcPr>
            <w:tcW w:type="dxa" w:w="1987"/>
            <w:vAlign w:val="center"/>
          </w:tcPr>
          <w:p>
            <w:pPr>
              <w:spacing w:after="20"/>
            </w:pPr>
            <w:r/>
            <w:r>
              <w:rPr>
                <w:b w:val="0"/>
                <w:sz w:val="17"/>
              </w:rPr>
              <w:t>beats/minute</w:t>
            </w:r>
          </w:p>
        </w:tc>
      </w:tr>
      <w:tr>
        <w:tc>
          <w:tcPr>
            <w:tcW w:type="dxa" w:w="1987"/>
            <w:vAlign w:val="center"/>
          </w:tcPr>
          <w:p>
            <w:pPr>
              <w:spacing w:after="20"/>
            </w:pPr>
            <w:r/>
            <w:r>
              <w:rPr>
                <w:b w:val="0"/>
                <w:sz w:val="17"/>
              </w:rPr>
              <w:t>SpO₂</w:t>
            </w:r>
          </w:p>
        </w:tc>
        <w:tc>
          <w:tcPr>
            <w:tcW w:type="dxa" w:w="1987"/>
            <w:vAlign w:val="center"/>
          </w:tcPr>
          <w:p>
            <w:pPr>
              <w:spacing w:after="20"/>
            </w:pPr>
            <w:r/>
            <w:r>
              <w:rPr>
                <w:b w:val="0"/>
                <w:sz w:val="17"/>
              </w:rPr>
              <w:t>97</w:t>
            </w:r>
          </w:p>
        </w:tc>
        <w:tc>
          <w:tcPr>
            <w:tcW w:type="dxa" w:w="1987"/>
            <w:vAlign w:val="center"/>
          </w:tcPr>
          <w:p>
            <w:pPr>
              <w:spacing w:after="20"/>
            </w:pPr>
            <w:r/>
            <w:r>
              <w:rPr>
                <w:b w:val="0"/>
                <w:sz w:val="17"/>
              </w:rPr>
              <w:t>1.5</w:t>
            </w:r>
          </w:p>
        </w:tc>
        <w:tc>
          <w:tcPr>
            <w:tcW w:type="dxa" w:w="1987"/>
            <w:vAlign w:val="center"/>
          </w:tcPr>
          <w:p>
            <w:pPr>
              <w:spacing w:after="20"/>
            </w:pPr>
            <w:r/>
            <w:r>
              <w:rPr>
                <w:b w:val="0"/>
                <w:sz w:val="17"/>
              </w:rPr>
              <w:t>70–100</w:t>
            </w:r>
          </w:p>
        </w:tc>
        <w:tc>
          <w:tcPr>
            <w:tcW w:type="dxa" w:w="1987"/>
            <w:vAlign w:val="center"/>
          </w:tcPr>
          <w:p>
            <w:pPr>
              <w:spacing w:after="20"/>
            </w:pPr>
            <w:r/>
            <w:r>
              <w:rPr>
                <w:b w:val="0"/>
                <w:sz w:val="17"/>
              </w:rPr>
              <w:t>%</w:t>
            </w:r>
          </w:p>
        </w:tc>
      </w:tr>
      <w:tr>
        <w:tc>
          <w:tcPr>
            <w:tcW w:type="dxa" w:w="1987"/>
            <w:vAlign w:val="center"/>
          </w:tcPr>
          <w:p>
            <w:pPr>
              <w:spacing w:after="20"/>
            </w:pPr>
            <w:r/>
            <w:r>
              <w:rPr>
                <w:b w:val="0"/>
                <w:sz w:val="17"/>
              </w:rPr>
              <w:t>Body temperature</w:t>
            </w:r>
          </w:p>
        </w:tc>
        <w:tc>
          <w:tcPr>
            <w:tcW w:type="dxa" w:w="1987"/>
            <w:vAlign w:val="center"/>
          </w:tcPr>
          <w:p>
            <w:pPr>
              <w:spacing w:after="20"/>
            </w:pPr>
            <w:r/>
            <w:r>
              <w:rPr>
                <w:b w:val="0"/>
                <w:sz w:val="17"/>
              </w:rPr>
              <w:t>36.8</w:t>
            </w:r>
          </w:p>
        </w:tc>
        <w:tc>
          <w:tcPr>
            <w:tcW w:type="dxa" w:w="1987"/>
            <w:vAlign w:val="center"/>
          </w:tcPr>
          <w:p>
            <w:pPr>
              <w:spacing w:after="20"/>
            </w:pPr>
            <w:r/>
            <w:r>
              <w:rPr>
                <w:b w:val="0"/>
                <w:sz w:val="17"/>
              </w:rPr>
              <w:t>0.35</w:t>
            </w:r>
          </w:p>
        </w:tc>
        <w:tc>
          <w:tcPr>
            <w:tcW w:type="dxa" w:w="1987"/>
            <w:vAlign w:val="center"/>
          </w:tcPr>
          <w:p>
            <w:pPr>
              <w:spacing w:after="20"/>
            </w:pPr>
            <w:r/>
            <w:r>
              <w:rPr>
                <w:b w:val="0"/>
                <w:sz w:val="17"/>
              </w:rPr>
              <w:t>30–42</w:t>
            </w:r>
          </w:p>
        </w:tc>
        <w:tc>
          <w:tcPr>
            <w:tcW w:type="dxa" w:w="1987"/>
            <w:vAlign w:val="center"/>
          </w:tcPr>
          <w:p>
            <w:pPr>
              <w:spacing w:after="20"/>
            </w:pPr>
            <w:r/>
            <w:r>
              <w:rPr>
                <w:b w:val="0"/>
                <w:sz w:val="17"/>
              </w:rPr>
              <w:t>°C</w:t>
            </w:r>
          </w:p>
        </w:tc>
      </w:tr>
      <w:tr>
        <w:tc>
          <w:tcPr>
            <w:tcW w:type="dxa" w:w="1987"/>
            <w:vAlign w:val="center"/>
          </w:tcPr>
          <w:p>
            <w:pPr>
              <w:spacing w:after="20"/>
            </w:pPr>
            <w:r/>
            <w:r>
              <w:rPr>
                <w:b w:val="0"/>
                <w:sz w:val="17"/>
              </w:rPr>
              <w:t>Systolic blood pressure</w:t>
            </w:r>
          </w:p>
        </w:tc>
        <w:tc>
          <w:tcPr>
            <w:tcW w:type="dxa" w:w="1987"/>
            <w:vAlign w:val="center"/>
          </w:tcPr>
          <w:p>
            <w:pPr>
              <w:spacing w:after="20"/>
            </w:pPr>
            <w:r/>
            <w:r>
              <w:rPr>
                <w:b w:val="0"/>
                <w:sz w:val="17"/>
              </w:rPr>
              <w:t>120</w:t>
            </w:r>
          </w:p>
        </w:tc>
        <w:tc>
          <w:tcPr>
            <w:tcW w:type="dxa" w:w="1987"/>
            <w:vAlign w:val="center"/>
          </w:tcPr>
          <w:p>
            <w:pPr>
              <w:spacing w:after="20"/>
            </w:pPr>
            <w:r/>
            <w:r>
              <w:rPr>
                <w:b w:val="0"/>
                <w:sz w:val="17"/>
              </w:rPr>
              <w:t>12</w:t>
            </w:r>
          </w:p>
        </w:tc>
        <w:tc>
          <w:tcPr>
            <w:tcW w:type="dxa" w:w="1987"/>
            <w:vAlign w:val="center"/>
          </w:tcPr>
          <w:p>
            <w:pPr>
              <w:spacing w:after="20"/>
            </w:pPr>
            <w:r/>
            <w:r>
              <w:rPr>
                <w:b w:val="0"/>
                <w:sz w:val="17"/>
              </w:rPr>
              <w:t>60–240</w:t>
            </w:r>
          </w:p>
        </w:tc>
        <w:tc>
          <w:tcPr>
            <w:tcW w:type="dxa" w:w="1987"/>
            <w:vAlign w:val="center"/>
          </w:tcPr>
          <w:p>
            <w:pPr>
              <w:spacing w:after="20"/>
            </w:pPr>
            <w:r/>
            <w:r>
              <w:rPr>
                <w:b w:val="0"/>
                <w:sz w:val="17"/>
              </w:rPr>
              <w:t>mmHg</w:t>
            </w:r>
          </w:p>
        </w:tc>
      </w:tr>
    </w:tbl>
    <w:p/>
    <w:p>
      <w:pPr>
        <w:pStyle w:val="Heading2"/>
        <w:keepNext/>
      </w:pPr>
      <w:r>
        <w:t>4.4 Anomalies and data-quality flaws</w:t>
      </w:r>
    </w:p>
    <w:p>
      <w:r>
        <w:t>The documented target clinical/operational anomaly rate is 18%, configurable through --anomaly-rate. Examples include high and low readings, missing telemetry, implausible spikes or sensor glitches, and device status events such as sensor_error, battery_low, and disconnected.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20"/>
            </w:pPr>
            <w:r/>
            <w:r>
              <w:rPr>
                <w:b/>
                <w:sz w:val="17"/>
              </w:rPr>
              <w:t>Issue type</w:t>
            </w:r>
          </w:p>
        </w:tc>
        <w:tc>
          <w:tcPr>
            <w:tcW w:type="dxa" w:w="3312"/>
            <w:vAlign w:val="center"/>
            <w:shd w:fill="B4C7E7"/>
          </w:tcPr>
          <w:p>
            <w:pPr>
              <w:spacing w:after="20"/>
            </w:pPr>
            <w:r/>
            <w:r>
              <w:rPr>
                <w:b/>
                <w:sz w:val="17"/>
              </w:rPr>
              <w:t>Documented configured rate</w:t>
            </w:r>
          </w:p>
        </w:tc>
        <w:tc>
          <w:tcPr>
            <w:tcW w:type="dxa" w:w="3312"/>
            <w:vAlign w:val="center"/>
            <w:shd w:fill="B4C7E7"/>
          </w:tcPr>
          <w:p>
            <w:pPr>
              <w:spacing w:after="20"/>
            </w:pPr>
            <w:r/>
            <w:r>
              <w:rPr>
                <w:b/>
                <w:sz w:val="17"/>
              </w:rPr>
              <w:t>Examples</w:t>
            </w:r>
          </w:p>
        </w:tc>
      </w:tr>
      <w:tr>
        <w:tc>
          <w:tcPr>
            <w:tcW w:type="dxa" w:w="3312"/>
            <w:vAlign w:val="center"/>
          </w:tcPr>
          <w:p>
            <w:pPr>
              <w:spacing w:after="20"/>
            </w:pPr>
            <w:r/>
            <w:r>
              <w:rPr>
                <w:b w:val="0"/>
                <w:sz w:val="17"/>
              </w:rPr>
              <w:t>Missing/null values</w:t>
            </w:r>
          </w:p>
        </w:tc>
        <w:tc>
          <w:tcPr>
            <w:tcW w:type="dxa" w:w="3312"/>
            <w:vAlign w:val="center"/>
          </w:tcPr>
          <w:p>
            <w:pPr>
              <w:spacing w:after="20"/>
            </w:pPr>
            <w:r/>
            <w:r>
              <w:rPr>
                <w:b w:val="0"/>
                <w:sz w:val="17"/>
              </w:rPr>
              <w:t>4.0%</w:t>
            </w:r>
          </w:p>
        </w:tc>
        <w:tc>
          <w:tcPr>
            <w:tcW w:type="dxa" w:w="3312"/>
            <w:vAlign w:val="center"/>
          </w:tcPr>
          <w:p>
            <w:pPr>
              <w:spacing w:after="20"/>
            </w:pPr>
            <w:r/>
            <w:r>
              <w:rPr>
                <w:b w:val="0"/>
                <w:sz w:val="17"/>
              </w:rPr>
              <w:t>Empty patient_id, metric_value, unit, measured_at, or event_type.</w:t>
            </w:r>
          </w:p>
        </w:tc>
      </w:tr>
      <w:tr>
        <w:tc>
          <w:tcPr>
            <w:tcW w:type="dxa" w:w="3312"/>
            <w:vAlign w:val="center"/>
          </w:tcPr>
          <w:p>
            <w:pPr>
              <w:spacing w:after="20"/>
            </w:pPr>
            <w:r/>
            <w:r>
              <w:rPr>
                <w:b w:val="0"/>
                <w:sz w:val="17"/>
              </w:rPr>
              <w:t>Invalid schema/type/format</w:t>
            </w:r>
          </w:p>
        </w:tc>
        <w:tc>
          <w:tcPr>
            <w:tcW w:type="dxa" w:w="3312"/>
            <w:vAlign w:val="center"/>
          </w:tcPr>
          <w:p>
            <w:pPr>
              <w:spacing w:after="20"/>
            </w:pPr>
            <w:r/>
            <w:r>
              <w:rPr>
                <w:b w:val="0"/>
                <w:sz w:val="17"/>
              </w:rPr>
              <w:t>2.5%</w:t>
            </w:r>
          </w:p>
        </w:tc>
        <w:tc>
          <w:tcPr>
            <w:tcW w:type="dxa" w:w="3312"/>
            <w:vAlign w:val="center"/>
          </w:tcPr>
          <w:p>
            <w:pPr>
              <w:spacing w:after="20"/>
            </w:pPr>
            <w:r/>
            <w:r>
              <w:rPr>
                <w:b w:val="0"/>
                <w:sz w:val="17"/>
              </w:rPr>
              <w:t>Non-numeric metric values, malformed timestamps, unrecognized units.</w:t>
            </w:r>
          </w:p>
        </w:tc>
      </w:tr>
      <w:tr>
        <w:tc>
          <w:tcPr>
            <w:tcW w:type="dxa" w:w="3312"/>
            <w:vAlign w:val="center"/>
          </w:tcPr>
          <w:p>
            <w:pPr>
              <w:spacing w:after="20"/>
            </w:pPr>
            <w:r/>
            <w:r>
              <w:rPr>
                <w:b w:val="0"/>
                <w:sz w:val="17"/>
              </w:rPr>
              <w:t>Broken references</w:t>
            </w:r>
          </w:p>
        </w:tc>
        <w:tc>
          <w:tcPr>
            <w:tcW w:type="dxa" w:w="3312"/>
            <w:vAlign w:val="center"/>
          </w:tcPr>
          <w:p>
            <w:pPr>
              <w:spacing w:after="20"/>
            </w:pPr>
            <w:r/>
            <w:r>
              <w:rPr>
                <w:b w:val="0"/>
                <w:sz w:val="17"/>
              </w:rPr>
              <w:t>1.0%</w:t>
            </w:r>
          </w:p>
        </w:tc>
        <w:tc>
          <w:tcPr>
            <w:tcW w:type="dxa" w:w="3312"/>
            <w:vAlign w:val="center"/>
          </w:tcPr>
          <w:p>
            <w:pPr>
              <w:spacing w:after="20"/>
            </w:pPr>
            <w:r/>
            <w:r>
              <w:rPr>
                <w:b w:val="0"/>
                <w:sz w:val="17"/>
              </w:rPr>
              <w:t>Patient or device identifiers that do not exist in reference data.</w:t>
            </w:r>
          </w:p>
        </w:tc>
      </w:tr>
      <w:tr>
        <w:tc>
          <w:tcPr>
            <w:tcW w:type="dxa" w:w="3312"/>
            <w:vAlign w:val="center"/>
          </w:tcPr>
          <w:p>
            <w:pPr>
              <w:spacing w:after="20"/>
            </w:pPr>
            <w:r/>
            <w:r>
              <w:rPr>
                <w:b w:val="0"/>
                <w:sz w:val="17"/>
              </w:rPr>
              <w:t>Duplicate records</w:t>
            </w:r>
          </w:p>
        </w:tc>
        <w:tc>
          <w:tcPr>
            <w:tcW w:type="dxa" w:w="3312"/>
            <w:vAlign w:val="center"/>
          </w:tcPr>
          <w:p>
            <w:pPr>
              <w:spacing w:after="20"/>
            </w:pPr>
            <w:r/>
            <w:r>
              <w:rPr>
                <w:b w:val="0"/>
                <w:sz w:val="17"/>
              </w:rPr>
              <w:t>1.0%</w:t>
            </w:r>
          </w:p>
        </w:tc>
        <w:tc>
          <w:tcPr>
            <w:tcW w:type="dxa" w:w="3312"/>
            <w:vAlign w:val="center"/>
          </w:tcPr>
          <w:p>
            <w:pPr>
              <w:spacing w:after="20"/>
            </w:pPr>
            <w:r/>
            <w:r>
              <w:rPr>
                <w:b w:val="0"/>
                <w:sz w:val="17"/>
              </w:rPr>
              <w:t>Repeated reading_id or event_id.</w:t>
            </w:r>
          </w:p>
        </w:tc>
      </w:tr>
    </w:tbl>
    <w:p/>
    <w:p>
      <w:r>
        <w:t>Data-quality issue rates are configured independently from the clinical anomaly rate. A record may contain more than one issue, so rates must not simply be added to estimate the unique share of affected records. Evaluation ground truth should be kept separate from the raw telemetry so downstream validation does not receive labels that would not exist in a real ingestion feed.</w:t>
      </w:r>
    </w:p>
    <w:p>
      <w:pPr>
        <w:pStyle w:val="Heading2"/>
        <w:keepNext/>
      </w:pPr>
      <w:r>
        <w:t>4.5 Example batch command</w:t>
      </w:r>
    </w:p>
    <w:p>
      <w:pPr>
        <w:spacing w:before="60" w:after="140"/>
        <w:ind w:left="259" w:right="173"/>
        <w:shd w:fill="F2F2F2"/>
      </w:pPr>
      <w:r>
        <w:rPr>
          <w:rFonts w:ascii="Consolas" w:hAnsi="Consolas"/>
          <w:sz w:val="16"/>
        </w:rPr>
        <w:t>python generate_batch_data_v2.py \</w:t>
        <w:br/>
        <w:t xml:space="preserve">  --output-dir generated_data \</w:t>
        <w:br/>
        <w:t xml:space="preserve">  --seed 42 \</w:t>
        <w:br/>
        <w:t xml:space="preserve">  --wards 60 --beds 1600 --patients 5000 --devices 1000 \</w:t>
        <w:br/>
        <w:t xml:space="preserve">  --readings 500000 --device-events 20000 --days 7 \</w:t>
        <w:br/>
        <w:t xml:space="preserve">  --anomaly-rate 0.18 --null-rate 0.04 --invalid-rate 0.025 \</w:t>
        <w:br/>
        <w:t xml:space="preserve">  --duplicate-rate 0.01 --broken-reference-rate 0.01</w:t>
      </w:r>
    </w:p>
    <w:p>
      <w:r>
        <w:t>Run this from the directory containing the script and verify its actual --help output before use if the command-line interface has changed.</w:t>
      </w:r>
    </w:p>
    <w:p>
      <w:pPr>
        <w:pStyle w:val="Heading1"/>
        <w:keepNext/>
      </w:pPr>
      <w:r>
        <w:t>5. Batch and Streaming Ingestion</w:t>
      </w:r>
    </w:p>
    <w:p>
      <w:pPr>
        <w:pStyle w:val="Heading2"/>
        <w:keepNext/>
      </w:pPr>
      <w:r>
        <w:t>5.1 Batch ingestion</w:t>
      </w:r>
    </w:p>
    <w:p>
      <w:pPr>
        <w:pStyle w:val="ListNumber"/>
        <w:spacing w:after="40"/>
      </w:pPr>
      <w:r>
        <w:t>Run the batch generator and review the generated manifest and output counts.</w:t>
      </w:r>
    </w:p>
    <w:p>
      <w:pPr>
        <w:pStyle w:val="ListNumber"/>
        <w:spacing w:after="40"/>
      </w:pPr>
      <w:r>
        <w:t>Check that expected reference datasets and event files exist.</w:t>
      </w:r>
    </w:p>
    <w:p>
      <w:pPr>
        <w:pStyle w:val="ListNumber"/>
        <w:spacing w:after="40"/>
      </w:pPr>
      <w:r>
        <w:t>Upload files to the matching S3 raw/batch/ prefixes.</w:t>
      </w:r>
    </w:p>
    <w:p>
      <w:pPr>
        <w:pStyle w:val="ListNumber"/>
        <w:spacing w:after="40"/>
      </w:pPr>
      <w:r>
        <w:t>Verify object paths, file sizes, and row counts before processing.</w:t>
      </w:r>
    </w:p>
    <w:p>
      <w:pPr>
        <w:pStyle w:val="Heading2"/>
        <w:keepNext/>
      </w:pPr>
      <w:r>
        <w:t>5.2 Streaming ingestion</w:t>
      </w:r>
    </w:p>
    <w:p>
      <w:r>
        <w:t>The producer publishes JSON-serialized events to two Kafka topics:</w:t>
      </w:r>
    </w:p>
    <w:p>
      <w:pPr>
        <w:pStyle w:val="ListBullet"/>
        <w:spacing w:after="40"/>
      </w:pPr>
      <w:r>
        <w:t>vital-readings — physiological readings.</w:t>
      </w:r>
    </w:p>
    <w:p>
      <w:pPr>
        <w:pStyle w:val="ListBullet"/>
        <w:spacing w:after="40"/>
      </w:pPr>
      <w:r>
        <w:t>device-status-events — operational device events.</w:t>
      </w:r>
    </w:p>
    <w:p>
      <w:r>
        <w:t>The producer documentation specifies device_id as the message key to keep events from the same device consistently assigned under a stable partitioning configuration. It also documents acks='all', retries, and JSON serialization. Actual ordering and delivery guarantees depend on the broker, topic, partition, and producer configuration.</w:t>
      </w:r>
    </w:p>
    <w:p>
      <w:pPr>
        <w:pStyle w:val="Heading2"/>
        <w:keepNext/>
      </w:pPr>
      <w:r>
        <w:t>5.3 Docker Compose and Kafka Connect</w:t>
      </w:r>
    </w:p>
    <w:p>
      <w:r>
        <w:t>The streaming documentation describes Docker Compose services for Kafka and Kafka Connect, with an S3 Sink Connector configuration. The connector is configured to write JSON data to the S3 streaming prefixes. The documented settings include flush.size=10 and rotate.interval.ms=60000; these govern S3 object flushing/rotation rather than healthcare transformations.</w:t>
      </w:r>
    </w:p>
    <w:p>
      <w:pPr>
        <w:spacing w:before="60" w:after="140"/>
        <w:ind w:left="259" w:right="173"/>
        <w:shd w:fill="F2F2F2"/>
      </w:pPr>
      <w:r>
        <w:rPr>
          <w:rFonts w:ascii="Consolas" w:hAnsi="Consolas"/>
          <w:sz w:val="16"/>
        </w:rPr>
        <w:t>docker compose up -d</w:t>
        <w:br/>
        <w:t>docker compose ps</w:t>
        <w:br/>
        <w:br/>
        <w:t># PowerShell: inspect connector status</w:t>
        <w:br/>
        <w:t>Invoke-RestMethod http://localhost:8083/connectors/healthcare-iot-s3-sink/status | ConvertTo-Json -Depth 5</w:t>
        <w:br/>
        <w:br/>
        <w:t># Start producer (PowerShell example from the supplied documentation)</w:t>
        <w:br/>
        <w:t>python .\stream_to_kafka.py --interval 1 --no-evaluation-file</w:t>
      </w:r>
    </w:p>
    <w:p>
      <w:r>
        <w:t>The Airflow runbook also documents a Python streaming bridge that consumes Kafka events and writes partitioned JSON files to S3. Confirm which path is active in the current deployment to avoid running duplicate consumers or writing to inconsistent prefixes.</w:t>
      </w:r>
    </w:p>
    <w:p>
      <w:pPr>
        <w:pStyle w:val="Heading1"/>
        <w:keepNext/>
      </w:pPr>
      <w:r>
        <w:t>6. Amazon S3 Storage Layout</w:t>
      </w:r>
    </w:p>
    <w:p>
      <w:pPr>
        <w:spacing w:before="60" w:after="140"/>
        <w:ind w:left="259" w:right="173"/>
        <w:shd w:fill="F2F2F2"/>
      </w:pPr>
      <w:r>
        <w:rPr>
          <w:rFonts w:ascii="Consolas" w:hAnsi="Consolas"/>
          <w:sz w:val="16"/>
        </w:rPr>
        <w:t>s3://healthcare-iot-lake/</w:t>
        <w:br/>
        <w:t>├── raw/</w:t>
        <w:br/>
        <w:t>│   ├── batch/</w:t>
        <w:br/>
        <w:t>│   │   ├── wards/  beds/  patients/  admissions/</w:t>
        <w:br/>
        <w:t>│   │   ├── devices/  device_assignments/  anomaly_scenarios/</w:t>
        <w:br/>
        <w:t>│   └── streaming/</w:t>
        <w:br/>
        <w:t>│       ├── vital-readings/</w:t>
        <w:br/>
        <w:t>│       └── device-status-events/</w:t>
        <w:br/>
        <w:t>├── silver/                 # Validated, standardized Parquet datasets</w:t>
        <w:br/>
        <w:t>├── gold/                   # Analytics-ready Parquet outputs</w:t>
        <w:br/>
        <w:t>├── quarantine/              # Rejected records and quality audit details</w:t>
        <w:br/>
        <w:t>└── metadata/</w:t>
        <w:br/>
        <w:t xml:space="preserve">    ├── data_dictionary/</w:t>
        <w:br/>
        <w:t xml:space="preserve">    └── data_quality_reports/</w:t>
      </w:r>
    </w:p>
    <w:p>
      <w:r>
        <w:t>Folder naming must match the actual connector, bridge, Glue scripts, and Airflow sensors. The supplied materials show both underscore and hyphen naming in different contexts; treat the paths above as a logical layout and verify the exact deployed prefixes. S3 is the durable source-data lake; Snowflake RAW is a warehouse landing layer and does not replace S3.</w:t>
      </w:r>
    </w:p>
    <w:p>
      <w:pPr>
        <w:pStyle w:val="Heading2"/>
        <w:keepNext/>
      </w:pPr>
      <w:r>
        <w:t>6.1 Security controls</w:t>
      </w:r>
    </w:p>
    <w:p>
      <w:pPr>
        <w:pStyle w:val="ListBullet"/>
        <w:spacing w:after="40"/>
      </w:pPr>
      <w:r>
        <w:t>Keep the bucket private and Block Public Access enabled.</w:t>
      </w:r>
    </w:p>
    <w:p>
      <w:pPr>
        <w:pStyle w:val="ListBullet"/>
        <w:spacing w:after="40"/>
      </w:pPr>
      <w:r>
        <w:t>Use encryption at rest and least-privilege IAM access.</w:t>
      </w:r>
    </w:p>
    <w:p>
      <w:pPr>
        <w:pStyle w:val="ListBullet"/>
        <w:spacing w:after="40"/>
      </w:pPr>
      <w:r>
        <w:t>Grant write permissions only to required prefixes for generators and streaming components.</w:t>
      </w:r>
    </w:p>
    <w:p>
      <w:pPr>
        <w:pStyle w:val="ListBullet"/>
        <w:spacing w:after="40"/>
      </w:pPr>
      <w:r>
        <w:t>Use Snowflake storage integration/IAM permissions for warehouse access where configured.</w:t>
      </w:r>
    </w:p>
    <w:p>
      <w:pPr>
        <w:pStyle w:val="ListBullet"/>
        <w:spacing w:after="40"/>
      </w:pPr>
      <w:r>
        <w:t>Store credentials in Airflow connections, environment variables, or an approved secret store; never commit actual secrets.</w:t>
      </w:r>
    </w:p>
    <w:p>
      <w:pPr>
        <w:pStyle w:val="ListBullet"/>
        <w:spacing w:after="40"/>
      </w:pPr>
      <w:r>
        <w:t>Keep synthetic output and temporary files out of Git unless a small, non-sensitive sample is intentionally included.</w:t>
      </w:r>
    </w:p>
    <w:p>
      <w:pPr>
        <w:pStyle w:val="Heading1"/>
        <w:keepNext/>
      </w:pPr>
      <w:r>
        <w:t>7. Medallion Architecture: Bronze, Silver, Gold and Quarantine</w:t>
      </w:r>
    </w:p>
    <w:p>
      <w:pPr>
        <w:pStyle w:val="Heading2"/>
        <w:keepNext/>
      </w:pPr>
      <w:r>
        <w:t>7.1 Bronze — raw ingestion</w:t>
      </w:r>
    </w:p>
    <w:p>
      <w:r>
        <w:t>Bronze stores source files and streamed event objects in their raw or minimally processed form. It is designed for traceability and replay: preserve original values, keep batch and streaming paths distinct, retain ingestion metadata where available, and avoid premature deletion of anomalous or malformed records.</w:t>
      </w:r>
    </w:p>
    <w:p>
      <w:pPr>
        <w:pStyle w:val="Heading2"/>
        <w:keepNext/>
      </w:pPr>
      <w:r>
        <w:t>7.2 Silver — cleaning and validation</w:t>
      </w:r>
    </w:p>
    <w:p>
      <w:r>
        <w:t>AWS Glue/PySpark reads Bronze datasets and applies table-specific checks. The documented processing includes missing-field checks, schema/type conversion, timestamp handling, duplicate primary-key detection, referential-integrity checks, physiological range validation, and routing failed records to quarantine.</w:t>
      </w:r>
    </w:p>
    <w:p>
      <w:r>
        <w:t>Accepted records are written as compressed Parquet datasets under silver/{table}/. Quarantined records are written under quarantine/{table}/ with an audit record that identifies the source table, record identifier, failure reason, and raw payload where supported.</w:t>
      </w:r>
    </w:p>
    <w:p>
      <w:pPr>
        <w:pStyle w:val="Heading2"/>
        <w:keepNext/>
      </w:pPr>
      <w:r>
        <w:t>7.3 Gold — analytical outputs</w:t>
      </w:r>
    </w:p>
    <w:p>
      <w:r>
        <w:t>Gold contains derived datasets intended for analysis rather than raw operational storage. The supplied implementation documentation describes a Gold vital-rules evaluation summary and five Gold analytical tables. These outputs summarize validated data and provide a consistent basis for warehouse loading and reporting. The precise columns and aggregation grain should be taken from the current Glue job code and data dictionary.</w:t>
      </w:r>
    </w:p>
    <w:p>
      <w:pPr>
        <w:pStyle w:val="Heading2"/>
        <w:keepNext/>
      </w:pPr>
      <w:r>
        <w:t>7.4 Quarantine — rejected records</w:t>
      </w:r>
    </w:p>
    <w:p>
      <w:r>
        <w:t>Quarantine is a parallel audit path, not a replacement for Bronze. It supports investigation and measurement of data quality failures. The rejection reason should be specific enough to distinguish missing values, invalid types, impossible metric values, duplicate identifiers, and broken references. A record can fail more than one rule; therefore category counts may overlap.</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20"/>
            </w:pPr>
            <w:r/>
            <w:r>
              <w:rPr>
                <w:b/>
                <w:sz w:val="17"/>
              </w:rPr>
              <w:t>Layer</w:t>
            </w:r>
          </w:p>
        </w:tc>
        <w:tc>
          <w:tcPr>
            <w:tcW w:type="dxa" w:w="3312"/>
            <w:vAlign w:val="center"/>
            <w:shd w:fill="B4C7E7"/>
          </w:tcPr>
          <w:p>
            <w:pPr>
              <w:spacing w:after="20"/>
            </w:pPr>
            <w:r/>
            <w:r>
              <w:rPr>
                <w:b/>
                <w:sz w:val="17"/>
              </w:rPr>
              <w:t>Typical format</w:t>
            </w:r>
          </w:p>
        </w:tc>
        <w:tc>
          <w:tcPr>
            <w:tcW w:type="dxa" w:w="3312"/>
            <w:vAlign w:val="center"/>
            <w:shd w:fill="B4C7E7"/>
          </w:tcPr>
          <w:p>
            <w:pPr>
              <w:spacing w:after="20"/>
            </w:pPr>
            <w:r/>
            <w:r>
              <w:rPr>
                <w:b/>
                <w:sz w:val="17"/>
              </w:rPr>
              <w:t>Main purpose</w:t>
            </w:r>
          </w:p>
        </w:tc>
      </w:tr>
      <w:tr>
        <w:tc>
          <w:tcPr>
            <w:tcW w:type="dxa" w:w="3312"/>
            <w:vAlign w:val="center"/>
          </w:tcPr>
          <w:p>
            <w:pPr>
              <w:spacing w:after="20"/>
            </w:pPr>
            <w:r/>
            <w:r>
              <w:rPr>
                <w:b w:val="0"/>
                <w:sz w:val="17"/>
              </w:rPr>
              <w:t>Bronze</w:t>
            </w:r>
          </w:p>
        </w:tc>
        <w:tc>
          <w:tcPr>
            <w:tcW w:type="dxa" w:w="3312"/>
            <w:vAlign w:val="center"/>
          </w:tcPr>
          <w:p>
            <w:pPr>
              <w:spacing w:after="20"/>
            </w:pPr>
            <w:r/>
            <w:r>
              <w:rPr>
                <w:b w:val="0"/>
                <w:sz w:val="17"/>
              </w:rPr>
              <w:t>Original CSV and JSON/JSONL objects</w:t>
            </w:r>
          </w:p>
        </w:tc>
        <w:tc>
          <w:tcPr>
            <w:tcW w:type="dxa" w:w="3312"/>
            <w:vAlign w:val="center"/>
          </w:tcPr>
          <w:p>
            <w:pPr>
              <w:spacing w:after="20"/>
            </w:pPr>
            <w:r/>
            <w:r>
              <w:rPr>
                <w:b w:val="0"/>
                <w:sz w:val="17"/>
              </w:rPr>
              <w:t>Preserve raw source and support replay.</w:t>
            </w:r>
          </w:p>
        </w:tc>
      </w:tr>
      <w:tr>
        <w:tc>
          <w:tcPr>
            <w:tcW w:type="dxa" w:w="3312"/>
            <w:vAlign w:val="center"/>
          </w:tcPr>
          <w:p>
            <w:pPr>
              <w:spacing w:after="20"/>
            </w:pPr>
            <w:r/>
            <w:r>
              <w:rPr>
                <w:b w:val="0"/>
                <w:sz w:val="17"/>
              </w:rPr>
              <w:t>Silver</w:t>
            </w:r>
          </w:p>
        </w:tc>
        <w:tc>
          <w:tcPr>
            <w:tcW w:type="dxa" w:w="3312"/>
            <w:vAlign w:val="center"/>
          </w:tcPr>
          <w:p>
            <w:pPr>
              <w:spacing w:after="20"/>
            </w:pPr>
            <w:r/>
            <w:r>
              <w:rPr>
                <w:b w:val="0"/>
                <w:sz w:val="17"/>
              </w:rPr>
              <w:t>Parquet</w:t>
            </w:r>
          </w:p>
        </w:tc>
        <w:tc>
          <w:tcPr>
            <w:tcW w:type="dxa" w:w="3312"/>
            <w:vAlign w:val="center"/>
          </w:tcPr>
          <w:p>
            <w:pPr>
              <w:spacing w:after="20"/>
            </w:pPr>
            <w:r/>
            <w:r>
              <w:rPr>
                <w:b w:val="0"/>
                <w:sz w:val="17"/>
              </w:rPr>
              <w:t>Cleaned and standardized accepted records.</w:t>
            </w:r>
          </w:p>
        </w:tc>
      </w:tr>
      <w:tr>
        <w:tc>
          <w:tcPr>
            <w:tcW w:type="dxa" w:w="3312"/>
            <w:vAlign w:val="center"/>
          </w:tcPr>
          <w:p>
            <w:pPr>
              <w:spacing w:after="20"/>
            </w:pPr>
            <w:r/>
            <w:r>
              <w:rPr>
                <w:b w:val="0"/>
                <w:sz w:val="17"/>
              </w:rPr>
              <w:t>Gold</w:t>
            </w:r>
          </w:p>
        </w:tc>
        <w:tc>
          <w:tcPr>
            <w:tcW w:type="dxa" w:w="3312"/>
            <w:vAlign w:val="center"/>
          </w:tcPr>
          <w:p>
            <w:pPr>
              <w:spacing w:after="20"/>
            </w:pPr>
            <w:r/>
            <w:r>
              <w:rPr>
                <w:b w:val="0"/>
                <w:sz w:val="17"/>
              </w:rPr>
              <w:t>Parquet</w:t>
            </w:r>
          </w:p>
        </w:tc>
        <w:tc>
          <w:tcPr>
            <w:tcW w:type="dxa" w:w="3312"/>
            <w:vAlign w:val="center"/>
          </w:tcPr>
          <w:p>
            <w:pPr>
              <w:spacing w:after="20"/>
            </w:pPr>
            <w:r/>
            <w:r>
              <w:rPr>
                <w:b w:val="0"/>
                <w:sz w:val="17"/>
              </w:rPr>
              <w:t>Aggregated or business-ready outputs.</w:t>
            </w:r>
          </w:p>
        </w:tc>
      </w:tr>
      <w:tr>
        <w:tc>
          <w:tcPr>
            <w:tcW w:type="dxa" w:w="3312"/>
            <w:vAlign w:val="center"/>
          </w:tcPr>
          <w:p>
            <w:pPr>
              <w:spacing w:after="20"/>
            </w:pPr>
            <w:r/>
            <w:r>
              <w:rPr>
                <w:b w:val="0"/>
                <w:sz w:val="17"/>
              </w:rPr>
              <w:t>Quarantine</w:t>
            </w:r>
          </w:p>
        </w:tc>
        <w:tc>
          <w:tcPr>
            <w:tcW w:type="dxa" w:w="3312"/>
            <w:vAlign w:val="center"/>
          </w:tcPr>
          <w:p>
            <w:pPr>
              <w:spacing w:after="20"/>
            </w:pPr>
            <w:r/>
            <w:r>
              <w:rPr>
                <w:b w:val="0"/>
                <w:sz w:val="17"/>
              </w:rPr>
              <w:t>Parquet/audit records</w:t>
            </w:r>
          </w:p>
        </w:tc>
        <w:tc>
          <w:tcPr>
            <w:tcW w:type="dxa" w:w="3312"/>
            <w:vAlign w:val="center"/>
          </w:tcPr>
          <w:p>
            <w:pPr>
              <w:spacing w:after="20"/>
            </w:pPr>
            <w:r/>
            <w:r>
              <w:rPr>
                <w:b w:val="0"/>
                <w:sz w:val="17"/>
              </w:rPr>
              <w:t>Preserve rejected rows and explain validation failures.</w:t>
            </w:r>
          </w:p>
        </w:tc>
      </w:tr>
    </w:tbl>
    <w:p/>
    <w:p>
      <w:pPr>
        <w:pStyle w:val="Heading1"/>
        <w:keepNext/>
      </w:pPr>
      <w:r>
        <w:t>8. Data Quality and Validation</w:t>
      </w:r>
    </w:p>
    <w:p>
      <w:pPr>
        <w:pStyle w:val="Heading2"/>
        <w:keepNext/>
      </w:pPr>
      <w:r>
        <w:t>8.1 Main validation categories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20"/>
            </w:pPr>
            <w:r/>
            <w:r>
              <w:rPr>
                <w:b/>
                <w:sz w:val="17"/>
              </w:rPr>
              <w:t>Category</w:t>
            </w:r>
          </w:p>
        </w:tc>
        <w:tc>
          <w:tcPr>
            <w:tcW w:type="dxa" w:w="3312"/>
            <w:vAlign w:val="center"/>
            <w:shd w:fill="B4C7E7"/>
          </w:tcPr>
          <w:p>
            <w:pPr>
              <w:spacing w:after="20"/>
            </w:pPr>
            <w:r/>
            <w:r>
              <w:rPr>
                <w:b/>
                <w:sz w:val="17"/>
              </w:rPr>
              <w:t>Example checks</w:t>
            </w:r>
          </w:p>
        </w:tc>
        <w:tc>
          <w:tcPr>
            <w:tcW w:type="dxa" w:w="3312"/>
            <w:vAlign w:val="center"/>
            <w:shd w:fill="B4C7E7"/>
          </w:tcPr>
          <w:p>
            <w:pPr>
              <w:spacing w:after="20"/>
            </w:pPr>
            <w:r/>
            <w:r>
              <w:rPr>
                <w:b/>
                <w:sz w:val="17"/>
              </w:rPr>
              <w:t>Typical handling</w:t>
            </w:r>
          </w:p>
        </w:tc>
      </w:tr>
      <w:tr>
        <w:tc>
          <w:tcPr>
            <w:tcW w:type="dxa" w:w="3312"/>
            <w:vAlign w:val="center"/>
          </w:tcPr>
          <w:p>
            <w:pPr>
              <w:spacing w:after="20"/>
            </w:pPr>
            <w:r/>
            <w:r>
              <w:rPr>
                <w:b w:val="0"/>
                <w:sz w:val="17"/>
              </w:rPr>
              <w:t>Completeness</w:t>
            </w:r>
          </w:p>
        </w:tc>
        <w:tc>
          <w:tcPr>
            <w:tcW w:type="dxa" w:w="3312"/>
            <w:vAlign w:val="center"/>
          </w:tcPr>
          <w:p>
            <w:pPr>
              <w:spacing w:after="20"/>
            </w:pPr>
            <w:r/>
            <w:r>
              <w:rPr>
                <w:b w:val="0"/>
                <w:sz w:val="17"/>
              </w:rPr>
              <w:t>Required IDs, timestamps, metric values, units are present.</w:t>
            </w:r>
          </w:p>
        </w:tc>
        <w:tc>
          <w:tcPr>
            <w:tcW w:type="dxa" w:w="3312"/>
            <w:vAlign w:val="center"/>
          </w:tcPr>
          <w:p>
            <w:pPr>
              <w:spacing w:after="20"/>
            </w:pPr>
            <w:r/>
            <w:r>
              <w:rPr>
                <w:b w:val="0"/>
                <w:sz w:val="17"/>
              </w:rPr>
              <w:t>Quarantine records missing mandatory fields.</w:t>
            </w:r>
          </w:p>
        </w:tc>
      </w:tr>
      <w:tr>
        <w:tc>
          <w:tcPr>
            <w:tcW w:type="dxa" w:w="3312"/>
            <w:vAlign w:val="center"/>
          </w:tcPr>
          <w:p>
            <w:pPr>
              <w:spacing w:after="20"/>
            </w:pPr>
            <w:r/>
            <w:r>
              <w:rPr>
                <w:b w:val="0"/>
                <w:sz w:val="17"/>
              </w:rPr>
              <w:t>Type and format</w:t>
            </w:r>
          </w:p>
        </w:tc>
        <w:tc>
          <w:tcPr>
            <w:tcW w:type="dxa" w:w="3312"/>
            <w:vAlign w:val="center"/>
          </w:tcPr>
          <w:p>
            <w:pPr>
              <w:spacing w:after="20"/>
            </w:pPr>
            <w:r/>
            <w:r>
              <w:rPr>
                <w:b w:val="0"/>
                <w:sz w:val="17"/>
              </w:rPr>
              <w:t>Numeric values parse; timestamps parse; schema matches expectations.</w:t>
            </w:r>
          </w:p>
        </w:tc>
        <w:tc>
          <w:tcPr>
            <w:tcW w:type="dxa" w:w="3312"/>
            <w:vAlign w:val="center"/>
          </w:tcPr>
          <w:p>
            <w:pPr>
              <w:spacing w:after="20"/>
            </w:pPr>
            <w:r/>
            <w:r>
              <w:rPr>
                <w:b w:val="0"/>
                <w:sz w:val="17"/>
              </w:rPr>
              <w:t>Reject or quarantine malformed values.</w:t>
            </w:r>
          </w:p>
        </w:tc>
      </w:tr>
      <w:tr>
        <w:tc>
          <w:tcPr>
            <w:tcW w:type="dxa" w:w="3312"/>
            <w:vAlign w:val="center"/>
          </w:tcPr>
          <w:p>
            <w:pPr>
              <w:spacing w:after="20"/>
            </w:pPr>
            <w:r/>
            <w:r>
              <w:rPr>
                <w:b w:val="0"/>
                <w:sz w:val="17"/>
              </w:rPr>
              <w:t>Domain/range</w:t>
            </w:r>
          </w:p>
        </w:tc>
        <w:tc>
          <w:tcPr>
            <w:tcW w:type="dxa" w:w="3312"/>
            <w:vAlign w:val="center"/>
          </w:tcPr>
          <w:p>
            <w:pPr>
              <w:spacing w:after="20"/>
            </w:pPr>
            <w:r/>
            <w:r>
              <w:rPr>
                <w:b w:val="0"/>
                <w:sz w:val="17"/>
              </w:rPr>
              <w:t>Metric type and value satisfy configured bounds.</w:t>
            </w:r>
          </w:p>
        </w:tc>
        <w:tc>
          <w:tcPr>
            <w:tcW w:type="dxa" w:w="3312"/>
            <w:vAlign w:val="center"/>
          </w:tcPr>
          <w:p>
            <w:pPr>
              <w:spacing w:after="20"/>
            </w:pPr>
            <w:r/>
            <w:r>
              <w:rPr>
                <w:b w:val="0"/>
                <w:sz w:val="17"/>
              </w:rPr>
              <w:t>Quarantine impossible or out-of-policy values.</w:t>
            </w:r>
          </w:p>
        </w:tc>
      </w:tr>
      <w:tr>
        <w:tc>
          <w:tcPr>
            <w:tcW w:type="dxa" w:w="3312"/>
            <w:vAlign w:val="center"/>
          </w:tcPr>
          <w:p>
            <w:pPr>
              <w:spacing w:after="20"/>
            </w:pPr>
            <w:r/>
            <w:r>
              <w:rPr>
                <w:b w:val="0"/>
                <w:sz w:val="17"/>
              </w:rPr>
              <w:t>Uniqueness</w:t>
            </w:r>
          </w:p>
        </w:tc>
        <w:tc>
          <w:tcPr>
            <w:tcW w:type="dxa" w:w="3312"/>
            <w:vAlign w:val="center"/>
          </w:tcPr>
          <w:p>
            <w:pPr>
              <w:spacing w:after="20"/>
            </w:pPr>
            <w:r/>
            <w:r>
              <w:rPr>
                <w:b w:val="0"/>
                <w:sz w:val="17"/>
              </w:rPr>
              <w:t>reading_id/event_id or table primary key is unique.</w:t>
            </w:r>
          </w:p>
        </w:tc>
        <w:tc>
          <w:tcPr>
            <w:tcW w:type="dxa" w:w="3312"/>
            <w:vAlign w:val="center"/>
          </w:tcPr>
          <w:p>
            <w:pPr>
              <w:spacing w:after="20"/>
            </w:pPr>
            <w:r/>
            <w:r>
              <w:rPr>
                <w:b w:val="0"/>
                <w:sz w:val="17"/>
              </w:rPr>
              <w:t>Deduplicate or quarantine duplicate keys.</w:t>
            </w:r>
          </w:p>
        </w:tc>
      </w:tr>
      <w:tr>
        <w:tc>
          <w:tcPr>
            <w:tcW w:type="dxa" w:w="3312"/>
            <w:vAlign w:val="center"/>
          </w:tcPr>
          <w:p>
            <w:pPr>
              <w:spacing w:after="20"/>
            </w:pPr>
            <w:r/>
            <w:r>
              <w:rPr>
                <w:b w:val="0"/>
                <w:sz w:val="17"/>
              </w:rPr>
              <w:t>Referential integrity</w:t>
            </w:r>
          </w:p>
        </w:tc>
        <w:tc>
          <w:tcPr>
            <w:tcW w:type="dxa" w:w="3312"/>
            <w:vAlign w:val="center"/>
          </w:tcPr>
          <w:p>
            <w:pPr>
              <w:spacing w:after="20"/>
            </w:pPr>
            <w:r/>
            <w:r>
              <w:rPr>
                <w:b w:val="0"/>
                <w:sz w:val="17"/>
              </w:rPr>
              <w:t>Patient, device, admission, bed and ward references exist.</w:t>
            </w:r>
          </w:p>
        </w:tc>
        <w:tc>
          <w:tcPr>
            <w:tcW w:type="dxa" w:w="3312"/>
            <w:vAlign w:val="center"/>
          </w:tcPr>
          <w:p>
            <w:pPr>
              <w:spacing w:after="20"/>
            </w:pPr>
            <w:r/>
            <w:r>
              <w:rPr>
                <w:b w:val="0"/>
                <w:sz w:val="17"/>
              </w:rPr>
              <w:t>Quarantine orphan records.</w:t>
            </w:r>
          </w:p>
        </w:tc>
      </w:tr>
      <w:tr>
        <w:tc>
          <w:tcPr>
            <w:tcW w:type="dxa" w:w="3312"/>
            <w:vAlign w:val="center"/>
          </w:tcPr>
          <w:p>
            <w:pPr>
              <w:spacing w:after="20"/>
            </w:pPr>
            <w:r/>
            <w:r>
              <w:rPr>
                <w:b w:val="0"/>
                <w:sz w:val="17"/>
              </w:rPr>
              <w:t>Temporal consistency</w:t>
            </w:r>
          </w:p>
        </w:tc>
        <w:tc>
          <w:tcPr>
            <w:tcW w:type="dxa" w:w="3312"/>
            <w:vAlign w:val="center"/>
          </w:tcPr>
          <w:p>
            <w:pPr>
              <w:spacing w:after="20"/>
            </w:pPr>
            <w:r/>
            <w:r>
              <w:rPr>
                <w:b w:val="0"/>
                <w:sz w:val="17"/>
              </w:rPr>
              <w:t>Discharge is not before admission; assignment intervals are valid.</w:t>
            </w:r>
          </w:p>
        </w:tc>
        <w:tc>
          <w:tcPr>
            <w:tcW w:type="dxa" w:w="3312"/>
            <w:vAlign w:val="center"/>
          </w:tcPr>
          <w:p>
            <w:pPr>
              <w:spacing w:after="20"/>
            </w:pPr>
            <w:r/>
            <w:r>
              <w:rPr>
                <w:b w:val="0"/>
                <w:sz w:val="17"/>
              </w:rPr>
              <w:t>Flag or reject invalid intervals.</w:t>
            </w:r>
          </w:p>
        </w:tc>
      </w:tr>
      <w:tr>
        <w:tc>
          <w:tcPr>
            <w:tcW w:type="dxa" w:w="3312"/>
            <w:vAlign w:val="center"/>
          </w:tcPr>
          <w:p>
            <w:pPr>
              <w:spacing w:after="20"/>
            </w:pPr>
            <w:r/>
            <w:r>
              <w:rPr>
                <w:b w:val="0"/>
                <w:sz w:val="17"/>
              </w:rPr>
              <w:t>Operational logic</w:t>
            </w:r>
          </w:p>
        </w:tc>
        <w:tc>
          <w:tcPr>
            <w:tcW w:type="dxa" w:w="3312"/>
            <w:vAlign w:val="center"/>
          </w:tcPr>
          <w:p>
            <w:pPr>
              <w:spacing w:after="20"/>
            </w:pPr>
            <w:r/>
            <w:r>
              <w:rPr>
                <w:b w:val="0"/>
                <w:sz w:val="17"/>
              </w:rPr>
              <w:t>Event type/status combinations are allowed.</w:t>
            </w:r>
          </w:p>
        </w:tc>
        <w:tc>
          <w:tcPr>
            <w:tcW w:type="dxa" w:w="3312"/>
            <w:vAlign w:val="center"/>
          </w:tcPr>
          <w:p>
            <w:pPr>
              <w:spacing w:after="20"/>
            </w:pPr>
            <w:r/>
            <w:r>
              <w:rPr>
                <w:b w:val="0"/>
                <w:sz w:val="17"/>
              </w:rPr>
              <w:t>Quarantine inconsistent device events.</w:t>
            </w:r>
          </w:p>
        </w:tc>
      </w:tr>
    </w:tbl>
    <w:p/>
    <w:p>
      <w:pPr>
        <w:pStyle w:val="Heading2"/>
        <w:keepNext/>
      </w:pPr>
      <w:r>
        <w:t>8.2 Auditability</w:t>
      </w:r>
    </w:p>
    <w:p>
      <w:r>
        <w:t>The documented quarantine audit structure includes source_table, record_id, dq_failure_reason, and raw_payload. Keep failure categories, counts, and sample records available for investigation. Do not sum category counts as a unique rejected-record count unless the pipeline explicitly assigns one final reason per record or separately deduplicates the audit population.</w:t>
      </w:r>
    </w:p>
    <w:p>
      <w:pPr>
        <w:pStyle w:val="Heading2"/>
        <w:keepNext/>
      </w:pPr>
      <w:r>
        <w:t>8.3 Example documented failure categories</w:t>
      </w:r>
    </w:p>
    <w:p>
      <w:pPr>
        <w:pStyle w:val="ListBullet"/>
        <w:spacing w:after="40"/>
      </w:pPr>
      <w:r>
        <w:t>NULL_MEASURED_AT and NULL_UNIT — required timestamp or unit missing.</w:t>
      </w:r>
    </w:p>
    <w:p>
      <w:pPr>
        <w:pStyle w:val="ListBullet"/>
        <w:spacing w:after="40"/>
      </w:pPr>
      <w:r>
        <w:t>INVALID_METRIC_TYPE and INVALID_METRIC_VALUE_FORMAT — unsupported metric or unparsable value.</w:t>
      </w:r>
    </w:p>
    <w:p>
      <w:pPr>
        <w:pStyle w:val="ListBullet"/>
        <w:spacing w:after="40"/>
      </w:pPr>
      <w:r>
        <w:t>IMPOSSIBLE_TEMPERATURE, IMPOSSIBLE_SPO2_OVER_100, IMPOSSIBLE_SYSTOLIC_BP, and IMPOSSIBLE_HEART_RATE — configured physiological/domain rule failures.</w:t>
      </w:r>
    </w:p>
    <w:p>
      <w:pPr>
        <w:pStyle w:val="ListBullet"/>
        <w:spacing w:after="40"/>
      </w:pPr>
      <w:r>
        <w:t>DUPLICATE_PRIMARY_KEY — repeated identifier.</w:t>
      </w:r>
    </w:p>
    <w:p>
      <w:pPr>
        <w:pStyle w:val="ListBullet"/>
        <w:spacing w:after="40"/>
      </w:pPr>
      <w:r>
        <w:t>BROKEN_REF_PATIENT_ID and BROKEN_REF_DEVICE_ID — missing reference entities.</w:t>
      </w:r>
    </w:p>
    <w:p>
      <w:r>
        <w:t>These categories identify data-validation failures, not confirmed medical diagnoses or confirmed physical-device faults.</w:t>
      </w:r>
    </w:p>
    <w:p>
      <w:pPr>
        <w:pStyle w:val="Heading1"/>
        <w:keepNext/>
      </w:pPr>
      <w:r>
        <w:t>9. Snowflake Warehouse Integration</w:t>
      </w:r>
    </w:p>
    <w:p>
      <w:pPr>
        <w:pStyle w:val="Heading2"/>
        <w:keepNext/>
      </w:pPr>
      <w:r>
        <w:t>9.1 Role of Snowflake</w:t>
      </w:r>
    </w:p>
    <w:p>
      <w:r>
        <w:t>Snowflake receives curated Silver and Gold datasets from S3 and provides the relational warehouse layer used by dbt and Power BI. The documented Airflow load task uses SnowflakeHook and the snowflake_default Airflow connection. It references external stages named IOMT_SILVER_STAGE and IOMT_GOLD_STAGE and the IOMT_PARQUET_FORMAT file format.</w:t>
      </w:r>
    </w:p>
    <w:p>
      <w:pPr>
        <w:pStyle w:val="Heading2"/>
        <w:keepNext/>
      </w:pPr>
      <w:r>
        <w:t>9.2 Safe loading pattern</w:t>
      </w:r>
    </w:p>
    <w:p>
      <w:pPr>
        <w:pStyle w:val="ListNumber"/>
        <w:spacing w:after="40"/>
      </w:pPr>
      <w:r>
        <w:t>Load each incoming dataset into a temporary/staging table.</w:t>
      </w:r>
    </w:p>
    <w:p>
      <w:pPr>
        <w:pStyle w:val="ListNumber"/>
        <w:spacing w:after="40"/>
      </w:pPr>
      <w:r>
        <w:t>Check row counts for all expected datasets.</w:t>
      </w:r>
    </w:p>
    <w:p>
      <w:pPr>
        <w:pStyle w:val="ListNumber"/>
        <w:spacing w:after="40"/>
      </w:pPr>
      <w:r>
        <w:t>Stop the load if a required dataset has zero rows.</w:t>
      </w:r>
    </w:p>
    <w:p>
      <w:pPr>
        <w:pStyle w:val="ListNumber"/>
        <w:spacing w:after="40"/>
      </w:pPr>
      <w:r>
        <w:t>Only replace corresponding RAW tables after validation succeeds.</w:t>
      </w:r>
    </w:p>
    <w:p>
      <w:pPr>
        <w:pStyle w:val="ListNumber"/>
        <w:spacing w:after="40"/>
      </w:pPr>
      <w:r>
        <w:t>Record load results and investigate unexpected count changes.</w:t>
      </w:r>
    </w:p>
    <w:p>
      <w:r>
        <w:t>This temporary-table and row-count gate reduces the risk of replacing valid warehouse data with empty or incomplete inputs. The exact database and schema names should be confirmed from the deployed Airflow connection and Snowflake setup.</w:t>
      </w:r>
    </w:p>
    <w:p>
      <w:pPr>
        <w:pStyle w:val="Heading2"/>
        <w:keepNext/>
      </w:pPr>
      <w:r>
        <w:t>9.3 Separation of responsibilities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B4C7E7"/>
          </w:tcPr>
          <w:p>
            <w:pPr>
              <w:spacing w:after="20"/>
            </w:pPr>
            <w:r/>
            <w:r>
              <w:rPr>
                <w:b/>
                <w:sz w:val="17"/>
              </w:rPr>
              <w:t>Component</w:t>
            </w:r>
          </w:p>
        </w:tc>
        <w:tc>
          <w:tcPr>
            <w:tcW w:type="dxa" w:w="4968"/>
            <w:vAlign w:val="center"/>
            <w:shd w:fill="B4C7E7"/>
          </w:tcPr>
          <w:p>
            <w:pPr>
              <w:spacing w:after="20"/>
            </w:pPr>
            <w:r/>
            <w:r>
              <w:rPr>
                <w:b/>
                <w:sz w:val="17"/>
              </w:rPr>
              <w:t>Responsibility</w:t>
            </w:r>
          </w:p>
        </w:tc>
      </w:tr>
      <w:tr>
        <w:tc>
          <w:tcPr>
            <w:tcW w:type="dxa" w:w="4968"/>
            <w:vAlign w:val="center"/>
          </w:tcPr>
          <w:p>
            <w:pPr>
              <w:spacing w:after="20"/>
            </w:pPr>
            <w:r/>
            <w:r>
              <w:rPr>
                <w:b w:val="0"/>
                <w:sz w:val="17"/>
              </w:rPr>
              <w:t>S3 Bronze</w:t>
            </w:r>
          </w:p>
        </w:tc>
        <w:tc>
          <w:tcPr>
            <w:tcW w:type="dxa" w:w="4968"/>
            <w:vAlign w:val="center"/>
          </w:tcPr>
          <w:p>
            <w:pPr>
              <w:spacing w:after="20"/>
            </w:pPr>
            <w:r/>
            <w:r>
              <w:rPr>
                <w:b w:val="0"/>
                <w:sz w:val="17"/>
              </w:rPr>
              <w:t>Durable preservation of original source data.</w:t>
            </w:r>
          </w:p>
        </w:tc>
      </w:tr>
      <w:tr>
        <w:tc>
          <w:tcPr>
            <w:tcW w:type="dxa" w:w="4968"/>
            <w:vAlign w:val="center"/>
          </w:tcPr>
          <w:p>
            <w:pPr>
              <w:spacing w:after="20"/>
            </w:pPr>
            <w:r/>
            <w:r>
              <w:rPr>
                <w:b w:val="0"/>
                <w:sz w:val="17"/>
              </w:rPr>
              <w:t>S3 Silver/Gold</w:t>
            </w:r>
          </w:p>
        </w:tc>
        <w:tc>
          <w:tcPr>
            <w:tcW w:type="dxa" w:w="4968"/>
            <w:vAlign w:val="center"/>
          </w:tcPr>
          <w:p>
            <w:pPr>
              <w:spacing w:after="20"/>
            </w:pPr>
            <w:r/>
            <w:r>
              <w:rPr>
                <w:b w:val="0"/>
                <w:sz w:val="17"/>
              </w:rPr>
              <w:t>Curated and analytical file datasets.</w:t>
            </w:r>
          </w:p>
        </w:tc>
      </w:tr>
      <w:tr>
        <w:tc>
          <w:tcPr>
            <w:tcW w:type="dxa" w:w="4968"/>
            <w:vAlign w:val="center"/>
          </w:tcPr>
          <w:p>
            <w:pPr>
              <w:spacing w:after="20"/>
            </w:pPr>
            <w:r/>
            <w:r>
              <w:rPr>
                <w:b w:val="0"/>
                <w:sz w:val="17"/>
              </w:rPr>
              <w:t>Snowflake RAW</w:t>
            </w:r>
          </w:p>
        </w:tc>
        <w:tc>
          <w:tcPr>
            <w:tcW w:type="dxa" w:w="4968"/>
            <w:vAlign w:val="center"/>
          </w:tcPr>
          <w:p>
            <w:pPr>
              <w:spacing w:after="20"/>
            </w:pPr>
            <w:r/>
            <w:r>
              <w:rPr>
                <w:b w:val="0"/>
                <w:sz w:val="17"/>
              </w:rPr>
              <w:t>Warehouse landing tables loaded from curated S3 data.</w:t>
            </w:r>
          </w:p>
        </w:tc>
      </w:tr>
      <w:tr>
        <w:tc>
          <w:tcPr>
            <w:tcW w:type="dxa" w:w="4968"/>
            <w:vAlign w:val="center"/>
          </w:tcPr>
          <w:p>
            <w:pPr>
              <w:spacing w:after="20"/>
            </w:pPr>
            <w:r/>
            <w:r>
              <w:rPr>
                <w:b w:val="0"/>
                <w:sz w:val="17"/>
              </w:rPr>
              <w:t>Snowflake STAGING / INTERMEDIATE / MARTS</w:t>
            </w:r>
          </w:p>
        </w:tc>
        <w:tc>
          <w:tcPr>
            <w:tcW w:type="dxa" w:w="4968"/>
            <w:vAlign w:val="center"/>
          </w:tcPr>
          <w:p>
            <w:pPr>
              <w:spacing w:after="20"/>
            </w:pPr>
            <w:r/>
            <w:r>
              <w:rPr>
                <w:b w:val="0"/>
                <w:sz w:val="17"/>
              </w:rPr>
              <w:t>dbt-managed standardization, enrichment, and analytics models.</w:t>
            </w:r>
          </w:p>
        </w:tc>
      </w:tr>
    </w:tbl>
    <w:p/>
    <w:p>
      <w:pPr>
        <w:pStyle w:val="Heading1"/>
        <w:keepNext/>
      </w:pPr>
      <w:r>
        <w:t>10. dbt Transformation and Testing</w:t>
      </w:r>
    </w:p>
    <w:p>
      <w:pPr>
        <w:pStyle w:val="Heading2"/>
        <w:keepNext/>
      </w:pPr>
      <w:r>
        <w:t>10.1 Model layers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20"/>
            </w:pPr>
            <w:r/>
            <w:r>
              <w:rPr>
                <w:b/>
                <w:sz w:val="17"/>
              </w:rPr>
              <w:t>Layer</w:t>
            </w:r>
          </w:p>
        </w:tc>
        <w:tc>
          <w:tcPr>
            <w:tcW w:type="dxa" w:w="3312"/>
            <w:vAlign w:val="center"/>
            <w:shd w:fill="B4C7E7"/>
          </w:tcPr>
          <w:p>
            <w:pPr>
              <w:spacing w:after="20"/>
            </w:pPr>
            <w:r/>
            <w:r>
              <w:rPr>
                <w:b/>
                <w:sz w:val="17"/>
              </w:rPr>
              <w:t>Documented structure</w:t>
            </w:r>
          </w:p>
        </w:tc>
        <w:tc>
          <w:tcPr>
            <w:tcW w:type="dxa" w:w="3312"/>
            <w:vAlign w:val="center"/>
            <w:shd w:fill="B4C7E7"/>
          </w:tcPr>
          <w:p>
            <w:pPr>
              <w:spacing w:after="20"/>
            </w:pPr>
            <w:r/>
            <w:r>
              <w:rPr>
                <w:b/>
                <w:sz w:val="17"/>
              </w:rPr>
              <w:t>Purpose</w:t>
            </w:r>
          </w:p>
        </w:tc>
      </w:tr>
      <w:tr>
        <w:tc>
          <w:tcPr>
            <w:tcW w:type="dxa" w:w="3312"/>
            <w:vAlign w:val="center"/>
          </w:tcPr>
          <w:p>
            <w:pPr>
              <w:spacing w:after="20"/>
            </w:pPr>
            <w:r/>
            <w:r>
              <w:rPr>
                <w:b w:val="0"/>
                <w:sz w:val="17"/>
              </w:rPr>
              <w:t>STAGING</w:t>
            </w:r>
          </w:p>
        </w:tc>
        <w:tc>
          <w:tcPr>
            <w:tcW w:type="dxa" w:w="3312"/>
            <w:vAlign w:val="center"/>
          </w:tcPr>
          <w:p>
            <w:pPr>
              <w:spacing w:after="20"/>
            </w:pPr>
            <w:r/>
            <w:r>
              <w:rPr>
                <w:b w:val="0"/>
                <w:sz w:val="17"/>
              </w:rPr>
              <w:t>9 views</w:t>
            </w:r>
          </w:p>
        </w:tc>
        <w:tc>
          <w:tcPr>
            <w:tcW w:type="dxa" w:w="3312"/>
            <w:vAlign w:val="center"/>
          </w:tcPr>
          <w:p>
            <w:pPr>
              <w:spacing w:after="20"/>
            </w:pPr>
            <w:r/>
            <w:r>
              <w:rPr>
                <w:b w:val="0"/>
                <w:sz w:val="17"/>
              </w:rPr>
              <w:t>Normalize fields, parse timestamps, standardize types, and deduplicate source-level records.</w:t>
            </w:r>
          </w:p>
        </w:tc>
      </w:tr>
      <w:tr>
        <w:tc>
          <w:tcPr>
            <w:tcW w:type="dxa" w:w="3312"/>
            <w:vAlign w:val="center"/>
          </w:tcPr>
          <w:p>
            <w:pPr>
              <w:spacing w:after="20"/>
            </w:pPr>
            <w:r/>
            <w:r>
              <w:rPr>
                <w:b w:val="0"/>
                <w:sz w:val="17"/>
              </w:rPr>
              <w:t>INTERMEDIATE</w:t>
            </w:r>
          </w:p>
        </w:tc>
        <w:tc>
          <w:tcPr>
            <w:tcW w:type="dxa" w:w="3312"/>
            <w:vAlign w:val="center"/>
          </w:tcPr>
          <w:p>
            <w:pPr>
              <w:spacing w:after="20"/>
            </w:pPr>
            <w:r/>
            <w:r>
              <w:rPr>
                <w:b w:val="0"/>
                <w:sz w:val="17"/>
              </w:rPr>
              <w:t>2 views</w:t>
            </w:r>
          </w:p>
        </w:tc>
        <w:tc>
          <w:tcPr>
            <w:tcW w:type="dxa" w:w="3312"/>
            <w:vAlign w:val="center"/>
          </w:tcPr>
          <w:p>
            <w:pPr>
              <w:spacing w:after="20"/>
            </w:pPr>
            <w:r/>
            <w:r>
              <w:rPr>
                <w:b w:val="0"/>
                <w:sz w:val="17"/>
              </w:rPr>
              <w:t>Enrich readings and device events with related context and temporal logic.</w:t>
            </w:r>
          </w:p>
        </w:tc>
      </w:tr>
      <w:tr>
        <w:tc>
          <w:tcPr>
            <w:tcW w:type="dxa" w:w="3312"/>
            <w:vAlign w:val="center"/>
          </w:tcPr>
          <w:p>
            <w:pPr>
              <w:spacing w:after="20"/>
            </w:pPr>
            <w:r/>
            <w:r>
              <w:rPr>
                <w:b w:val="0"/>
                <w:sz w:val="17"/>
              </w:rPr>
              <w:t>MARTS</w:t>
            </w:r>
          </w:p>
        </w:tc>
        <w:tc>
          <w:tcPr>
            <w:tcW w:type="dxa" w:w="3312"/>
            <w:vAlign w:val="center"/>
          </w:tcPr>
          <w:p>
            <w:pPr>
              <w:spacing w:after="20"/>
            </w:pPr>
            <w:r/>
            <w:r>
              <w:rPr>
                <w:b w:val="0"/>
                <w:sz w:val="17"/>
              </w:rPr>
              <w:t>12 tables</w:t>
            </w:r>
          </w:p>
        </w:tc>
        <w:tc>
          <w:tcPr>
            <w:tcW w:type="dxa" w:w="3312"/>
            <w:vAlign w:val="center"/>
          </w:tcPr>
          <w:p>
            <w:pPr>
              <w:spacing w:after="20"/>
            </w:pPr>
            <w:r/>
            <w:r>
              <w:rPr>
                <w:b w:val="0"/>
                <w:sz w:val="17"/>
              </w:rPr>
              <w:t>Provide dimensions and facts for reporting and dashboard analysis.</w:t>
            </w:r>
          </w:p>
        </w:tc>
      </w:tr>
    </w:tbl>
    <w:p/>
    <w:p>
      <w:pPr>
        <w:pStyle w:val="Heading2"/>
        <w:keepNext/>
      </w:pPr>
      <w:r>
        <w:t>10.2 Documented model names</w:t>
      </w:r>
    </w:p>
    <w:p>
      <w:r>
        <w:t>Staging models documented in the source include stg_vital_readings, stg_patients, stg_admissions, stg_beds, stg_wards, stg_devices, stg_device_assignments, stg_device_status_events, and stg_vital_rules.</w:t>
      </w:r>
    </w:p>
    <w:p>
      <w:r>
        <w:t>Intermediate models documented include int_vital_readings_enriched and int_device_status_enriched.</w:t>
      </w:r>
    </w:p>
    <w:p>
      <w:r>
        <w:t>Documented mart models include dim_date, dim_patients, dim_wards, dim_beds, dim_admissions, dim_devices, dim_device_assignments, fct_vital_readings, fct_anomaly_events, fct_device_status_events, fct_device_health_daily, and fct_ward_occupancy_daily.</w:t>
      </w:r>
    </w:p>
    <w:p>
      <w:pPr>
        <w:pStyle w:val="Heading2"/>
        <w:keepNext/>
      </w:pPr>
      <w:r>
        <w:t>10.3 Data-quality tests</w:t>
      </w:r>
    </w:p>
    <w:p>
      <w:r>
        <w:t>The repository documentation describes 96 dbt tests. These include generic uniqueness, not-null, accepted-values, and relationship tests, alongside custom checks for configured physiological bounds, valid time intervals, and device-event logic. Confirm the current test count by running dbt in the target environment; model or test counts may change over time.</w:t>
      </w:r>
    </w:p>
    <w:p>
      <w:pPr>
        <w:pStyle w:val="ListBullet"/>
        <w:spacing w:after="40"/>
      </w:pPr>
      <w:r>
        <w:t>Use unique and not_null tests for primary identifiers and required fields.</w:t>
      </w:r>
    </w:p>
    <w:p>
      <w:pPr>
        <w:pStyle w:val="ListBullet"/>
        <w:spacing w:after="40"/>
      </w:pPr>
      <w:r>
        <w:t>Use relationships tests for foreign-key-like links.</w:t>
      </w:r>
    </w:p>
    <w:p>
      <w:pPr>
        <w:pStyle w:val="ListBullet"/>
        <w:spacing w:after="40"/>
      </w:pPr>
      <w:r>
        <w:t>Validate accepted metric types and status values.</w:t>
      </w:r>
    </w:p>
    <w:p>
      <w:pPr>
        <w:pStyle w:val="ListBullet"/>
        <w:spacing w:after="40"/>
      </w:pPr>
      <w:r>
        <w:t>Validate temporal order for admission and device-assignment intervals.</w:t>
      </w:r>
    </w:p>
    <w:p>
      <w:pPr>
        <w:pStyle w:val="ListBullet"/>
        <w:spacing w:after="40"/>
      </w:pPr>
      <w:r>
        <w:t>Test duplicates and consistency between device assignments and readings.</w:t>
      </w:r>
    </w:p>
    <w:p>
      <w:pPr>
        <w:pStyle w:val="ListBullet"/>
        <w:spacing w:after="40"/>
      </w:pPr>
      <w:r>
        <w:t>Run dbt build so models and associated tests are executed together.</w:t>
      </w:r>
    </w:p>
    <w:p>
      <w:pPr>
        <w:pStyle w:val="Heading1"/>
        <w:keepNext/>
      </w:pPr>
      <w:r>
        <w:t>11. Apache Airflow Orchestration</w:t>
      </w:r>
    </w:p>
    <w:p>
      <w:pPr>
        <w:pStyle w:val="Heading2"/>
        <w:keepNext/>
      </w:pPr>
      <w:r>
        <w:t>11.1 Runtime components</w:t>
      </w:r>
    </w:p>
    <w:p>
      <w:r>
        <w:t>The documented orchestration environment uses Docker Compose on WSL 2 with a custom healthcare-iot-airflow image. The stack includes an Airflow webserver, scheduler, worker using CeleryExecutor, PostgreSQL metadata storage, and Redis as the Celery broker. The web UI is documented on port 8088.</w:t>
      </w:r>
    </w:p>
    <w:p>
      <w:pPr>
        <w:pStyle w:val="Heading2"/>
        <w:keepNext/>
      </w:pPr>
      <w:r>
        <w:t>11.2 DAG workflow</w:t>
      </w:r>
    </w:p>
    <w:p>
      <w:pPr>
        <w:spacing w:before="60" w:after="140"/>
        <w:ind w:left="259" w:right="173"/>
        <w:shd w:fill="F2F2F2"/>
      </w:pPr>
      <w:r>
        <w:rPr>
          <w:rFonts w:ascii="Consolas" w:hAnsi="Consolas"/>
          <w:sz w:val="16"/>
        </w:rPr>
        <w:t>generate_batch_data</w:t>
        <w:br/>
        <w:t xml:space="preserve">        |</w:t>
        <w:br/>
        <w:t>upload_batch_to_s3  ----------- wait_for_streaming_data_in_s3</w:t>
        <w:br/>
        <w:t xml:space="preserve">        |                                      |</w:t>
        <w:br/>
        <w:t xml:space="preserve">        └──────────────────┬───────────────────┘</w:t>
        <w:br/>
        <w:t xml:space="preserve">                           v</w:t>
        <w:br/>
        <w:t xml:space="preserve">              process_silver_and_gold_layers</w:t>
        <w:br/>
        <w:t xml:space="preserve">                           v</w:t>
        <w:br/>
        <w:t xml:space="preserve">                  refresh_snowflake_raw</w:t>
        <w:br/>
        <w:t xml:space="preserve">                           v</w:t>
        <w:br/>
        <w:t xml:space="preserve">                 run_dbt_transformations</w:t>
        <w:br/>
        <w:t xml:space="preserve">                           v</w:t>
        <w:br/>
        <w:t xml:space="preserve">                   notify_bi_dashboard</w:t>
      </w:r>
    </w:p>
    <w:p>
      <w:r>
        <w:t>This is a conceptual view of the hybrid fan-in dependencies documented for lakehouse_end_to_end_pipeline. Confirm the actual dependency graph and task IDs in the current DAG file.</w:t>
      </w:r>
    </w:p>
    <w:p>
      <w:pPr>
        <w:pStyle w:val="Heading2"/>
        <w:keepNext/>
      </w:pPr>
      <w:r>
        <w:t>11.3 Task responsibilities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20"/>
            </w:pPr>
            <w:r/>
            <w:r>
              <w:rPr>
                <w:b/>
                <w:sz w:val="17"/>
              </w:rPr>
              <w:t>Task</w:t>
            </w:r>
          </w:p>
        </w:tc>
        <w:tc>
          <w:tcPr>
            <w:tcW w:type="dxa" w:w="3312"/>
            <w:vAlign w:val="center"/>
            <w:shd w:fill="B4C7E7"/>
          </w:tcPr>
          <w:p>
            <w:pPr>
              <w:spacing w:after="20"/>
            </w:pPr>
            <w:r/>
            <w:r>
              <w:rPr>
                <w:b/>
                <w:sz w:val="17"/>
              </w:rPr>
              <w:t>Operator / mechanism</w:t>
            </w:r>
          </w:p>
        </w:tc>
        <w:tc>
          <w:tcPr>
            <w:tcW w:type="dxa" w:w="3312"/>
            <w:vAlign w:val="center"/>
            <w:shd w:fill="B4C7E7"/>
          </w:tcPr>
          <w:p>
            <w:pPr>
              <w:spacing w:after="20"/>
            </w:pPr>
            <w:r/>
            <w:r>
              <w:rPr>
                <w:b/>
                <w:sz w:val="17"/>
              </w:rPr>
              <w:t>Responsibility</w:t>
            </w:r>
          </w:p>
        </w:tc>
      </w:tr>
      <w:tr>
        <w:tc>
          <w:tcPr>
            <w:tcW w:type="dxa" w:w="3312"/>
            <w:vAlign w:val="center"/>
          </w:tcPr>
          <w:p>
            <w:pPr>
              <w:spacing w:after="20"/>
            </w:pPr>
            <w:r/>
            <w:r>
              <w:rPr>
                <w:b w:val="0"/>
                <w:sz w:val="17"/>
              </w:rPr>
              <w:t>generate_batch_data</w:t>
            </w:r>
          </w:p>
        </w:tc>
        <w:tc>
          <w:tcPr>
            <w:tcW w:type="dxa" w:w="3312"/>
            <w:vAlign w:val="center"/>
          </w:tcPr>
          <w:p>
            <w:pPr>
              <w:spacing w:after="20"/>
            </w:pPr>
            <w:r/>
            <w:r>
              <w:rPr>
                <w:b w:val="0"/>
                <w:sz w:val="17"/>
              </w:rPr>
              <w:t>BashOperator</w:t>
            </w:r>
          </w:p>
        </w:tc>
        <w:tc>
          <w:tcPr>
            <w:tcW w:type="dxa" w:w="3312"/>
            <w:vAlign w:val="center"/>
          </w:tcPr>
          <w:p>
            <w:pPr>
              <w:spacing w:after="20"/>
            </w:pPr>
            <w:r/>
            <w:r>
              <w:rPr>
                <w:b w:val="0"/>
                <w:sz w:val="17"/>
              </w:rPr>
              <w:t>Runs the synthetic batch generator.</w:t>
            </w:r>
          </w:p>
        </w:tc>
      </w:tr>
      <w:tr>
        <w:tc>
          <w:tcPr>
            <w:tcW w:type="dxa" w:w="3312"/>
            <w:vAlign w:val="center"/>
          </w:tcPr>
          <w:p>
            <w:pPr>
              <w:spacing w:after="20"/>
            </w:pPr>
            <w:r/>
            <w:r>
              <w:rPr>
                <w:b w:val="0"/>
                <w:sz w:val="17"/>
              </w:rPr>
              <w:t>upload_batch_to_s3</w:t>
            </w:r>
          </w:p>
        </w:tc>
        <w:tc>
          <w:tcPr>
            <w:tcW w:type="dxa" w:w="3312"/>
            <w:vAlign w:val="center"/>
          </w:tcPr>
          <w:p>
            <w:pPr>
              <w:spacing w:after="20"/>
            </w:pPr>
            <w:r/>
            <w:r>
              <w:rPr>
                <w:b w:val="0"/>
                <w:sz w:val="17"/>
              </w:rPr>
              <w:t>BashOperator</w:t>
            </w:r>
          </w:p>
        </w:tc>
        <w:tc>
          <w:tcPr>
            <w:tcW w:type="dxa" w:w="3312"/>
            <w:vAlign w:val="center"/>
          </w:tcPr>
          <w:p>
            <w:pPr>
              <w:spacing w:after="20"/>
            </w:pPr>
            <w:r/>
            <w:r>
              <w:rPr>
                <w:b w:val="0"/>
                <w:sz w:val="17"/>
              </w:rPr>
              <w:t>Uploads generated files to S3 raw/batch/.</w:t>
            </w:r>
          </w:p>
        </w:tc>
      </w:tr>
      <w:tr>
        <w:tc>
          <w:tcPr>
            <w:tcW w:type="dxa" w:w="3312"/>
            <w:vAlign w:val="center"/>
          </w:tcPr>
          <w:p>
            <w:pPr>
              <w:spacing w:after="20"/>
            </w:pPr>
            <w:r/>
            <w:r>
              <w:rPr>
                <w:b w:val="0"/>
                <w:sz w:val="17"/>
              </w:rPr>
              <w:t>wait_for_streaming_data_in_s3</w:t>
            </w:r>
          </w:p>
        </w:tc>
        <w:tc>
          <w:tcPr>
            <w:tcW w:type="dxa" w:w="3312"/>
            <w:vAlign w:val="center"/>
          </w:tcPr>
          <w:p>
            <w:pPr>
              <w:spacing w:after="20"/>
            </w:pPr>
            <w:r/>
            <w:r>
              <w:rPr>
                <w:b w:val="0"/>
                <w:sz w:val="17"/>
              </w:rPr>
              <w:t>S3KeySensor</w:t>
            </w:r>
          </w:p>
        </w:tc>
        <w:tc>
          <w:tcPr>
            <w:tcW w:type="dxa" w:w="3312"/>
            <w:vAlign w:val="center"/>
          </w:tcPr>
          <w:p>
            <w:pPr>
              <w:spacing w:after="20"/>
            </w:pPr>
            <w:r/>
            <w:r>
              <w:rPr>
                <w:b w:val="0"/>
                <w:sz w:val="17"/>
              </w:rPr>
              <w:t>Waits for streaming objects at the expected S3 prefixes.</w:t>
            </w:r>
          </w:p>
        </w:tc>
      </w:tr>
      <w:tr>
        <w:tc>
          <w:tcPr>
            <w:tcW w:type="dxa" w:w="3312"/>
            <w:vAlign w:val="center"/>
          </w:tcPr>
          <w:p>
            <w:pPr>
              <w:spacing w:after="20"/>
            </w:pPr>
            <w:r/>
            <w:r>
              <w:rPr>
                <w:b w:val="0"/>
                <w:sz w:val="17"/>
              </w:rPr>
              <w:t>process_silver_and_gold_layers</w:t>
            </w:r>
          </w:p>
        </w:tc>
        <w:tc>
          <w:tcPr>
            <w:tcW w:type="dxa" w:w="3312"/>
            <w:vAlign w:val="center"/>
          </w:tcPr>
          <w:p>
            <w:pPr>
              <w:spacing w:after="20"/>
            </w:pPr>
            <w:r/>
            <w:r>
              <w:rPr>
                <w:b w:val="0"/>
                <w:sz w:val="17"/>
              </w:rPr>
              <w:t>BashOperator / Glue workflow trigger</w:t>
            </w:r>
          </w:p>
        </w:tc>
        <w:tc>
          <w:tcPr>
            <w:tcW w:type="dxa" w:w="3312"/>
            <w:vAlign w:val="center"/>
          </w:tcPr>
          <w:p>
            <w:pPr>
              <w:spacing w:after="20"/>
            </w:pPr>
            <w:r/>
            <w:r>
              <w:rPr>
                <w:b w:val="0"/>
                <w:sz w:val="17"/>
              </w:rPr>
              <w:t>Starts PySpark/AWS Glue processing for Silver and Gold.</w:t>
            </w:r>
          </w:p>
        </w:tc>
      </w:tr>
      <w:tr>
        <w:tc>
          <w:tcPr>
            <w:tcW w:type="dxa" w:w="3312"/>
            <w:vAlign w:val="center"/>
          </w:tcPr>
          <w:p>
            <w:pPr>
              <w:spacing w:after="20"/>
            </w:pPr>
            <w:r/>
            <w:r>
              <w:rPr>
                <w:b w:val="0"/>
                <w:sz w:val="17"/>
              </w:rPr>
              <w:t>refresh_snowflake_raw</w:t>
            </w:r>
          </w:p>
        </w:tc>
        <w:tc>
          <w:tcPr>
            <w:tcW w:type="dxa" w:w="3312"/>
            <w:vAlign w:val="center"/>
          </w:tcPr>
          <w:p>
            <w:pPr>
              <w:spacing w:after="20"/>
            </w:pPr>
            <w:r/>
            <w:r>
              <w:rPr>
                <w:b w:val="0"/>
                <w:sz w:val="17"/>
              </w:rPr>
              <w:t>PythonOperator + SnowflakeHook</w:t>
            </w:r>
          </w:p>
        </w:tc>
        <w:tc>
          <w:tcPr>
            <w:tcW w:type="dxa" w:w="3312"/>
            <w:vAlign w:val="center"/>
          </w:tcPr>
          <w:p>
            <w:pPr>
              <w:spacing w:after="20"/>
            </w:pPr>
            <w:r/>
            <w:r>
              <w:rPr>
                <w:b w:val="0"/>
                <w:sz w:val="17"/>
              </w:rPr>
              <w:t>Loads curated datasets, validates row counts, then safely replaces target tables.</w:t>
            </w:r>
          </w:p>
        </w:tc>
      </w:tr>
      <w:tr>
        <w:tc>
          <w:tcPr>
            <w:tcW w:type="dxa" w:w="3312"/>
            <w:vAlign w:val="center"/>
          </w:tcPr>
          <w:p>
            <w:pPr>
              <w:spacing w:after="20"/>
            </w:pPr>
            <w:r/>
            <w:r>
              <w:rPr>
                <w:b w:val="0"/>
                <w:sz w:val="17"/>
              </w:rPr>
              <w:t>run_dbt_transformations</w:t>
            </w:r>
          </w:p>
        </w:tc>
        <w:tc>
          <w:tcPr>
            <w:tcW w:type="dxa" w:w="3312"/>
            <w:vAlign w:val="center"/>
          </w:tcPr>
          <w:p>
            <w:pPr>
              <w:spacing w:after="20"/>
            </w:pPr>
            <w:r/>
            <w:r>
              <w:rPr>
                <w:b w:val="0"/>
                <w:sz w:val="17"/>
              </w:rPr>
              <w:t>PythonOperator</w:t>
            </w:r>
          </w:p>
        </w:tc>
        <w:tc>
          <w:tcPr>
            <w:tcW w:type="dxa" w:w="3312"/>
            <w:vAlign w:val="center"/>
          </w:tcPr>
          <w:p>
            <w:pPr>
              <w:spacing w:after="20"/>
            </w:pPr>
            <w:r/>
            <w:r>
              <w:rPr>
                <w:b w:val="0"/>
                <w:sz w:val="17"/>
              </w:rPr>
              <w:t>Runs dbt build using connection-configured credentials.</w:t>
            </w:r>
          </w:p>
        </w:tc>
      </w:tr>
      <w:tr>
        <w:tc>
          <w:tcPr>
            <w:tcW w:type="dxa" w:w="3312"/>
            <w:vAlign w:val="center"/>
          </w:tcPr>
          <w:p>
            <w:pPr>
              <w:spacing w:after="20"/>
            </w:pPr>
            <w:r/>
            <w:r>
              <w:rPr>
                <w:b w:val="0"/>
                <w:sz w:val="17"/>
              </w:rPr>
              <w:t>notify_bi_dashboard</w:t>
            </w:r>
          </w:p>
        </w:tc>
        <w:tc>
          <w:tcPr>
            <w:tcW w:type="dxa" w:w="3312"/>
            <w:vAlign w:val="center"/>
          </w:tcPr>
          <w:p>
            <w:pPr>
              <w:spacing w:after="20"/>
            </w:pPr>
            <w:r/>
            <w:r>
              <w:rPr>
                <w:b w:val="0"/>
                <w:sz w:val="17"/>
              </w:rPr>
              <w:t>BashOperator</w:t>
            </w:r>
          </w:p>
        </w:tc>
        <w:tc>
          <w:tcPr>
            <w:tcW w:type="dxa" w:w="3312"/>
            <w:vAlign w:val="center"/>
          </w:tcPr>
          <w:p>
            <w:pPr>
              <w:spacing w:after="20"/>
            </w:pPr>
            <w:r/>
            <w:r>
              <w:rPr>
                <w:b w:val="0"/>
                <w:sz w:val="17"/>
              </w:rPr>
              <w:t>Provides the documented downstream notification/logging step.</w:t>
            </w:r>
          </w:p>
        </w:tc>
      </w:tr>
    </w:tbl>
    <w:p/>
    <w:p>
      <w:pPr>
        <w:pStyle w:val="Heading2"/>
        <w:keepNext/>
      </w:pPr>
      <w:r>
        <w:t>11.4 Connections and credentials</w:t>
      </w:r>
    </w:p>
    <w:p>
      <w:r>
        <w:t>The source documentation names aws_default for AWS S3/Glue and snowflake_default for Snowflake. Credentials should be stored in Airflow connection configuration or a secrets backend, not embedded in DAG code or shell commands. Do not copy real account identifiers, passwords, tokens, or keys into this document or public repository.</w:t>
      </w:r>
    </w:p>
    <w:p>
      <w:pPr>
        <w:pStyle w:val="Heading2"/>
        <w:keepNext/>
      </w:pPr>
      <w:r>
        <w:t>11.5 Operational commands</w:t>
      </w:r>
    </w:p>
    <w:p>
      <w:pPr>
        <w:spacing w:before="60" w:after="140"/>
        <w:ind w:left="259" w:right="173"/>
        <w:shd w:fill="F2F2F2"/>
      </w:pPr>
      <w:r>
        <w:rPr>
          <w:rFonts w:ascii="Consolas" w:hAnsi="Consolas"/>
          <w:sz w:val="16"/>
        </w:rPr>
        <w:t>cd ~/healthcare-iot-handoff/airflow</w:t>
        <w:br/>
        <w:t>docker compose -f docker-compose.yaml up -d</w:t>
        <w:br/>
        <w:br/>
        <w:t># Trigger the documented DAG</w:t>
        <w:br/>
        <w:t>docker compose -f docker-compose.yaml exec airflow-webserver \</w:t>
        <w:br/>
        <w:t xml:space="preserve">  airflow dags trigger lakehouse_end_to_end_pipeline</w:t>
        <w:br/>
        <w:br/>
        <w:t># Stop services when finished</w:t>
        <w:br/>
        <w:t>docker compose -f docker-compose.yaml down</w:t>
      </w:r>
    </w:p>
    <w:p>
      <w:r>
        <w:t>Paths above follow the supplied runbook and may need adjustment for the local checkout. Start the Kafka producer and S3 bridge in separate terminals as documented, then verify that new objects appear under the exact prefixes monitored by the S3KeySensor.</w:t>
      </w:r>
    </w:p>
    <w:p>
      <w:pPr>
        <w:pStyle w:val="Heading1"/>
        <w:keepNext/>
      </w:pPr>
      <w:r>
        <w:t>12. Power BI Analytics</w:t>
      </w:r>
    </w:p>
    <w:p>
      <w:r>
        <w:t>Power BI connects to Snowflake analytical models and presents three core dashboard pages. The dashboard should be labeled as synthetic monitoring data and should clearly define every metric and anomaly rule.</w:t>
      </w:r>
    </w:p>
    <w:p>
      <w:pPr>
        <w:pStyle w:val="Heading2"/>
        <w:keepNext/>
      </w:pPr>
      <w:r>
        <w:t>12.1 Hospital Operations Overview</w:t>
      </w:r>
    </w:p>
    <w:p>
      <w:pPr>
        <w:pStyle w:val="ListBullet"/>
        <w:spacing w:after="40"/>
      </w:pPr>
      <w:r>
        <w:t>Active admissions / admitted patients.</w:t>
      </w:r>
    </w:p>
    <w:p>
      <w:pPr>
        <w:pStyle w:val="ListBullet"/>
        <w:spacing w:after="40"/>
      </w:pPr>
      <w:r>
        <w:t>Bed occupancy by ward and over time.</w:t>
      </w:r>
    </w:p>
    <w:p>
      <w:pPr>
        <w:pStyle w:val="ListBullet"/>
        <w:spacing w:after="40"/>
      </w:pPr>
      <w:r>
        <w:t>Online-device counts and device-status distribution.</w:t>
      </w:r>
    </w:p>
    <w:p>
      <w:pPr>
        <w:pStyle w:val="ListBullet"/>
        <w:spacing w:after="40"/>
      </w:pPr>
      <w:r>
        <w:t>Simulated anomaly counts over time.</w:t>
      </w:r>
    </w:p>
    <w:p>
      <w:pPr>
        <w:pStyle w:val="Heading2"/>
        <w:keepNext/>
      </w:pPr>
      <w:r>
        <w:t>12.2 Vital Readings and Anomaly Analysis</w:t>
      </w:r>
    </w:p>
    <w:p>
      <w:pPr>
        <w:pStyle w:val="ListBullet"/>
        <w:spacing w:after="40"/>
      </w:pPr>
      <w:r>
        <w:t>Heart-rate and SpO₂ trends.</w:t>
      </w:r>
    </w:p>
    <w:p>
      <w:pPr>
        <w:pStyle w:val="ListBullet"/>
        <w:spacing w:after="40"/>
      </w:pPr>
      <w:r>
        <w:t>Reading counts by metric type.</w:t>
      </w:r>
    </w:p>
    <w:p>
      <w:pPr>
        <w:pStyle w:val="ListBullet"/>
        <w:spacing w:after="40"/>
      </w:pPr>
      <w:r>
        <w:t>Simulated anomaly windows and counts by category.</w:t>
      </w:r>
    </w:p>
    <w:p>
      <w:pPr>
        <w:pStyle w:val="ListBullet"/>
        <w:spacing w:after="40"/>
      </w:pPr>
      <w:r>
        <w:t>Filters for date, ward, device, and other supported dimensions.</w:t>
      </w:r>
    </w:p>
    <w:p>
      <w:pPr>
        <w:pStyle w:val="Heading2"/>
        <w:keepNext/>
      </w:pPr>
      <w:r>
        <w:t>12.3 IoT Device Health</w:t>
      </w:r>
    </w:p>
    <w:p>
      <w:pPr>
        <w:pStyle w:val="ListBullet"/>
        <w:spacing w:after="40"/>
      </w:pPr>
      <w:r>
        <w:t>Device uptime or operational-time percentage, using a documented definition.</w:t>
      </w:r>
    </w:p>
    <w:p>
      <w:pPr>
        <w:pStyle w:val="ListBullet"/>
        <w:spacing w:after="40"/>
      </w:pPr>
      <w:r>
        <w:t>Disconnect and sensor-error events.</w:t>
      </w:r>
    </w:p>
    <w:p>
      <w:pPr>
        <w:pStyle w:val="ListBullet"/>
        <w:spacing w:after="40"/>
      </w:pPr>
      <w:r>
        <w:t>Time since last valid reading.</w:t>
      </w:r>
    </w:p>
    <w:p>
      <w:pPr>
        <w:pStyle w:val="ListBullet"/>
        <w:spacing w:after="40"/>
      </w:pPr>
      <w:r>
        <w:t>Expected-versus-received readings where reporting intervals are known.</w:t>
      </w:r>
    </w:p>
    <w:p>
      <w:pPr>
        <w:pStyle w:val="ListBullet"/>
        <w:spacing w:after="40"/>
      </w:pPr>
      <w:r>
        <w:t>Device reliability comparisons.</w:t>
      </w:r>
    </w:p>
    <w:p>
      <w:pPr>
        <w:pStyle w:val="Heading2"/>
        <w:keepNext/>
      </w:pPr>
      <w:r>
        <w:t>12.4 Metric definitions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B4C7E7"/>
          </w:tcPr>
          <w:p>
            <w:pPr>
              <w:spacing w:after="20"/>
            </w:pPr>
            <w:r/>
            <w:r>
              <w:rPr>
                <w:b/>
                <w:sz w:val="17"/>
              </w:rPr>
              <w:t>Metric</w:t>
            </w:r>
          </w:p>
        </w:tc>
        <w:tc>
          <w:tcPr>
            <w:tcW w:type="dxa" w:w="4968"/>
            <w:vAlign w:val="center"/>
            <w:shd w:fill="B4C7E7"/>
          </w:tcPr>
          <w:p>
            <w:pPr>
              <w:spacing w:after="20"/>
            </w:pPr>
            <w:r/>
            <w:r>
              <w:rPr>
                <w:b/>
                <w:sz w:val="17"/>
              </w:rPr>
              <w:t>Definition to document</w:t>
            </w:r>
          </w:p>
        </w:tc>
      </w:tr>
      <w:tr>
        <w:tc>
          <w:tcPr>
            <w:tcW w:type="dxa" w:w="4968"/>
            <w:vAlign w:val="center"/>
          </w:tcPr>
          <w:p>
            <w:pPr>
              <w:spacing w:after="20"/>
            </w:pPr>
            <w:r/>
            <w:r>
              <w:rPr>
                <w:b w:val="0"/>
                <w:sz w:val="17"/>
              </w:rPr>
              <w:t>Bed occupancy</w:t>
            </w:r>
          </w:p>
        </w:tc>
        <w:tc>
          <w:tcPr>
            <w:tcW w:type="dxa" w:w="4968"/>
            <w:vAlign w:val="center"/>
          </w:tcPr>
          <w:p>
            <w:pPr>
              <w:spacing w:after="20"/>
            </w:pPr>
            <w:r/>
            <w:r>
              <w:rPr>
                <w:b w:val="0"/>
                <w:sz w:val="17"/>
              </w:rPr>
              <w:t>Occupied beds divided by the chosen eligible/staffed bed denominator at the selected time.</w:t>
            </w:r>
          </w:p>
        </w:tc>
      </w:tr>
      <w:tr>
        <w:tc>
          <w:tcPr>
            <w:tcW w:type="dxa" w:w="4968"/>
            <w:vAlign w:val="center"/>
          </w:tcPr>
          <w:p>
            <w:pPr>
              <w:spacing w:after="20"/>
            </w:pPr>
            <w:r/>
            <w:r>
              <w:rPr>
                <w:b w:val="0"/>
                <w:sz w:val="17"/>
              </w:rPr>
              <w:t>Device uptime</w:t>
            </w:r>
          </w:p>
        </w:tc>
        <w:tc>
          <w:tcPr>
            <w:tcW w:type="dxa" w:w="4968"/>
            <w:vAlign w:val="center"/>
          </w:tcPr>
          <w:p>
            <w:pPr>
              <w:spacing w:after="20"/>
            </w:pPr>
            <w:r/>
            <w:r>
              <w:rPr>
                <w:b w:val="0"/>
                <w:sz w:val="17"/>
              </w:rPr>
              <w:t>Time classified as operational divided by eligible observed time.</w:t>
            </w:r>
          </w:p>
        </w:tc>
      </w:tr>
      <w:tr>
        <w:tc>
          <w:tcPr>
            <w:tcW w:type="dxa" w:w="4968"/>
            <w:vAlign w:val="center"/>
          </w:tcPr>
          <w:p>
            <w:pPr>
              <w:spacing w:after="20"/>
            </w:pPr>
            <w:r/>
            <w:r>
              <w:rPr>
                <w:b w:val="0"/>
                <w:sz w:val="17"/>
              </w:rPr>
              <w:t>Missing readings</w:t>
            </w:r>
          </w:p>
        </w:tc>
        <w:tc>
          <w:tcPr>
            <w:tcW w:type="dxa" w:w="4968"/>
            <w:vAlign w:val="center"/>
          </w:tcPr>
          <w:p>
            <w:pPr>
              <w:spacing w:after="20"/>
            </w:pPr>
            <w:r/>
            <w:r>
              <w:rPr>
                <w:b w:val="0"/>
                <w:sz w:val="17"/>
              </w:rPr>
              <w:t>Expected readings minus valid readings, based on a configured device reporting interval.</w:t>
            </w:r>
          </w:p>
        </w:tc>
      </w:tr>
      <w:tr>
        <w:tc>
          <w:tcPr>
            <w:tcW w:type="dxa" w:w="4968"/>
            <w:vAlign w:val="center"/>
          </w:tcPr>
          <w:p>
            <w:pPr>
              <w:spacing w:after="20"/>
            </w:pPr>
            <w:r/>
            <w:r>
              <w:rPr>
                <w:b w:val="0"/>
                <w:sz w:val="17"/>
              </w:rPr>
              <w:t>Anomaly count</w:t>
            </w:r>
          </w:p>
        </w:tc>
        <w:tc>
          <w:tcPr>
            <w:tcW w:type="dxa" w:w="4968"/>
            <w:vAlign w:val="center"/>
          </w:tcPr>
          <w:p>
            <w:pPr>
              <w:spacing w:after="20"/>
            </w:pPr>
            <w:r/>
            <w:r>
              <w:rPr>
                <w:b w:val="0"/>
                <w:sz w:val="17"/>
              </w:rPr>
              <w:t>Count of records or scenarios meeting explicitly stated simulation rules; distinguish event counts from scenario counts.</w:t>
            </w:r>
          </w:p>
        </w:tc>
      </w:tr>
      <w:tr>
        <w:tc>
          <w:tcPr>
            <w:tcW w:type="dxa" w:w="4968"/>
            <w:vAlign w:val="center"/>
          </w:tcPr>
          <w:p>
            <w:pPr>
              <w:spacing w:after="20"/>
            </w:pPr>
            <w:r/>
            <w:r>
              <w:rPr>
                <w:b w:val="0"/>
                <w:sz w:val="17"/>
              </w:rPr>
              <w:t>Pipeline latency</w:t>
            </w:r>
          </w:p>
        </w:tc>
        <w:tc>
          <w:tcPr>
            <w:tcW w:type="dxa" w:w="4968"/>
            <w:vAlign w:val="center"/>
          </w:tcPr>
          <w:p>
            <w:pPr>
              <w:spacing w:after="20"/>
            </w:pPr>
            <w:r/>
            <w:r>
              <w:rPr>
                <w:b w:val="0"/>
                <w:sz w:val="17"/>
              </w:rPr>
              <w:t>Ingestion/warehouse arrival time minus event time, with consistent timezone handling.</w:t>
            </w:r>
          </w:p>
        </w:tc>
      </w:tr>
    </w:tbl>
    <w:p/>
    <w:p>
      <w:r>
        <w:t>For a straightforward demonstration, Import mode with a refresh after pipeline execution is a reasonable starting point. Near-real-time behavior should not be claimed unless the full S3, warehouse, dbt, and Power BI refresh chain has been measured.</w:t>
      </w:r>
    </w:p>
    <w:p>
      <w:pPr>
        <w:pStyle w:val="Heading1"/>
        <w:keepNext/>
      </w:pPr>
      <w:r>
        <w:t>13. Repository Structure</w:t>
      </w:r>
    </w:p>
    <w:p>
      <w:r>
        <w:t>The public GitHub repository is the implementation home for the project:</w:t>
      </w:r>
    </w:p>
    <w:p>
      <w:r>
        <w:t>https://github.com/yousefmichael/healthcare-iot-big-data-pipeline</w:t>
      </w:r>
    </w:p>
    <w:p>
      <w:pPr>
        <w:spacing w:before="60" w:after="140"/>
        <w:ind w:left="259" w:right="173"/>
        <w:shd w:fill="F2F2F2"/>
      </w:pPr>
      <w:r>
        <w:rPr>
          <w:rFonts w:ascii="Consolas" w:hAnsi="Consolas"/>
          <w:sz w:val="16"/>
        </w:rPr>
        <w:t>healthcare-iot-big-data-pipeline/</w:t>
        <w:br/>
        <w:t>├── .github/workflows/       # GitHub workflow configuration</w:t>
        <w:br/>
        <w:t>├── airflow/                 # Airflow DAGs and orchestration assets</w:t>
        <w:br/>
        <w:t>├── data_generator/          # Batch generator and streaming producer</w:t>
        <w:br/>
        <w:t>├── docker/                  # Container/build configuration</w:t>
        <w:br/>
        <w:t>├── glue_pyspark/jobs/       # AWS Glue / PySpark processing jobs</w:t>
        <w:br/>
        <w:t>├── .env.example             # Placeholder configuration template</w:t>
        <w:br/>
        <w:t>├── .gitignore</w:t>
        <w:br/>
        <w:t>└── README.md</w:t>
      </w:r>
    </w:p>
    <w:p>
      <w:r>
        <w:t>The repository README also documents the architecture, Medallion layers, warehouse/dbt modeling, Power BI pages, runbook, testing, and strategic clinical recommendations. The folder list above reflects the public repository view at the time this document was prepared; use GitHub for the latest file inventory.</w:t>
      </w:r>
    </w:p>
    <w:p>
      <w:pPr>
        <w:pStyle w:val="Heading2"/>
        <w:keepNext/>
      </w:pPr>
      <w:r>
        <w:t>13.1 Recommended documentation placement</w:t>
      </w:r>
    </w:p>
    <w:p>
      <w:r>
        <w:t>Add this consolidated document to the repository as docs/PROJECT_DOCUMENTATION.md, or use it as the source for the README and keep the README shorter with links to detailed documentation. Keep the README's quick-start instructions aligned with the actual file paths and commands.</w:t>
      </w:r>
    </w:p>
    <w:p>
      <w:pPr>
        <w:pStyle w:val="Heading1"/>
        <w:keepNext/>
      </w:pPr>
      <w:r>
        <w:t>14. Execution Runbook</w:t>
      </w:r>
    </w:p>
    <w:p>
      <w:pPr>
        <w:pStyle w:val="Heading2"/>
        <w:keepNext/>
      </w:pPr>
      <w:r>
        <w:t>14.1 Before starting</w:t>
      </w:r>
    </w:p>
    <w:p>
      <w:pPr>
        <w:pStyle w:val="ListNumber"/>
        <w:spacing w:after="40"/>
      </w:pPr>
      <w:r>
        <w:t>Check Docker Desktop/WSL2, Python, AWS access, S3 bucket access, Snowflake access, and dbt dependencies.</w:t>
      </w:r>
    </w:p>
    <w:p>
      <w:pPr>
        <w:pStyle w:val="ListNumber"/>
        <w:spacing w:after="40"/>
      </w:pPr>
      <w:r>
        <w:t>Review .env.example and create local environment configuration without committing real secrets.</w:t>
      </w:r>
    </w:p>
    <w:p>
      <w:pPr>
        <w:pStyle w:val="ListNumber"/>
        <w:spacing w:after="40"/>
      </w:pPr>
      <w:r>
        <w:t>Confirm S3 prefixes, Kafka topic names, Airflow connection IDs, Glue job names, Snowflake stage names, and dbt project path.</w:t>
      </w:r>
    </w:p>
    <w:p>
      <w:pPr>
        <w:pStyle w:val="ListNumber"/>
        <w:spacing w:after="40"/>
      </w:pPr>
      <w:r>
        <w:t>Verify that the synthetic-data generator output directory is excluded from Git if it contains large generated datasets.</w:t>
      </w:r>
    </w:p>
    <w:p>
      <w:pPr>
        <w:pStyle w:val="Heading2"/>
        <w:keepNext/>
      </w:pPr>
      <w:r>
        <w:t>14.2 Run sequence</w:t>
      </w:r>
    </w:p>
    <w:p>
      <w:pPr>
        <w:pStyle w:val="ListNumber"/>
        <w:spacing w:after="40"/>
      </w:pPr>
      <w:r>
        <w:t>Start the Airflow/Docker infrastructure from the correct project folder.</w:t>
      </w:r>
    </w:p>
    <w:p>
      <w:pPr>
        <w:pStyle w:val="ListNumber"/>
        <w:spacing w:after="40"/>
      </w:pPr>
      <w:r>
        <w:t>Start the Kafka producer and the S3 streaming bridge (or the configured Kafka Connect S3 Sink, depending on the active deployment).</w:t>
      </w:r>
    </w:p>
    <w:p>
      <w:pPr>
        <w:pStyle w:val="ListNumber"/>
        <w:spacing w:after="40"/>
      </w:pPr>
      <w:r>
        <w:t>Run or trigger the batch generator and upload batch data to S3.</w:t>
      </w:r>
    </w:p>
    <w:p>
      <w:pPr>
        <w:pStyle w:val="ListNumber"/>
        <w:spacing w:after="40"/>
      </w:pPr>
      <w:r>
        <w:t>Verify that both expected streaming prefixes contain objects so the S3KeySensor can succeed.</w:t>
      </w:r>
    </w:p>
    <w:p>
      <w:pPr>
        <w:pStyle w:val="ListNumber"/>
        <w:spacing w:after="40"/>
      </w:pPr>
      <w:r>
        <w:t>Trigger lakehouse_end_to_end_pipeline in Airflow.</w:t>
      </w:r>
    </w:p>
    <w:p>
      <w:pPr>
        <w:pStyle w:val="ListNumber"/>
        <w:spacing w:after="40"/>
      </w:pPr>
      <w:r>
        <w:t>Monitor each task and inspect logs for generator, S3, Glue/PySpark, Snowflake, and dbt errors.</w:t>
      </w:r>
    </w:p>
    <w:p>
      <w:pPr>
        <w:pStyle w:val="ListNumber"/>
        <w:spacing w:after="40"/>
      </w:pPr>
      <w:r>
        <w:t>Verify Silver and Gold output paths and inspect quarantine counts/reasons.</w:t>
      </w:r>
    </w:p>
    <w:p>
      <w:pPr>
        <w:pStyle w:val="ListNumber"/>
        <w:spacing w:after="40"/>
      </w:pPr>
      <w:r>
        <w:t>Confirm Snowflake row counts and ensure no zero-row replacement gate failed.</w:t>
      </w:r>
    </w:p>
    <w:p>
      <w:pPr>
        <w:pStyle w:val="ListNumber"/>
        <w:spacing w:after="40"/>
      </w:pPr>
      <w:r>
        <w:t>Confirm dbt models and tests complete successfully.</w:t>
      </w:r>
    </w:p>
    <w:p>
      <w:pPr>
        <w:pStyle w:val="ListNumber"/>
        <w:spacing w:after="40"/>
      </w:pPr>
      <w:r>
        <w:t>Refresh the Power BI semantic model and validate key dashboard measures.</w:t>
      </w:r>
    </w:p>
    <w:p>
      <w:pPr>
        <w:pStyle w:val="Heading2"/>
        <w:keepNext/>
      </w:pPr>
      <w:r>
        <w:t>14.3 Verification checklist</w:t>
      </w:r>
    </w:p>
    <w:p>
      <w:pPr>
        <w:pStyle w:val="ListBullet"/>
        <w:spacing w:after="40"/>
      </w:pPr>
      <w:r>
        <w:t>☐ Kafka broker and producer are healthy; messages appear in the expected topics.</w:t>
      </w:r>
    </w:p>
    <w:p>
      <w:pPr>
        <w:pStyle w:val="ListBullet"/>
        <w:spacing w:after="40"/>
      </w:pPr>
      <w:r>
        <w:t>☐ S3 streaming files arrive under the exact prefixes monitored by Airflow.</w:t>
      </w:r>
    </w:p>
    <w:p>
      <w:pPr>
        <w:pStyle w:val="ListBullet"/>
        <w:spacing w:after="40"/>
      </w:pPr>
      <w:r>
        <w:t>☐ Glue processing succeeds and Silver/Gold outputs are non-empty where expected.</w:t>
      </w:r>
    </w:p>
    <w:p>
      <w:pPr>
        <w:pStyle w:val="ListBullet"/>
        <w:spacing w:after="40"/>
      </w:pPr>
      <w:r>
        <w:t>☐ Quarantine records include useful failure reasons and raw context.</w:t>
      </w:r>
    </w:p>
    <w:p>
      <w:pPr>
        <w:pStyle w:val="ListBullet"/>
        <w:spacing w:after="40"/>
      </w:pPr>
      <w:r>
        <w:t>☐ Snowflake load counts are plausible and table replacement guards pass.</w:t>
      </w:r>
    </w:p>
    <w:p>
      <w:pPr>
        <w:pStyle w:val="ListBullet"/>
        <w:spacing w:after="40"/>
      </w:pPr>
      <w:r>
        <w:t>☐ dbt build succeeds and test results are reviewed rather than ignored.</w:t>
      </w:r>
    </w:p>
    <w:p>
      <w:pPr>
        <w:pStyle w:val="ListBullet"/>
        <w:spacing w:after="40"/>
      </w:pPr>
      <w:r>
        <w:t>☐ Power BI dashboard refresh completes and metrics agree with warehouse queries.</w:t>
      </w:r>
    </w:p>
    <w:p>
      <w:pPr>
        <w:pStyle w:val="Heading2"/>
        <w:keepNext/>
      </w:pPr>
      <w:r>
        <w:t>14.4 Troubleshooting</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B4C7E7"/>
          </w:tcPr>
          <w:p>
            <w:pPr>
              <w:spacing w:after="20"/>
            </w:pPr>
            <w:r/>
            <w:r>
              <w:rPr>
                <w:b/>
                <w:sz w:val="17"/>
              </w:rPr>
              <w:t>Symptom</w:t>
            </w:r>
          </w:p>
        </w:tc>
        <w:tc>
          <w:tcPr>
            <w:tcW w:type="dxa" w:w="4968"/>
            <w:vAlign w:val="center"/>
            <w:shd w:fill="B4C7E7"/>
          </w:tcPr>
          <w:p>
            <w:pPr>
              <w:spacing w:after="20"/>
            </w:pPr>
            <w:r/>
            <w:r>
              <w:rPr>
                <w:b/>
                <w:sz w:val="17"/>
              </w:rPr>
              <w:t>Likely check</w:t>
            </w:r>
          </w:p>
        </w:tc>
      </w:tr>
      <w:tr>
        <w:tc>
          <w:tcPr>
            <w:tcW w:type="dxa" w:w="4968"/>
            <w:vAlign w:val="center"/>
          </w:tcPr>
          <w:p>
            <w:pPr>
              <w:spacing w:after="20"/>
            </w:pPr>
            <w:r/>
            <w:r>
              <w:rPr>
                <w:b w:val="0"/>
                <w:sz w:val="17"/>
              </w:rPr>
              <w:t>Airflow sensor waits indefinitely</w:t>
            </w:r>
          </w:p>
        </w:tc>
        <w:tc>
          <w:tcPr>
            <w:tcW w:type="dxa" w:w="4968"/>
            <w:vAlign w:val="center"/>
          </w:tcPr>
          <w:p>
            <w:pPr>
              <w:spacing w:after="20"/>
            </w:pPr>
            <w:r/>
            <w:r>
              <w:rPr>
                <w:b w:val="0"/>
                <w:sz w:val="17"/>
              </w:rPr>
              <w:t>Confirm producer/bridge is running, S3 objects exist, and the sensor prefix exactly matches the actual S3 path.</w:t>
            </w:r>
          </w:p>
        </w:tc>
      </w:tr>
      <w:tr>
        <w:tc>
          <w:tcPr>
            <w:tcW w:type="dxa" w:w="4968"/>
            <w:vAlign w:val="center"/>
          </w:tcPr>
          <w:p>
            <w:pPr>
              <w:spacing w:after="20"/>
            </w:pPr>
            <w:r/>
            <w:r>
              <w:rPr>
                <w:b w:val="0"/>
                <w:sz w:val="17"/>
              </w:rPr>
              <w:t>No S3 streaming files</w:t>
            </w:r>
          </w:p>
        </w:tc>
        <w:tc>
          <w:tcPr>
            <w:tcW w:type="dxa" w:w="4968"/>
            <w:vAlign w:val="center"/>
          </w:tcPr>
          <w:p>
            <w:pPr>
              <w:spacing w:after="20"/>
            </w:pPr>
            <w:r/>
            <w:r>
              <w:rPr>
                <w:b w:val="0"/>
                <w:sz w:val="17"/>
              </w:rPr>
              <w:t>Check Kafka topic names, connector/bridge status, AWS permissions, region, bucket, and flush/rotation configuration.</w:t>
            </w:r>
          </w:p>
        </w:tc>
      </w:tr>
      <w:tr>
        <w:tc>
          <w:tcPr>
            <w:tcW w:type="dxa" w:w="4968"/>
            <w:vAlign w:val="center"/>
          </w:tcPr>
          <w:p>
            <w:pPr>
              <w:spacing w:after="20"/>
            </w:pPr>
            <w:r/>
            <w:r>
              <w:rPr>
                <w:b w:val="0"/>
                <w:sz w:val="17"/>
              </w:rPr>
              <w:t>Glue job fails on schema or path</w:t>
            </w:r>
          </w:p>
        </w:tc>
        <w:tc>
          <w:tcPr>
            <w:tcW w:type="dxa" w:w="4968"/>
            <w:vAlign w:val="center"/>
          </w:tcPr>
          <w:p>
            <w:pPr>
              <w:spacing w:after="20"/>
            </w:pPr>
            <w:r/>
            <w:r>
              <w:rPr>
                <w:b w:val="0"/>
                <w:sz w:val="17"/>
              </w:rPr>
              <w:t>Compare actual CSV/JSON columns and hyphen/underscore folder names with the Glue script.</w:t>
            </w:r>
          </w:p>
        </w:tc>
      </w:tr>
      <w:tr>
        <w:tc>
          <w:tcPr>
            <w:tcW w:type="dxa" w:w="4968"/>
            <w:vAlign w:val="center"/>
          </w:tcPr>
          <w:p>
            <w:pPr>
              <w:spacing w:after="20"/>
            </w:pPr>
            <w:r/>
            <w:r>
              <w:rPr>
                <w:b w:val="0"/>
                <w:sz w:val="17"/>
              </w:rPr>
              <w:t>Unexpectedly empty Silver/Gold output</w:t>
            </w:r>
          </w:p>
        </w:tc>
        <w:tc>
          <w:tcPr>
            <w:tcW w:type="dxa" w:w="4968"/>
            <w:vAlign w:val="center"/>
          </w:tcPr>
          <w:p>
            <w:pPr>
              <w:spacing w:after="20"/>
            </w:pPr>
            <w:r/>
            <w:r>
              <w:rPr>
                <w:b w:val="0"/>
                <w:sz w:val="17"/>
              </w:rPr>
              <w:t>Inspect source row counts, schema parsing, validation rules, and quarantine counts before rerunning.</w:t>
            </w:r>
          </w:p>
        </w:tc>
      </w:tr>
      <w:tr>
        <w:tc>
          <w:tcPr>
            <w:tcW w:type="dxa" w:w="4968"/>
            <w:vAlign w:val="center"/>
          </w:tcPr>
          <w:p>
            <w:pPr>
              <w:spacing w:after="20"/>
            </w:pPr>
            <w:r/>
            <w:r>
              <w:rPr>
                <w:b w:val="0"/>
                <w:sz w:val="17"/>
              </w:rPr>
              <w:t>Snowflake table replacement blocked</w:t>
            </w:r>
          </w:p>
        </w:tc>
        <w:tc>
          <w:tcPr>
            <w:tcW w:type="dxa" w:w="4968"/>
            <w:vAlign w:val="center"/>
          </w:tcPr>
          <w:p>
            <w:pPr>
              <w:spacing w:after="20"/>
            </w:pPr>
            <w:r/>
            <w:r>
              <w:rPr>
                <w:b w:val="0"/>
                <w:sz w:val="17"/>
              </w:rPr>
              <w:t>Review temporary-table counts and determine why a required dataset is empty.</w:t>
            </w:r>
          </w:p>
        </w:tc>
      </w:tr>
      <w:tr>
        <w:tc>
          <w:tcPr>
            <w:tcW w:type="dxa" w:w="4968"/>
            <w:vAlign w:val="center"/>
          </w:tcPr>
          <w:p>
            <w:pPr>
              <w:spacing w:after="20"/>
            </w:pPr>
            <w:r/>
            <w:r>
              <w:rPr>
                <w:b w:val="0"/>
                <w:sz w:val="17"/>
              </w:rPr>
              <w:t>dbt tests fail</w:t>
            </w:r>
          </w:p>
        </w:tc>
        <w:tc>
          <w:tcPr>
            <w:tcW w:type="dxa" w:w="4968"/>
            <w:vAlign w:val="center"/>
          </w:tcPr>
          <w:p>
            <w:pPr>
              <w:spacing w:after="20"/>
            </w:pPr>
            <w:r/>
            <w:r>
              <w:rPr>
                <w:b w:val="0"/>
                <w:sz w:val="17"/>
              </w:rPr>
              <w:t>Inspect failing model rows and test SQL; do not suppress a quality failure without a documented reason.</w:t>
            </w:r>
          </w:p>
        </w:tc>
      </w:tr>
      <w:tr>
        <w:tc>
          <w:tcPr>
            <w:tcW w:type="dxa" w:w="4968"/>
            <w:vAlign w:val="center"/>
          </w:tcPr>
          <w:p>
            <w:pPr>
              <w:spacing w:after="20"/>
            </w:pPr>
            <w:r/>
            <w:r>
              <w:rPr>
                <w:b w:val="0"/>
                <w:sz w:val="17"/>
              </w:rPr>
              <w:t>Power BI numbers do not match</w:t>
            </w:r>
          </w:p>
        </w:tc>
        <w:tc>
          <w:tcPr>
            <w:tcW w:type="dxa" w:w="4968"/>
            <w:vAlign w:val="center"/>
          </w:tcPr>
          <w:p>
            <w:pPr>
              <w:spacing w:after="20"/>
            </w:pPr>
            <w:r/>
            <w:r>
              <w:rPr>
                <w:b w:val="0"/>
                <w:sz w:val="17"/>
              </w:rPr>
              <w:t>Check refresh time, filters, model relationships, metric definitions, and source row counts.</w:t>
            </w:r>
          </w:p>
        </w:tc>
      </w:tr>
    </w:tbl>
    <w:p/>
    <w:p>
      <w:pPr>
        <w:pStyle w:val="Heading1"/>
        <w:keepNext/>
      </w:pPr>
      <w:r>
        <w:t>15. Security, Reliability and Limitations</w:t>
      </w:r>
    </w:p>
    <w:p>
      <w:pPr>
        <w:pStyle w:val="Heading2"/>
        <w:keepNext/>
      </w:pPr>
      <w:r>
        <w:t>15.1 Security</w:t>
      </w:r>
    </w:p>
    <w:p>
      <w:pPr>
        <w:pStyle w:val="ListBullet"/>
        <w:spacing w:after="40"/>
      </w:pPr>
      <w:r>
        <w:t>All patient and device data used for this project should be synthetic.</w:t>
      </w:r>
    </w:p>
    <w:p>
      <w:pPr>
        <w:pStyle w:val="ListBullet"/>
        <w:spacing w:after="40"/>
      </w:pPr>
      <w:r>
        <w:t>Never commit AWS credentials, Snowflake passwords, private keys, access tokens, or populated .env files.</w:t>
      </w:r>
    </w:p>
    <w:p>
      <w:pPr>
        <w:pStyle w:val="ListBullet"/>
        <w:spacing w:after="40"/>
      </w:pPr>
      <w:r>
        <w:t>Use least-privilege IAM and Snowflake roles.</w:t>
      </w:r>
    </w:p>
    <w:p>
      <w:pPr>
        <w:pStyle w:val="ListBullet"/>
        <w:spacing w:after="40"/>
      </w:pPr>
      <w:r>
        <w:t>Keep S3 private and avoid exposing quarantine data publicly.</w:t>
      </w:r>
    </w:p>
    <w:p>
      <w:pPr>
        <w:pStyle w:val="ListBullet"/>
        <w:spacing w:after="40"/>
      </w:pPr>
      <w:r>
        <w:t>Use placeholders in .env.example and rotate any credential accidentally exposed.</w:t>
      </w:r>
    </w:p>
    <w:p>
      <w:pPr>
        <w:pStyle w:val="Heading2"/>
        <w:keepNext/>
      </w:pPr>
      <w:r>
        <w:t>15.2 Reliability considerations</w:t>
      </w:r>
    </w:p>
    <w:p>
      <w:pPr>
        <w:pStyle w:val="ListBullet"/>
        <w:spacing w:after="40"/>
      </w:pPr>
      <w:r>
        <w:t>Use stable event IDs and deduplication to handle retries or repeated delivery.</w:t>
      </w:r>
    </w:p>
    <w:p>
      <w:pPr>
        <w:pStyle w:val="ListBullet"/>
        <w:spacing w:after="40"/>
      </w:pPr>
      <w:r>
        <w:t>Validate schema and row counts at stage boundaries.</w:t>
      </w:r>
    </w:p>
    <w:p>
      <w:pPr>
        <w:pStyle w:val="ListBullet"/>
        <w:spacing w:after="40"/>
      </w:pPr>
      <w:r>
        <w:t>Preserve raw input and quarantine evidence for replay and investigation.</w:t>
      </w:r>
    </w:p>
    <w:p>
      <w:pPr>
        <w:pStyle w:val="ListBullet"/>
        <w:spacing w:after="40"/>
      </w:pPr>
      <w:r>
        <w:t>Keep event and ingestion timestamps distinct where available.</w:t>
      </w:r>
    </w:p>
    <w:p>
      <w:pPr>
        <w:pStyle w:val="ListBullet"/>
        <w:spacing w:after="40"/>
      </w:pPr>
      <w:r>
        <w:t>Make the pipeline repeatable and document which tasks are safe to rerun.</w:t>
      </w:r>
    </w:p>
    <w:p>
      <w:pPr>
        <w:pStyle w:val="ListBullet"/>
        <w:spacing w:after="40"/>
      </w:pPr>
      <w:r>
        <w:t>Monitor AWS and Snowflake usage and avoid unnecessarily frequent or oversized workloads.</w:t>
      </w:r>
    </w:p>
    <w:p>
      <w:pPr>
        <w:pStyle w:val="Heading2"/>
        <w:keepNext/>
      </w:pPr>
      <w:r>
        <w:t>15.3 Limitations</w:t>
      </w:r>
    </w:p>
    <w:p>
      <w:pPr>
        <w:pStyle w:val="ListBullet"/>
        <w:spacing w:after="40"/>
      </w:pPr>
      <w:r>
        <w:t>The data is synthetic and does not represent real patients or validated clinical outcomes.</w:t>
      </w:r>
    </w:p>
    <w:p>
      <w:pPr>
        <w:pStyle w:val="ListBullet"/>
        <w:spacing w:after="40"/>
      </w:pPr>
      <w:r>
        <w:t>Configured anomaly thresholds are project rules, not universal clinical standards.</w:t>
      </w:r>
    </w:p>
    <w:p>
      <w:pPr>
        <w:pStyle w:val="ListBullet"/>
        <w:spacing w:after="40"/>
      </w:pPr>
      <w:r>
        <w:t>Streaming delivery is buffered and can be delayed by S3 file rotation, warehouse loading, dbt execution, and BI refresh.</w:t>
      </w:r>
    </w:p>
    <w:p>
      <w:pPr>
        <w:pStyle w:val="ListBullet"/>
        <w:spacing w:after="40"/>
      </w:pPr>
      <w:r>
        <w:t>Exact object paths and model counts may evolve; validate against the current repository and deployment.</w:t>
      </w:r>
    </w:p>
    <w:p>
      <w:pPr>
        <w:pStyle w:val="ListBullet"/>
        <w:spacing w:after="40"/>
      </w:pPr>
      <w:r>
        <w:t>Anomaly scenario labels are evaluation ground truth and should remain separated from raw incoming telemetry.</w:t>
      </w:r>
    </w:p>
    <w:p>
      <w:pPr>
        <w:pStyle w:val="Heading1"/>
        <w:keepNext/>
      </w:pPr>
      <w:r>
        <w:t>16. Demonstration Plan</w:t>
      </w:r>
    </w:p>
    <w:p>
      <w:r>
        <w:t>A clear live demonstration should show not only the final dashboard but also the controls that make the pipeline trustworthy.</w:t>
      </w:r>
    </w:p>
    <w:p>
      <w:pPr>
        <w:pStyle w:val="ListNumber"/>
        <w:spacing w:after="40"/>
      </w:pPr>
      <w:r>
        <w:t>Explain the dual-ingestion design and why the project generates both historical entities and live-style telemetry.</w:t>
      </w:r>
    </w:p>
    <w:p>
      <w:pPr>
        <w:pStyle w:val="ListNumber"/>
        <w:spacing w:after="40"/>
      </w:pPr>
      <w:r>
        <w:t>Show Kafka topics receiving vital readings and device status events.</w:t>
      </w:r>
    </w:p>
    <w:p>
      <w:pPr>
        <w:pStyle w:val="ListNumber"/>
        <w:spacing w:after="40"/>
      </w:pPr>
      <w:r>
        <w:t>Show raw objects arriving in the S3 Bronze prefixes.</w:t>
      </w:r>
    </w:p>
    <w:p>
      <w:pPr>
        <w:pStyle w:val="ListNumber"/>
        <w:spacing w:after="40"/>
      </w:pPr>
      <w:r>
        <w:t>Show Glue/PySpark validation and one example of a record routed to quarantine with a specific reason.</w:t>
      </w:r>
    </w:p>
    <w:p>
      <w:pPr>
        <w:pStyle w:val="ListNumber"/>
        <w:spacing w:after="40"/>
      </w:pPr>
      <w:r>
        <w:t>Show the Silver and Gold S3 outputs.</w:t>
      </w:r>
    </w:p>
    <w:p>
      <w:pPr>
        <w:pStyle w:val="ListNumber"/>
        <w:spacing w:after="40"/>
      </w:pPr>
      <w:r>
        <w:t>Show the Airflow DAG dependency graph and task logs.</w:t>
      </w:r>
    </w:p>
    <w:p>
      <w:pPr>
        <w:pStyle w:val="ListNumber"/>
        <w:spacing w:after="40"/>
      </w:pPr>
      <w:r>
        <w:t>Show Snowflake row-count validation and dbt model/test results.</w:t>
      </w:r>
    </w:p>
    <w:p>
      <w:pPr>
        <w:pStyle w:val="ListNumber"/>
        <w:spacing w:after="40"/>
      </w:pPr>
      <w:r>
        <w:t>Finish with the Power BI operations, vital-sign/anomaly, and device-health pages.</w:t>
      </w:r>
    </w:p>
    <w:p>
      <w:r>
        <w:t>For presentation clarity, highlight the generator's controlled anomalies and independent data-quality flaws, the Bronze/Silver/Gold separation, quarantine auditability, and the Airflow-to-Snowflake/dbt handoff.</w:t>
      </w:r>
    </w:p>
    <w:p>
      <w:pPr>
        <w:pStyle w:val="Heading1"/>
        <w:keepNext/>
      </w:pPr>
      <w:r>
        <w:t>17. Conclusion</w:t>
      </w:r>
    </w:p>
    <w:p>
      <w:r>
        <w:t>The Healthcare IoT Big Data Pipeline demonstrates a complete data-engineering lifecycle for synthetic hospital monitoring: data generation, batch and streaming ingestion, raw-data preservation, distributed validation, curated lakehouse storage, warehouse loading, dbt transformation and testing, workflow orchestration, and BI consumption. Its key engineering value is the integration of these stages with traceability and quality gates, rather than any clinical interpretation of the generated data.</w:t>
      </w:r>
    </w:p>
    <w:p>
      <w:r>
        <w:t>The GitHub repository should remain the source of truth for implementation details. Keep this consolidated document versioned with the code and update commands, folder names, model counts, and run instructions whenever the pipeline changes.</w:t>
      </w:r>
    </w:p>
    <w:p>
      <w:pPr>
        <w:pStyle w:val="Heading1"/>
        <w:keepNext/>
      </w:pPr>
      <w:r>
        <w:t>Appendix A. Key Dataset Reference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20"/>
            </w:pPr>
            <w:r/>
            <w:r>
              <w:rPr>
                <w:b/>
                <w:sz w:val="17"/>
              </w:rPr>
              <w:t>Dataset</w:t>
            </w:r>
          </w:p>
        </w:tc>
        <w:tc>
          <w:tcPr>
            <w:tcW w:type="dxa" w:w="3312"/>
            <w:vAlign w:val="center"/>
            <w:shd w:fill="B4C7E7"/>
          </w:tcPr>
          <w:p>
            <w:pPr>
              <w:spacing w:after="20"/>
            </w:pPr>
            <w:r/>
            <w:r>
              <w:rPr>
                <w:b/>
                <w:sz w:val="17"/>
              </w:rPr>
              <w:t>Primary identifier</w:t>
            </w:r>
          </w:p>
        </w:tc>
        <w:tc>
          <w:tcPr>
            <w:tcW w:type="dxa" w:w="3312"/>
            <w:vAlign w:val="center"/>
            <w:shd w:fill="B4C7E7"/>
          </w:tcPr>
          <w:p>
            <w:pPr>
              <w:spacing w:after="20"/>
            </w:pPr>
            <w:r/>
            <w:r>
              <w:rPr>
                <w:b/>
                <w:sz w:val="17"/>
              </w:rPr>
              <w:t>Important relationships / notes</w:t>
            </w:r>
          </w:p>
        </w:tc>
      </w:tr>
      <w:tr>
        <w:tc>
          <w:tcPr>
            <w:tcW w:type="dxa" w:w="3312"/>
            <w:vAlign w:val="center"/>
          </w:tcPr>
          <w:p>
            <w:pPr>
              <w:spacing w:after="20"/>
            </w:pPr>
            <w:r/>
            <w:r>
              <w:rPr>
                <w:b w:val="0"/>
                <w:sz w:val="17"/>
              </w:rPr>
              <w:t>wards</w:t>
            </w:r>
          </w:p>
        </w:tc>
        <w:tc>
          <w:tcPr>
            <w:tcW w:type="dxa" w:w="3312"/>
            <w:vAlign w:val="center"/>
          </w:tcPr>
          <w:p>
            <w:pPr>
              <w:spacing w:after="20"/>
            </w:pPr>
            <w:r/>
            <w:r>
              <w:rPr>
                <w:b w:val="0"/>
                <w:sz w:val="17"/>
              </w:rPr>
              <w:t>ward_id</w:t>
            </w:r>
          </w:p>
        </w:tc>
        <w:tc>
          <w:tcPr>
            <w:tcW w:type="dxa" w:w="3312"/>
            <w:vAlign w:val="center"/>
          </w:tcPr>
          <w:p>
            <w:pPr>
              <w:spacing w:after="20"/>
            </w:pPr>
            <w:r/>
            <w:r>
              <w:rPr>
                <w:b w:val="0"/>
                <w:sz w:val="17"/>
              </w:rPr>
              <w:t>Parent of beds.</w:t>
            </w:r>
          </w:p>
        </w:tc>
      </w:tr>
      <w:tr>
        <w:tc>
          <w:tcPr>
            <w:tcW w:type="dxa" w:w="3312"/>
            <w:vAlign w:val="center"/>
          </w:tcPr>
          <w:p>
            <w:pPr>
              <w:spacing w:after="20"/>
            </w:pPr>
            <w:r/>
            <w:r>
              <w:rPr>
                <w:b w:val="0"/>
                <w:sz w:val="17"/>
              </w:rPr>
              <w:t>beds</w:t>
            </w:r>
          </w:p>
        </w:tc>
        <w:tc>
          <w:tcPr>
            <w:tcW w:type="dxa" w:w="3312"/>
            <w:vAlign w:val="center"/>
          </w:tcPr>
          <w:p>
            <w:pPr>
              <w:spacing w:after="20"/>
            </w:pPr>
            <w:r/>
            <w:r>
              <w:rPr>
                <w:b w:val="0"/>
                <w:sz w:val="17"/>
              </w:rPr>
              <w:t>bed_id</w:t>
            </w:r>
          </w:p>
        </w:tc>
        <w:tc>
          <w:tcPr>
            <w:tcW w:type="dxa" w:w="3312"/>
            <w:vAlign w:val="center"/>
          </w:tcPr>
          <w:p>
            <w:pPr>
              <w:spacing w:after="20"/>
            </w:pPr>
            <w:r/>
            <w:r>
              <w:rPr>
                <w:b w:val="0"/>
                <w:sz w:val="17"/>
              </w:rPr>
              <w:t>References ward_id; can be linked to admissions over time.</w:t>
            </w:r>
          </w:p>
        </w:tc>
      </w:tr>
      <w:tr>
        <w:tc>
          <w:tcPr>
            <w:tcW w:type="dxa" w:w="3312"/>
            <w:vAlign w:val="center"/>
          </w:tcPr>
          <w:p>
            <w:pPr>
              <w:spacing w:after="20"/>
            </w:pPr>
            <w:r/>
            <w:r>
              <w:rPr>
                <w:b w:val="0"/>
                <w:sz w:val="17"/>
              </w:rPr>
              <w:t>patients</w:t>
            </w:r>
          </w:p>
        </w:tc>
        <w:tc>
          <w:tcPr>
            <w:tcW w:type="dxa" w:w="3312"/>
            <w:vAlign w:val="center"/>
          </w:tcPr>
          <w:p>
            <w:pPr>
              <w:spacing w:after="20"/>
            </w:pPr>
            <w:r/>
            <w:r>
              <w:rPr>
                <w:b w:val="0"/>
                <w:sz w:val="17"/>
              </w:rPr>
              <w:t>patient_id</w:t>
            </w:r>
          </w:p>
        </w:tc>
        <w:tc>
          <w:tcPr>
            <w:tcW w:type="dxa" w:w="3312"/>
            <w:vAlign w:val="center"/>
          </w:tcPr>
          <w:p>
            <w:pPr>
              <w:spacing w:after="20"/>
            </w:pPr>
            <w:r/>
            <w:r>
              <w:rPr>
                <w:b w:val="0"/>
                <w:sz w:val="17"/>
              </w:rPr>
              <w:t>Referenced by admissions, assignments, and readings.</w:t>
            </w:r>
          </w:p>
        </w:tc>
      </w:tr>
      <w:tr>
        <w:tc>
          <w:tcPr>
            <w:tcW w:type="dxa" w:w="3312"/>
            <w:vAlign w:val="center"/>
          </w:tcPr>
          <w:p>
            <w:pPr>
              <w:spacing w:after="20"/>
            </w:pPr>
            <w:r/>
            <w:r>
              <w:rPr>
                <w:b w:val="0"/>
                <w:sz w:val="17"/>
              </w:rPr>
              <w:t>admissions</w:t>
            </w:r>
          </w:p>
        </w:tc>
        <w:tc>
          <w:tcPr>
            <w:tcW w:type="dxa" w:w="3312"/>
            <w:vAlign w:val="center"/>
          </w:tcPr>
          <w:p>
            <w:pPr>
              <w:spacing w:after="20"/>
            </w:pPr>
            <w:r/>
            <w:r>
              <w:rPr>
                <w:b w:val="0"/>
                <w:sz w:val="17"/>
              </w:rPr>
              <w:t>admission_id</w:t>
            </w:r>
          </w:p>
        </w:tc>
        <w:tc>
          <w:tcPr>
            <w:tcW w:type="dxa" w:w="3312"/>
            <w:vAlign w:val="center"/>
          </w:tcPr>
          <w:p>
            <w:pPr>
              <w:spacing w:after="20"/>
            </w:pPr>
            <w:r/>
            <w:r>
              <w:rPr>
                <w:b w:val="0"/>
                <w:sz w:val="17"/>
              </w:rPr>
              <w:t>References patient and bed; carries admission time/status.</w:t>
            </w:r>
          </w:p>
        </w:tc>
      </w:tr>
      <w:tr>
        <w:tc>
          <w:tcPr>
            <w:tcW w:type="dxa" w:w="3312"/>
            <w:vAlign w:val="center"/>
          </w:tcPr>
          <w:p>
            <w:pPr>
              <w:spacing w:after="20"/>
            </w:pPr>
            <w:r/>
            <w:r>
              <w:rPr>
                <w:b w:val="0"/>
                <w:sz w:val="17"/>
              </w:rPr>
              <w:t>devices</w:t>
            </w:r>
          </w:p>
        </w:tc>
        <w:tc>
          <w:tcPr>
            <w:tcW w:type="dxa" w:w="3312"/>
            <w:vAlign w:val="center"/>
          </w:tcPr>
          <w:p>
            <w:pPr>
              <w:spacing w:after="20"/>
            </w:pPr>
            <w:r/>
            <w:r>
              <w:rPr>
                <w:b w:val="0"/>
                <w:sz w:val="17"/>
              </w:rPr>
              <w:t>device_id</w:t>
            </w:r>
          </w:p>
        </w:tc>
        <w:tc>
          <w:tcPr>
            <w:tcW w:type="dxa" w:w="3312"/>
            <w:vAlign w:val="center"/>
          </w:tcPr>
          <w:p>
            <w:pPr>
              <w:spacing w:after="20"/>
            </w:pPr>
            <w:r/>
            <w:r>
              <w:rPr>
                <w:b w:val="0"/>
                <w:sz w:val="17"/>
              </w:rPr>
              <w:t>Referenced by assignments, vital readings, and device events.</w:t>
            </w:r>
          </w:p>
        </w:tc>
      </w:tr>
      <w:tr>
        <w:tc>
          <w:tcPr>
            <w:tcW w:type="dxa" w:w="3312"/>
            <w:vAlign w:val="center"/>
          </w:tcPr>
          <w:p>
            <w:pPr>
              <w:spacing w:after="20"/>
            </w:pPr>
            <w:r/>
            <w:r>
              <w:rPr>
                <w:b w:val="0"/>
                <w:sz w:val="17"/>
              </w:rPr>
              <w:t>device_assignments</w:t>
            </w:r>
          </w:p>
        </w:tc>
        <w:tc>
          <w:tcPr>
            <w:tcW w:type="dxa" w:w="3312"/>
            <w:vAlign w:val="center"/>
          </w:tcPr>
          <w:p>
            <w:pPr>
              <w:spacing w:after="20"/>
            </w:pPr>
            <w:r/>
            <w:r>
              <w:rPr>
                <w:b w:val="0"/>
                <w:sz w:val="17"/>
              </w:rPr>
              <w:t>assignment_id</w:t>
            </w:r>
          </w:p>
        </w:tc>
        <w:tc>
          <w:tcPr>
            <w:tcW w:type="dxa" w:w="3312"/>
            <w:vAlign w:val="center"/>
          </w:tcPr>
          <w:p>
            <w:pPr>
              <w:spacing w:after="20"/>
            </w:pPr>
            <w:r/>
            <w:r>
              <w:rPr>
                <w:b w:val="0"/>
                <w:sz w:val="17"/>
              </w:rPr>
              <w:t>Connects device, patient, and admission over an effective time interval.</w:t>
            </w:r>
          </w:p>
        </w:tc>
      </w:tr>
      <w:tr>
        <w:tc>
          <w:tcPr>
            <w:tcW w:type="dxa" w:w="3312"/>
            <w:vAlign w:val="center"/>
          </w:tcPr>
          <w:p>
            <w:pPr>
              <w:spacing w:after="20"/>
            </w:pPr>
            <w:r/>
            <w:r>
              <w:rPr>
                <w:b w:val="0"/>
                <w:sz w:val="17"/>
              </w:rPr>
              <w:t>vital_readings</w:t>
            </w:r>
          </w:p>
        </w:tc>
        <w:tc>
          <w:tcPr>
            <w:tcW w:type="dxa" w:w="3312"/>
            <w:vAlign w:val="center"/>
          </w:tcPr>
          <w:p>
            <w:pPr>
              <w:spacing w:after="20"/>
            </w:pPr>
            <w:r/>
            <w:r>
              <w:rPr>
                <w:b w:val="0"/>
                <w:sz w:val="17"/>
              </w:rPr>
              <w:t>reading_id</w:t>
            </w:r>
          </w:p>
        </w:tc>
        <w:tc>
          <w:tcPr>
            <w:tcW w:type="dxa" w:w="3312"/>
            <w:vAlign w:val="center"/>
          </w:tcPr>
          <w:p>
            <w:pPr>
              <w:spacing w:after="20"/>
            </w:pPr>
            <w:r/>
            <w:r>
              <w:rPr>
                <w:b w:val="0"/>
                <w:sz w:val="17"/>
              </w:rPr>
              <w:t>Time-series facts; includes device/patient/admission IDs, metric, value, unit, and measurement time.</w:t>
            </w:r>
          </w:p>
        </w:tc>
      </w:tr>
      <w:tr>
        <w:tc>
          <w:tcPr>
            <w:tcW w:type="dxa" w:w="3312"/>
            <w:vAlign w:val="center"/>
          </w:tcPr>
          <w:p>
            <w:pPr>
              <w:spacing w:after="20"/>
            </w:pPr>
            <w:r/>
            <w:r>
              <w:rPr>
                <w:b w:val="0"/>
                <w:sz w:val="17"/>
              </w:rPr>
              <w:t>device_status_events</w:t>
            </w:r>
          </w:p>
        </w:tc>
        <w:tc>
          <w:tcPr>
            <w:tcW w:type="dxa" w:w="3312"/>
            <w:vAlign w:val="center"/>
          </w:tcPr>
          <w:p>
            <w:pPr>
              <w:spacing w:after="20"/>
            </w:pPr>
            <w:r/>
            <w:r>
              <w:rPr>
                <w:b w:val="0"/>
                <w:sz w:val="17"/>
              </w:rPr>
              <w:t>event_id</w:t>
            </w:r>
          </w:p>
        </w:tc>
        <w:tc>
          <w:tcPr>
            <w:tcW w:type="dxa" w:w="3312"/>
            <w:vAlign w:val="center"/>
          </w:tcPr>
          <w:p>
            <w:pPr>
              <w:spacing w:after="20"/>
            </w:pPr>
            <w:r/>
            <w:r>
              <w:rPr>
                <w:b w:val="0"/>
                <w:sz w:val="17"/>
              </w:rPr>
              <w:t>Operational events for devices, with event type and event time.</w:t>
            </w:r>
          </w:p>
        </w:tc>
      </w:tr>
      <w:tr>
        <w:tc>
          <w:tcPr>
            <w:tcW w:type="dxa" w:w="3312"/>
            <w:vAlign w:val="center"/>
          </w:tcPr>
          <w:p>
            <w:pPr>
              <w:spacing w:after="20"/>
            </w:pPr>
            <w:r/>
            <w:r>
              <w:rPr>
                <w:b w:val="0"/>
                <w:sz w:val="17"/>
              </w:rPr>
              <w:t>anomaly_scenarios</w:t>
            </w:r>
          </w:p>
        </w:tc>
        <w:tc>
          <w:tcPr>
            <w:tcW w:type="dxa" w:w="3312"/>
            <w:vAlign w:val="center"/>
          </w:tcPr>
          <w:p>
            <w:pPr>
              <w:spacing w:after="20"/>
            </w:pPr>
            <w:r/>
            <w:r>
              <w:rPr>
                <w:b w:val="0"/>
                <w:sz w:val="17"/>
              </w:rPr>
              <w:t>scenario_id</w:t>
            </w:r>
          </w:p>
        </w:tc>
        <w:tc>
          <w:tcPr>
            <w:tcW w:type="dxa" w:w="3312"/>
            <w:vAlign w:val="center"/>
          </w:tcPr>
          <w:p>
            <w:pPr>
              <w:spacing w:after="20"/>
            </w:pPr>
            <w:r/>
            <w:r>
              <w:rPr>
                <w:b w:val="0"/>
                <w:sz w:val="17"/>
              </w:rPr>
              <w:t>Evaluation ground truth; keep separate from raw telemetry.</w:t>
            </w:r>
          </w:p>
        </w:tc>
      </w:tr>
    </w:tbl>
    <w:p/>
    <w:p>
      <w:r>
        <w:t>For device reassignment, validate readings against assignment effective time ranges; joining only on device_id can incorrectly associate historical readings with a later patient.</w:t>
      </w:r>
    </w:p>
    <w:p>
      <w:pPr>
        <w:pStyle w:val="Heading1"/>
        <w:keepNext/>
      </w:pPr>
      <w:r>
        <w:t>Appendix B. Source and Repository</w:t>
      </w:r>
    </w:p>
    <w:p>
      <w:r>
        <w:t>Consolidated from the uploaded 69-page merged project document and the public repository README.</w:t>
      </w:r>
    </w:p>
    <w:p>
      <w:r>
        <w:t>Repository: https://github.com/yousefmichael/healthcare-iot-big-data-pipeline</w:t>
      </w:r>
    </w:p>
    <w:p>
      <w:r>
        <w:t>Prepared: October 2026</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Complete Technical Documentation  •  Synthetic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SAMSUNG HEALTHCARE IoT  |  BIG DATA ENGINEERING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