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400"/>
              <w:left w:type="dxa" w:w="400"/>
              <w:bottom w:type="dxa" w:w="400"/>
              <w:right w:type="dxa" w:w="400"/>
            </w:tcMar>
          </w:tcPr>
          <w:p>
            <w:pPr>
              <w:spacing w:after="80" w:before="0"/>
              <w:jc w:val="center"/>
            </w:pPr>
            <w:r>
              <w:rPr>
                <w:rFonts w:ascii="Georgia" w:cs="Georgia" w:eastAsia="Georgia" w:hAnsi="Georgia"/>
                <w:b/>
                <w:bCs/>
                <w:color w:val="FFFFFF"/>
                <w:sz w:val="28"/>
                <w:szCs w:val="28"/>
              </w:rPr>
              <w:t xml:space="preserve">SECURITY MISCONFIGURATION AUDIT AND REMEDIATION</w:t>
            </w:r>
          </w:p>
          <w:p>
            <w:pPr>
              <w:spacing w:after="0" w:before="0"/>
              <w:jc w:val="center"/>
            </w:pPr>
            <w:r>
              <w:rPr>
                <w:rFonts w:ascii="Arial" w:cs="Arial" w:eastAsia="Arial" w:hAnsi="Arial"/>
                <w:color w:val="3A5F8A"/>
                <w:sz w:val="22"/>
                <w:szCs w:val="22"/>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12"/>
              <w:bottom w:val="single" w:color="CBD5E0" w:sz="1"/>
              <w:right w:val="single" w:color="CBD5E0" w:sz="1"/>
            </w:tcBorders>
            <w:shd w:fill="F7F9FC" w:val="clear"/>
            <w:tcMar>
              <w:top w:type="dxa" w:w="280"/>
              <w:left w:type="dxa" w:w="320"/>
              <w:bottom w:type="dxa" w:w="280"/>
              <w:right w:type="dxa" w:w="320"/>
            </w:tcMar>
          </w:tcPr>
          <w:p>
            <w:pPr>
              <w:spacing w:after="40" w:before="0"/>
            </w:pPr>
            <w:r>
              <w:rPr>
                <w:rFonts w:ascii="Georgia" w:cs="Georgia" w:eastAsia="Georgia" w:hAnsi="Georgia"/>
                <w:b/>
                <w:bCs/>
                <w:color w:val="1A2D4F"/>
                <w:sz w:val="40"/>
                <w:szCs w:val="40"/>
              </w:rPr>
              <w:t xml:space="preserve">Stakeholder Analysis</w:t>
            </w:r>
          </w:p>
          <w:p>
            <w:pPr>
              <w:spacing w:after="0" w:before="0"/>
            </w:pPr>
            <w:r>
              <w:rPr>
                <w:rFonts w:ascii="Arial" w:cs="Arial" w:eastAsia="Arial" w:hAnsi="Arial"/>
                <w:i/>
                <w:iCs/>
                <w:color w:val="4A5568"/>
                <w:sz w:val="22"/>
                <w:szCs w:val="22"/>
              </w:rPr>
              <w:t xml:space="preserve">Identifying Key Stakeholders, Their Needs, and Their Relationship to the Project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By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Ahmed Abdalrhman Ibrahim  |  Yousef Osama  |  Yousef Nasser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For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Internship Graduation Project — Security Engineering Program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21 June 2026</w:t>
            </w:r>
          </w:p>
        </w:tc>
      </w:tr>
    </w:tbl>
    <w:p>
      <w:pPr>
        <w:spacing w:after="120" w:before="0"/>
      </w:pPr>
      <w:r>
        <w:t xml:space="preserve"/>
      </w:r>
    </w:p>
    <w:p>
      <w:pPr>
        <w:spacing w:after="120" w:before="360"/>
      </w:pPr>
      <w:r>
        <w:rPr>
          <w:rFonts w:ascii="Georgia" w:cs="Georgia" w:eastAsia="Georgia" w:hAnsi="Georgia"/>
          <w:b/>
          <w:bCs/>
          <w:color w:val="1A2D4F"/>
          <w:sz w:val="30"/>
          <w:szCs w:val="30"/>
        </w:rPr>
        <w:t xml:space="preserve">1.  Purpose and Scope</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Stakeholder analysis is the process of identifying individuals and groups who have an interest in or are affected by a project, and understanding their needs, expectations, and level of influence. In the context of a security audit project, stakeholders extend beyond the immediate project team to include the parties who commission the audit, those responsible for the systems being assessed, and those who will consume and act upon the audit findings.</w:t>
      </w:r>
    </w:p>
    <w:p>
      <w:pPr>
        <w:spacing w:after="60" w:before="0"/>
      </w:pPr>
      <w:r>
        <w:t xml:space="preserve"/>
      </w:r>
    </w:p>
    <w:p>
      <w:pPr>
        <w:spacing w:after="100" w:before="60"/>
      </w:pPr>
      <w:r>
        <w:rPr>
          <w:rFonts w:ascii="Arial" w:cs="Arial" w:eastAsia="Arial" w:hAnsi="Arial"/>
          <w:color w:val="2D3748"/>
          <w:sz w:val="22"/>
          <w:szCs w:val="22"/>
        </w:rPr>
        <w:t xml:space="preserve">This document identifies all relevant stakeholders for the Security Misconfiguration Audit and Remediation project, profiles each stakeholder's interests and requirements, and defines the engagement approach the project team will apply. Understanding stakeholder needs at the outset ensures that the project's outputs — particularly its documentation and final report — are structured to meet the expectations of those who will review and assess them.</w:t>
      </w:r>
    </w:p>
    <w:p>
      <w:pPr>
        <w:spacing w:after="100" w:before="0"/>
      </w:pPr>
      <w:r>
        <w:t xml:space="preserve"/>
      </w:r>
    </w:p>
    <w:p>
      <w:pPr>
        <w:spacing w:after="120" w:before="360"/>
      </w:pPr>
      <w:r>
        <w:rPr>
          <w:rFonts w:ascii="Georgia" w:cs="Georgia" w:eastAsia="Georgia" w:hAnsi="Georgia"/>
          <w:b/>
          <w:bCs/>
          <w:color w:val="1A2D4F"/>
          <w:sz w:val="30"/>
          <w:szCs w:val="30"/>
        </w:rPr>
        <w:t xml:space="preserve">2.  Stakeholder Identification</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following stakeholders have been identified as relevant to this project. They are categorised by their primary relationship to the project: internal stakeholders who participate directly, and external stakeholders who have an interest in or influence over the project outcomes.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1"/>
                <w:szCs w:val="21"/>
              </w:rPr>
              <w:t xml:space="preserve">Stakeholder</w:t>
            </w:r>
          </w:p>
        </w:tc>
        <w:tc>
          <w:tcPr>
            <w:tcW w:type="dxa" w:w="320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1"/>
                <w:szCs w:val="21"/>
              </w:rPr>
              <w:t xml:space="preserve">Category</w:t>
            </w:r>
          </w:p>
        </w:tc>
        <w:tc>
          <w:tcPr>
            <w:tcW w:type="dxa" w:w="336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1"/>
                <w:szCs w:val="21"/>
              </w:rPr>
              <w:t xml:space="preserve">Relationship to Project</w:t>
            </w:r>
          </w:p>
        </w:tc>
      </w:tr>
      <w:tr>
        <w:tc>
          <w:tcPr>
            <w:tcW w:type="dxa" w:w="28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1A2D4F"/>
                <w:sz w:val="20"/>
                <w:szCs w:val="20"/>
              </w:rPr>
              <w:t xml:space="preserve">Ahmed Abdalrhman Ibrahim</w:t>
            </w:r>
          </w:p>
        </w:tc>
        <w:tc>
          <w:tcPr>
            <w:tcW w:type="dxa" w:w="32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4A5568"/>
                <w:sz w:val="20"/>
                <w:szCs w:val="20"/>
              </w:rPr>
              <w:t xml:space="preserve">Internal — Project Team</w:t>
            </w:r>
          </w:p>
        </w:tc>
        <w:tc>
          <w:tcPr>
            <w:tcW w:type="dxa" w:w="336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Project coordinator; primary author of planning and final report documents</w:t>
            </w:r>
          </w:p>
        </w:tc>
      </w:tr>
      <w:tr>
        <w:tc>
          <w:tcPr>
            <w:tcW w:type="dxa" w:w="28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1A2D4F"/>
                <w:sz w:val="20"/>
                <w:szCs w:val="20"/>
              </w:rPr>
              <w:t xml:space="preserve">Yousef Osama</w:t>
            </w:r>
          </w:p>
        </w:tc>
        <w:tc>
          <w:tcPr>
            <w:tcW w:type="dxa" w:w="32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4A5568"/>
                <w:sz w:val="20"/>
                <w:szCs w:val="20"/>
              </w:rPr>
              <w:t xml:space="preserve">Internal — Project Team</w:t>
            </w:r>
          </w:p>
        </w:tc>
        <w:tc>
          <w:tcPr>
            <w:tcW w:type="dxa" w:w="336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Technical lead; responsible for audit execution and remediation implementation</w:t>
            </w:r>
          </w:p>
        </w:tc>
      </w:tr>
      <w:tr>
        <w:tc>
          <w:tcPr>
            <w:tcW w:type="dxa" w:w="28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1A2D4F"/>
                <w:sz w:val="20"/>
                <w:szCs w:val="20"/>
              </w:rPr>
              <w:t xml:space="preserve">Yousef Nasser</w:t>
            </w:r>
          </w:p>
        </w:tc>
        <w:tc>
          <w:tcPr>
            <w:tcW w:type="dxa" w:w="32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4A5568"/>
                <w:sz w:val="20"/>
                <w:szCs w:val="20"/>
              </w:rPr>
              <w:t xml:space="preserve">Internal — Project Team</w:t>
            </w:r>
          </w:p>
        </w:tc>
        <w:tc>
          <w:tcPr>
            <w:tcW w:type="dxa" w:w="336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Documentation lead; responsible for analysis, requirements, and presentation</w:t>
            </w:r>
          </w:p>
        </w:tc>
      </w:tr>
      <w:tr>
        <w:tc>
          <w:tcPr>
            <w:tcW w:type="dxa" w:w="28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1A2D4F"/>
                <w:sz w:val="20"/>
                <w:szCs w:val="20"/>
              </w:rPr>
              <w:t xml:space="preserve">Internship Supervisor / Lecturer</w:t>
            </w:r>
          </w:p>
        </w:tc>
        <w:tc>
          <w:tcPr>
            <w:tcW w:type="dxa" w:w="32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4A5568"/>
                <w:sz w:val="20"/>
                <w:szCs w:val="20"/>
              </w:rPr>
              <w:t xml:space="preserve">External — Academic Assessor</w:t>
            </w:r>
          </w:p>
        </w:tc>
        <w:tc>
          <w:tcPr>
            <w:tcW w:type="dxa" w:w="336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Evaluates the project against graduation criteria; provides feedback and final grade</w:t>
            </w:r>
          </w:p>
        </w:tc>
      </w:tr>
      <w:tr>
        <w:tc>
          <w:tcPr>
            <w:tcW w:type="dxa" w:w="28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b/>
                <w:bCs/>
                <w:color w:val="1A2D4F"/>
                <w:sz w:val="20"/>
                <w:szCs w:val="20"/>
              </w:rPr>
              <w:t xml:space="preserve">Internship Programme Administration</w:t>
            </w:r>
          </w:p>
        </w:tc>
        <w:tc>
          <w:tcPr>
            <w:tcW w:type="dxa" w:w="320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4A5568"/>
                <w:sz w:val="20"/>
                <w:szCs w:val="20"/>
              </w:rPr>
              <w:t xml:space="preserve">External — Institutional</w:t>
            </w:r>
          </w:p>
        </w:tc>
        <w:tc>
          <w:tcPr>
            <w:tcW w:type="dxa" w:w="3360"/>
            <w:tcBorders>
              <w:top w:val="single" w:color="CBD5E0" w:sz="1"/>
              <w:left w:val="single" w:color="CBD5E0" w:sz="1"/>
              <w:bottom w:val="single" w:color="CBD5E0" w:sz="1"/>
              <w:right w:val="single" w:color="CBD5E0" w:sz="1"/>
            </w:tcBorders>
            <w:shd w:fill="FFFFFF" w:val="clear"/>
            <w:tcMar>
              <w:top w:type="dxa" w:w="85"/>
              <w:left w:type="dxa" w:w="160"/>
              <w:bottom w:type="dxa" w:w="85"/>
              <w:right w:type="dxa" w:w="160"/>
            </w:tcMar>
          </w:tcPr>
          <w:p>
            <w:r>
              <w:rPr>
                <w:rFonts w:ascii="Arial" w:cs="Arial" w:eastAsia="Arial" w:hAnsi="Arial"/>
                <w:color w:val="2D3748"/>
                <w:sz w:val="20"/>
                <w:szCs w:val="20"/>
              </w:rPr>
              <w:t xml:space="preserve">Sets the programme requirements, deadlines, and assessment guidelines</w:t>
            </w:r>
          </w:p>
        </w:tc>
      </w:tr>
      <w:tr>
        <w:tc>
          <w:tcPr>
            <w:tcW w:type="dxa" w:w="28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b/>
                <w:bCs/>
                <w:color w:val="1A2D4F"/>
                <w:sz w:val="20"/>
                <w:szCs w:val="20"/>
              </w:rPr>
              <w:t xml:space="preserve">Security Engineering Community</w:t>
            </w:r>
          </w:p>
        </w:tc>
        <w:tc>
          <w:tcPr>
            <w:tcW w:type="dxa" w:w="320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4A5568"/>
                <w:sz w:val="20"/>
                <w:szCs w:val="20"/>
              </w:rPr>
              <w:t xml:space="preserve">External — Professional</w:t>
            </w:r>
          </w:p>
        </w:tc>
        <w:tc>
          <w:tcPr>
            <w:tcW w:type="dxa" w:w="3360"/>
            <w:tcBorders>
              <w:top w:val="single" w:color="CBD5E0" w:sz="1"/>
              <w:left w:val="single" w:color="CBD5E0" w:sz="1"/>
              <w:bottom w:val="single" w:color="CBD5E0" w:sz="1"/>
              <w:right w:val="single" w:color="CBD5E0" w:sz="1"/>
            </w:tcBorders>
            <w:shd w:fill="F0F4FA" w:val="clear"/>
            <w:tcMar>
              <w:top w:type="dxa" w:w="85"/>
              <w:left w:type="dxa" w:w="160"/>
              <w:bottom w:type="dxa" w:w="85"/>
              <w:right w:type="dxa" w:w="160"/>
            </w:tcMar>
          </w:tcPr>
          <w:p>
            <w:r>
              <w:rPr>
                <w:rFonts w:ascii="Arial" w:cs="Arial" w:eastAsia="Arial" w:hAnsi="Arial"/>
                <w:color w:val="2D3748"/>
                <w:sz w:val="20"/>
                <w:szCs w:val="20"/>
              </w:rPr>
              <w:t xml:space="preserve">Indirect stakeholder; benefits from the documented methodology and findings as a reference contribution</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3.  Detailed Stakeholder Profiles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following profiles provide a detailed analysis of each stakeholder's interests, influence, needs, and expectations. These profiles directly inform the structure and content of the project's documentation deliverables.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120"/>
              <w:left w:type="dxa" w:w="220"/>
              <w:bottom w:type="dxa" w:w="120"/>
              <w:right w:type="dxa" w:w="220"/>
            </w:tcMar>
          </w:tcPr>
          <w:p>
            <w:r>
              <w:rPr>
                <w:rFonts w:ascii="Georgia" w:cs="Georgia" w:eastAsia="Georgia" w:hAnsi="Georgia"/>
                <w:b/>
                <w:bCs/>
                <w:color w:val="FFFFFF"/>
                <w:sz w:val="24"/>
                <w:szCs w:val="24"/>
              </w:rPr>
              <w:t xml:space="preserve">Ahmed Abdalrhman Ibrahim</w:t>
            </w:r>
          </w:p>
          <w:p>
            <w:r>
              <w:rPr>
                <w:rFonts w:ascii="Arial" w:cs="Arial" w:eastAsia="Arial" w:hAnsi="Arial"/>
                <w:i/>
                <w:iCs/>
                <w:color w:val="A0BAD8"/>
                <w:sz w:val="20"/>
                <w:szCs w:val="20"/>
              </w:rPr>
              <w:t xml:space="preserve">Project Coordinator and Report Lead — Internal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Level of Interest</w:t>
            </w:r>
          </w:p>
          <w:p>
            <w:r>
              <w:rPr>
                <w:rFonts w:ascii="Arial" w:cs="Arial" w:eastAsia="Arial" w:hAnsi="Arial"/>
                <w:color w:val="2D3748"/>
                <w:sz w:val="21"/>
                <w:szCs w:val="21"/>
              </w:rPr>
              <w:t xml:space="preserve">High — directly responsible for project delivery and documentation quality</w:t>
            </w:r>
          </w:p>
        </w:tc>
        <w:tc>
          <w:tcPr>
            <w:tcW w:type="dxa" w:w="468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Level of Influence</w:t>
            </w:r>
          </w:p>
          <w:p>
            <w:r>
              <w:rPr>
                <w:rFonts w:ascii="Arial" w:cs="Arial" w:eastAsia="Arial" w:hAnsi="Arial"/>
                <w:color w:val="2D3748"/>
                <w:sz w:val="21"/>
                <w:szCs w:val="21"/>
              </w:rPr>
              <w:t xml:space="preserve">High — makes decisions on document structure, GitHub management, and submission</w:t>
            </w:r>
          </w:p>
        </w:tc>
      </w:tr>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Primary Needs</w:t>
            </w:r>
          </w:p>
          <w:p>
            <w:r>
              <w:rPr>
                <w:rFonts w:ascii="Arial" w:cs="Arial" w:eastAsia="Arial" w:hAnsi="Arial"/>
                <w:color w:val="2D3748"/>
                <w:sz w:val="21"/>
                <w:szCs w:val="21"/>
              </w:rPr>
              <w:t xml:space="preserve">Clear task ownership, structured timeline, complete documentation templates, consistent team collaboration</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Expectations from Project</w:t>
            </w:r>
          </w:p>
          <w:p>
            <w:r>
              <w:rPr>
                <w:rFonts w:ascii="Arial" w:cs="Arial" w:eastAsia="Arial" w:hAnsi="Arial"/>
                <w:color w:val="2D3748"/>
                <w:sz w:val="21"/>
                <w:szCs w:val="21"/>
              </w:rPr>
              <w:t xml:space="preserve">Successful project completion within the graduate deadline; a professional document set that reflects strong project management capability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120"/>
              <w:left w:type="dxa" w:w="220"/>
              <w:bottom w:type="dxa" w:w="120"/>
              <w:right w:type="dxa" w:w="220"/>
            </w:tcMar>
          </w:tcPr>
          <w:p>
            <w:r>
              <w:rPr>
                <w:rFonts w:ascii="Georgia" w:cs="Georgia" w:eastAsia="Georgia" w:hAnsi="Georgia"/>
                <w:b/>
                <w:bCs/>
                <w:color w:val="FFFFFF"/>
                <w:sz w:val="24"/>
                <w:szCs w:val="24"/>
              </w:rPr>
              <w:t xml:space="preserve">Yousef Osama</w:t>
            </w:r>
          </w:p>
          <w:p>
            <w:r>
              <w:rPr>
                <w:rFonts w:ascii="Arial" w:cs="Arial" w:eastAsia="Arial" w:hAnsi="Arial"/>
                <w:i/>
                <w:iCs/>
                <w:color w:val="A0BAD8"/>
                <w:sz w:val="20"/>
                <w:szCs w:val="20"/>
              </w:rPr>
              <w:t xml:space="preserve">Technical Lead and Remediation Engineer — Internal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Level of Interest</w:t>
            </w:r>
          </w:p>
          <w:p>
            <w:r>
              <w:rPr>
                <w:rFonts w:ascii="Arial" w:cs="Arial" w:eastAsia="Arial" w:hAnsi="Arial"/>
                <w:color w:val="2D3748"/>
                <w:sz w:val="21"/>
                <w:szCs w:val="21"/>
              </w:rPr>
              <w:t xml:space="preserve">High — owns all hands-on technical audit and remediation activities</w:t>
            </w:r>
          </w:p>
        </w:tc>
        <w:tc>
          <w:tcPr>
            <w:tcW w:type="dxa" w:w="468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Level of Influence</w:t>
            </w:r>
          </w:p>
          <w:p>
            <w:r>
              <w:rPr>
                <w:rFonts w:ascii="Arial" w:cs="Arial" w:eastAsia="Arial" w:hAnsi="Arial"/>
                <w:color w:val="2D3748"/>
                <w:sz w:val="21"/>
                <w:szCs w:val="21"/>
              </w:rPr>
              <w:t xml:space="preserve">High — determines the scope and depth of technical findings</w:t>
            </w:r>
          </w:p>
        </w:tc>
      </w:tr>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Primary Needs</w:t>
            </w:r>
          </w:p>
          <w:p>
            <w:r>
              <w:rPr>
                <w:rFonts w:ascii="Arial" w:cs="Arial" w:eastAsia="Arial" w:hAnsi="Arial"/>
                <w:color w:val="2D3748"/>
                <w:sz w:val="21"/>
                <w:szCs w:val="21"/>
              </w:rPr>
              <w:t xml:space="preserve">Reliable lab environment, access to full Kali Linux toolset, clear findings documentation structure</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Expectations from Project</w:t>
            </w:r>
          </w:p>
          <w:p>
            <w:r>
              <w:rPr>
                <w:rFonts w:ascii="Arial" w:cs="Arial" w:eastAsia="Arial" w:hAnsi="Arial"/>
                <w:color w:val="2D3748"/>
                <w:sz w:val="21"/>
                <w:szCs w:val="21"/>
              </w:rPr>
              <w:t xml:space="preserve">A technically rigorous audit that identifies and resolves all material misconfigurations; findings documentation that accurately reflects the technical work performed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120"/>
              <w:left w:type="dxa" w:w="220"/>
              <w:bottom w:type="dxa" w:w="120"/>
              <w:right w:type="dxa" w:w="220"/>
            </w:tcMar>
          </w:tcPr>
          <w:p>
            <w:r>
              <w:rPr>
                <w:rFonts w:ascii="Georgia" w:cs="Georgia" w:eastAsia="Georgia" w:hAnsi="Georgia"/>
                <w:b/>
                <w:bCs/>
                <w:color w:val="FFFFFF"/>
                <w:sz w:val="24"/>
                <w:szCs w:val="24"/>
              </w:rPr>
              <w:t xml:space="preserve">Yousef Nasser</w:t>
            </w:r>
          </w:p>
          <w:p>
            <w:r>
              <w:rPr>
                <w:rFonts w:ascii="Arial" w:cs="Arial" w:eastAsia="Arial" w:hAnsi="Arial"/>
                <w:i/>
                <w:iCs/>
                <w:color w:val="A0BAD8"/>
                <w:sz w:val="20"/>
                <w:szCs w:val="20"/>
              </w:rPr>
              <w:t xml:space="preserve">Documentation Lead and Analyst — Internal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Level of Interest</w:t>
            </w:r>
          </w:p>
          <w:p>
            <w:r>
              <w:rPr>
                <w:rFonts w:ascii="Arial" w:cs="Arial" w:eastAsia="Arial" w:hAnsi="Arial"/>
                <w:color w:val="2D3748"/>
                <w:sz w:val="21"/>
                <w:szCs w:val="21"/>
              </w:rPr>
              <w:t xml:space="preserve">High — leads the analytical and presentation deliverables</w:t>
            </w:r>
          </w:p>
        </w:tc>
        <w:tc>
          <w:tcPr>
            <w:tcW w:type="dxa" w:w="468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Level of Influence</w:t>
            </w:r>
          </w:p>
          <w:p>
            <w:r>
              <w:rPr>
                <w:rFonts w:ascii="Arial" w:cs="Arial" w:eastAsia="Arial" w:hAnsi="Arial"/>
                <w:color w:val="2D3748"/>
                <w:sz w:val="21"/>
                <w:szCs w:val="21"/>
              </w:rPr>
              <w:t xml:space="preserve">Medium-High — influences documentation quality and final presentation delivery</w:t>
            </w:r>
          </w:p>
        </w:tc>
      </w:tr>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Primary Needs</w:t>
            </w:r>
          </w:p>
          <w:p>
            <w:r>
              <w:rPr>
                <w:rFonts w:ascii="Arial" w:cs="Arial" w:eastAsia="Arial" w:hAnsi="Arial"/>
                <w:color w:val="2D3748"/>
                <w:sz w:val="21"/>
                <w:szCs w:val="21"/>
              </w:rPr>
              <w:t xml:space="preserve">Clear requirements structure, consistent terminology across documents, well-organised findings to translate for non-technical audiences</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Expectations from Project</w:t>
            </w:r>
          </w:p>
          <w:p>
            <w:r>
              <w:rPr>
                <w:rFonts w:ascii="Arial" w:cs="Arial" w:eastAsia="Arial" w:hAnsi="Arial"/>
                <w:color w:val="2D3748"/>
                <w:sz w:val="21"/>
                <w:szCs w:val="21"/>
              </w:rPr>
              <w:t xml:space="preserve">A complete, well-structured document set that earns strong marks in the documentation and presentation assessment components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120"/>
              <w:left w:type="dxa" w:w="220"/>
              <w:bottom w:type="dxa" w:w="120"/>
              <w:right w:type="dxa" w:w="220"/>
            </w:tcMar>
          </w:tcPr>
          <w:p>
            <w:r>
              <w:rPr>
                <w:rFonts w:ascii="Georgia" w:cs="Georgia" w:eastAsia="Georgia" w:hAnsi="Georgia"/>
                <w:b/>
                <w:bCs/>
                <w:color w:val="FFFFFF"/>
                <w:sz w:val="24"/>
                <w:szCs w:val="24"/>
              </w:rPr>
              <w:t xml:space="preserve">Internship Supervisor / Lecturer</w:t>
            </w:r>
          </w:p>
          <w:p>
            <w:r>
              <w:rPr>
                <w:rFonts w:ascii="Arial" w:cs="Arial" w:eastAsia="Arial" w:hAnsi="Arial"/>
                <w:i/>
                <w:iCs/>
                <w:color w:val="A0BAD8"/>
                <w:sz w:val="20"/>
                <w:szCs w:val="20"/>
              </w:rPr>
              <w:t xml:space="preserve">Academic Assessor — External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Level of Interest</w:t>
            </w:r>
          </w:p>
          <w:p>
            <w:r>
              <w:rPr>
                <w:rFonts w:ascii="Arial" w:cs="Arial" w:eastAsia="Arial" w:hAnsi="Arial"/>
                <w:color w:val="2D3748"/>
                <w:sz w:val="21"/>
                <w:szCs w:val="21"/>
              </w:rPr>
              <w:t xml:space="preserve">High — assesses the project against programme criteria and assigns the final grade</w:t>
            </w:r>
          </w:p>
        </w:tc>
        <w:tc>
          <w:tcPr>
            <w:tcW w:type="dxa" w:w="468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Level of Influence</w:t>
            </w:r>
          </w:p>
          <w:p>
            <w:r>
              <w:rPr>
                <w:rFonts w:ascii="Arial" w:cs="Arial" w:eastAsia="Arial" w:hAnsi="Arial"/>
                <w:color w:val="2D3748"/>
                <w:sz w:val="21"/>
                <w:szCs w:val="21"/>
              </w:rPr>
              <w:t xml:space="preserve">Very High — determines the grading outcome and provides formal feedback</w:t>
            </w:r>
          </w:p>
        </w:tc>
      </w:tr>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Primary Needs</w:t>
            </w:r>
          </w:p>
          <w:p>
            <w:r>
              <w:rPr>
                <w:rFonts w:ascii="Arial" w:cs="Arial" w:eastAsia="Arial" w:hAnsi="Arial"/>
                <w:color w:val="2D3748"/>
                <w:sz w:val="21"/>
                <w:szCs w:val="21"/>
              </w:rPr>
              <w:t xml:space="preserve">Evidence of professional-standard documentation; demonstrated technical competence in the audit and remediation phases; clear and accurate final presentation</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Expectations from Project</w:t>
            </w:r>
          </w:p>
          <w:p>
            <w:r>
              <w:rPr>
                <w:rFonts w:ascii="Arial" w:cs="Arial" w:eastAsia="Arial" w:hAnsi="Arial"/>
                <w:color w:val="2D3748"/>
                <w:sz w:val="21"/>
                <w:szCs w:val="21"/>
              </w:rPr>
              <w:t xml:space="preserve">A complete submission that meets all specified deliverable requirements; documentation that is structured, consistent, and technically credible; a presentation that accurately reflects the work performed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120"/>
              <w:left w:type="dxa" w:w="220"/>
              <w:bottom w:type="dxa" w:w="120"/>
              <w:right w:type="dxa" w:w="220"/>
            </w:tcMar>
          </w:tcPr>
          <w:p>
            <w:r>
              <w:rPr>
                <w:rFonts w:ascii="Georgia" w:cs="Georgia" w:eastAsia="Georgia" w:hAnsi="Georgia"/>
                <w:b/>
                <w:bCs/>
                <w:color w:val="FFFFFF"/>
                <w:sz w:val="24"/>
                <w:szCs w:val="24"/>
              </w:rPr>
              <w:t xml:space="preserve">Internship Programme Administration</w:t>
            </w:r>
          </w:p>
          <w:p>
            <w:r>
              <w:rPr>
                <w:rFonts w:ascii="Arial" w:cs="Arial" w:eastAsia="Arial" w:hAnsi="Arial"/>
                <w:i/>
                <w:iCs/>
                <w:color w:val="A0BAD8"/>
                <w:sz w:val="20"/>
                <w:szCs w:val="20"/>
              </w:rPr>
              <w:t xml:space="preserve">Institutional Authority — External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Level of Interest</w:t>
            </w:r>
          </w:p>
          <w:p>
            <w:r>
              <w:rPr>
                <w:rFonts w:ascii="Arial" w:cs="Arial" w:eastAsia="Arial" w:hAnsi="Arial"/>
                <w:color w:val="2D3748"/>
                <w:sz w:val="21"/>
                <w:szCs w:val="21"/>
              </w:rPr>
              <w:t xml:space="preserve">Medium — sets the framework within which the project operates</w:t>
            </w:r>
          </w:p>
        </w:tc>
        <w:tc>
          <w:tcPr>
            <w:tcW w:type="dxa" w:w="468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Level of Influence</w:t>
            </w:r>
          </w:p>
          <w:p>
            <w:r>
              <w:rPr>
                <w:rFonts w:ascii="Arial" w:cs="Arial" w:eastAsia="Arial" w:hAnsi="Arial"/>
                <w:color w:val="2D3748"/>
                <w:sz w:val="21"/>
                <w:szCs w:val="21"/>
              </w:rPr>
              <w:t xml:space="preserve">High — defines the deadline structure, submission requirements, and assessment criteria</w:t>
            </w:r>
          </w:p>
        </w:tc>
      </w:tr>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Primary Needs</w:t>
            </w:r>
          </w:p>
          <w:p>
            <w:r>
              <w:rPr>
                <w:rFonts w:ascii="Arial" w:cs="Arial" w:eastAsia="Arial" w:hAnsi="Arial"/>
                <w:color w:val="2D3748"/>
                <w:sz w:val="21"/>
                <w:szCs w:val="21"/>
              </w:rPr>
              <w:t xml:space="preserve">Compliance with all submission deadlines; correct upload of all deliverables to the designated GitHub repository; adherence to the documentation guidelines</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Expectations from Project</w:t>
            </w:r>
          </w:p>
          <w:p>
            <w:r>
              <w:rPr>
                <w:rFonts w:ascii="Arial" w:cs="Arial" w:eastAsia="Arial" w:hAnsi="Arial"/>
                <w:color w:val="2D3748"/>
                <w:sz w:val="21"/>
                <w:szCs w:val="21"/>
              </w:rPr>
              <w:t xml:space="preserve">On-time submission of all required documents; a complete and properly structured GitHub repository; demonstration that the team meets the graduation requirements</w:t>
            </w:r>
          </w:p>
        </w:tc>
      </w:tr>
    </w:tbl>
    <w:p>
      <w:pPr>
        <w:spacing w:after="80" w:before="0"/>
      </w:pPr>
      <w:r>
        <w:t xml:space="preserve"/>
      </w:r>
    </w:p>
    <w:p>
      <w:pPr>
        <w:spacing w:after="100" w:before="0"/>
      </w:pPr>
      <w:r>
        <w:t xml:space="preserve"/>
      </w:r>
    </w:p>
    <w:p>
      <w:pPr>
        <w:spacing w:after="120" w:before="360"/>
      </w:pPr>
      <w:r>
        <w:rPr>
          <w:rFonts w:ascii="Georgia" w:cs="Georgia" w:eastAsia="Georgia" w:hAnsi="Georgia"/>
          <w:b/>
          <w:bCs/>
          <w:color w:val="1A2D4F"/>
          <w:sz w:val="30"/>
          <w:szCs w:val="30"/>
        </w:rPr>
        <w:t xml:space="preserve">4.  Stakeholder Influence-Interest Matrix</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matrix below positions each stakeholder according to their level of interest in the project outcomes and their degree of influence over those outcomes. This positioning guides the engagement strategy applied throughout the project.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color w:val="FFFFFF"/>
                <w:sz w:val="21"/>
                <w:szCs w:val="21"/>
              </w:rPr>
              <w:t xml:space="preserve"/>
            </w:r>
          </w:p>
        </w:tc>
        <w:tc>
          <w:tcPr>
            <w:tcW w:type="dxa" w:w="312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Medium Interest</w:t>
            </w:r>
          </w:p>
        </w:tc>
        <w:tc>
          <w:tcPr>
            <w:tcW w:type="dxa" w:w="312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High Interest</w:t>
            </w:r>
          </w:p>
        </w:tc>
      </w:tr>
      <w:tr>
        <w:tc>
          <w:tcPr>
            <w:tcW w:type="dxa" w:w="3120"/>
            <w:tcBorders>
              <w:top w:val="single" w:color="CBD5E0" w:sz="1"/>
              <w:left w:val="single" w:color="CBD5E0" w:sz="1"/>
              <w:bottom w:val="single" w:color="CBD5E0" w:sz="1"/>
              <w:right w:val="single" w:color="CBD5E0" w:sz="1"/>
            </w:tcBorders>
            <w:shd w:fill="EBF0F7" w:val="clear"/>
            <w:tcMar>
              <w:top w:type="dxa" w:w="100"/>
              <w:left w:type="dxa" w:w="160"/>
              <w:bottom w:type="dxa" w:w="100"/>
              <w:right w:type="dxa" w:w="160"/>
            </w:tcMar>
          </w:tcPr>
          <w:p>
            <w:r>
              <w:rPr>
                <w:rFonts w:ascii="Arial" w:cs="Arial" w:eastAsia="Arial" w:hAnsi="Arial"/>
                <w:b/>
                <w:bCs/>
                <w:color w:val="1A2D4F"/>
                <w:sz w:val="21"/>
                <w:szCs w:val="21"/>
              </w:rPr>
              <w:t xml:space="preserve">High Influence</w:t>
            </w:r>
          </w:p>
        </w:tc>
        <w:tc>
          <w:tcPr>
            <w:tcW w:type="dxa" w:w="312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jc w:val="center"/>
            </w:pPr>
            <w:r>
              <w:rPr>
                <w:rFonts w:ascii="Arial" w:cs="Arial" w:eastAsia="Arial" w:hAnsi="Arial"/>
                <w:color w:val="2D3748"/>
                <w:sz w:val="20"/>
                <w:szCs w:val="20"/>
              </w:rPr>
              <w:t xml:space="preserve">Programme Administration</w:t>
            </w:r>
          </w:p>
        </w:tc>
        <w:tc>
          <w:tcPr>
            <w:tcW w:type="dxa" w:w="3120"/>
            <w:tcBorders>
              <w:top w:val="single" w:color="CBD5E0" w:sz="1"/>
              <w:left w:val="single" w:color="CBD5E0" w:sz="1"/>
              <w:bottom w:val="single" w:color="CBD5E0" w:sz="1"/>
              <w:right w:val="single" w:color="CBD5E0" w:sz="1"/>
            </w:tcBorders>
            <w:shd w:fill="EBF5FB" w:val="clear"/>
            <w:tcMar>
              <w:top w:type="dxa" w:w="100"/>
              <w:left w:type="dxa" w:w="160"/>
              <w:bottom w:type="dxa" w:w="100"/>
              <w:right w:type="dxa" w:w="160"/>
            </w:tcMar>
          </w:tcPr>
          <w:p>
            <w:pPr>
              <w:jc w:val="center"/>
            </w:pPr>
            <w:r>
              <w:rPr>
                <w:rFonts w:ascii="Arial" w:cs="Arial" w:eastAsia="Arial" w:hAnsi="Arial"/>
                <w:b/>
                <w:bCs/>
                <w:color w:val="2E5FA3"/>
                <w:sz w:val="20"/>
                <w:szCs w:val="20"/>
              </w:rPr>
              <w:t xml:space="preserve">Lecturer / Supervisor
Project Team (all members)</w:t>
            </w:r>
          </w:p>
        </w:tc>
      </w:tr>
      <w:tr>
        <w:tc>
          <w:tcPr>
            <w:tcW w:type="dxa" w:w="3120"/>
            <w:tcBorders>
              <w:top w:val="single" w:color="CBD5E0" w:sz="1"/>
              <w:left w:val="single" w:color="CBD5E0" w:sz="1"/>
              <w:bottom w:val="single" w:color="CBD5E0" w:sz="1"/>
              <w:right w:val="single" w:color="CBD5E0" w:sz="1"/>
            </w:tcBorders>
            <w:shd w:fill="EBF0F7" w:val="clear"/>
            <w:tcMar>
              <w:top w:type="dxa" w:w="100"/>
              <w:left w:type="dxa" w:w="160"/>
              <w:bottom w:type="dxa" w:w="100"/>
              <w:right w:type="dxa" w:w="160"/>
            </w:tcMar>
          </w:tcPr>
          <w:p>
            <w:r>
              <w:rPr>
                <w:rFonts w:ascii="Arial" w:cs="Arial" w:eastAsia="Arial" w:hAnsi="Arial"/>
                <w:b/>
                <w:bCs/>
                <w:color w:val="1A2D4F"/>
                <w:sz w:val="21"/>
                <w:szCs w:val="21"/>
              </w:rPr>
              <w:t xml:space="preserve">Medium Influence</w:t>
            </w:r>
          </w:p>
        </w:tc>
        <w:tc>
          <w:tcPr>
            <w:tcW w:type="dxa" w:w="3120"/>
            <w:tcBorders>
              <w:top w:val="single" w:color="CBD5E0" w:sz="1"/>
              <w:left w:val="single" w:color="CBD5E0" w:sz="1"/>
              <w:bottom w:val="single" w:color="CBD5E0" w:sz="1"/>
              <w:right w:val="single" w:color="CBD5E0" w:sz="1"/>
            </w:tcBorders>
            <w:shd w:fill="F0F4FA" w:val="clear"/>
            <w:tcMar>
              <w:top w:type="dxa" w:w="100"/>
              <w:left w:type="dxa" w:w="160"/>
              <w:bottom w:type="dxa" w:w="100"/>
              <w:right w:type="dxa" w:w="160"/>
            </w:tcMar>
          </w:tcPr>
          <w:p>
            <w:pPr>
              <w:jc w:val="center"/>
            </w:pPr>
            <w:r>
              <w:rPr>
                <w:rFonts w:ascii="Arial" w:cs="Arial" w:eastAsia="Arial" w:hAnsi="Arial"/>
                <w:color w:val="2D3748"/>
                <w:sz w:val="20"/>
                <w:szCs w:val="20"/>
              </w:rPr>
              <w:t xml:space="preserve">Security Engineering Community</w:t>
            </w:r>
          </w:p>
        </w:tc>
        <w:tc>
          <w:tcPr>
            <w:tcW w:type="dxa" w:w="3120"/>
            <w:tcBorders>
              <w:top w:val="single" w:color="CBD5E0" w:sz="1"/>
              <w:left w:val="single" w:color="CBD5E0" w:sz="1"/>
              <w:bottom w:val="single" w:color="CBD5E0" w:sz="1"/>
              <w:right w:val="single" w:color="CBD5E0" w:sz="1"/>
            </w:tcBorders>
            <w:shd w:fill="F0F4FA" w:val="clear"/>
            <w:tcMar>
              <w:top w:type="dxa" w:w="100"/>
              <w:left w:type="dxa" w:w="160"/>
              <w:bottom w:type="dxa" w:w="100"/>
              <w:right w:type="dxa" w:w="160"/>
            </w:tcMar>
          </w:tcPr>
          <w:p>
            <w:pPr>
              <w:jc w:val="center"/>
            </w:pPr>
            <w:r>
              <w:rPr>
                <w:rFonts w:ascii="Arial" w:cs="Arial" w:eastAsia="Arial" w:hAnsi="Arial"/>
                <w:b/>
                <w:bCs/>
                <w:color w:val="2E5FA3"/>
                <w:sz w:val="20"/>
                <w:szCs w:val="20"/>
              </w:rPr>
              <w:t xml:space="preserve">—</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5.  Engagement Strategy</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Based on the stakeholder profiles and influence-interest positioning, the following engagement approach is applied throughout the project:</w:t>
      </w:r>
    </w:p>
    <w:p>
      <w:pPr>
        <w:spacing w:after="40" w:before="0"/>
      </w:pPr>
      <w:r>
        <w:t xml:space="preserve"/>
      </w:r>
    </w:p>
    <w:p>
      <w:pPr>
        <w:spacing w:after="90" w:before="90"/>
        <w:ind w:left="200"/>
      </w:pPr>
      <w:r>
        <w:rPr>
          <w:rFonts w:ascii="Arial" w:cs="Arial" w:eastAsia="Arial" w:hAnsi="Arial"/>
          <w:b/>
          <w:bCs/>
          <w:color w:val="2E5FA3"/>
          <w:sz w:val="22"/>
          <w:szCs w:val="22"/>
        </w:rPr>
        <w:t xml:space="preserve">Project Team (all members):  </w:t>
      </w:r>
      <w:r>
        <w:rPr>
          <w:rFonts w:ascii="Arial" w:cs="Arial" w:eastAsia="Arial" w:hAnsi="Arial"/>
          <w:color w:val="2D3748"/>
          <w:sz w:val="22"/>
          <w:szCs w:val="22"/>
        </w:rPr>
        <w:t xml:space="preserve">Continuous collaboration — daily communication during active phases, joint review of all documents before GitHub upload, weekly milestone review at the end of each project phase.</w:t>
      </w:r>
    </w:p>
    <w:p>
      <w:pPr>
        <w:spacing w:after="90" w:before="90"/>
        <w:ind w:left="200"/>
      </w:pPr>
      <w:r>
        <w:rPr>
          <w:rFonts w:ascii="Arial" w:cs="Arial" w:eastAsia="Arial" w:hAnsi="Arial"/>
          <w:b/>
          <w:bCs/>
          <w:color w:val="2E5FA3"/>
          <w:sz w:val="22"/>
          <w:szCs w:val="22"/>
        </w:rPr>
        <w:t xml:space="preserve">Lecturer / Supervisor:  </w:t>
      </w:r>
      <w:r>
        <w:rPr>
          <w:rFonts w:ascii="Arial" w:cs="Arial" w:eastAsia="Arial" w:hAnsi="Arial"/>
          <w:color w:val="2D3748"/>
          <w:sz w:val="22"/>
          <w:szCs w:val="22"/>
        </w:rPr>
        <w:t xml:space="preserve">Deliverable-driven engagement — all required documents submitted on schedule via GitHub; the final presentation provides the primary formal engagement opportunity; the Feedback and Grading sections of the Literature Review document are reserved for the lecturer's completion.</w:t>
      </w:r>
    </w:p>
    <w:p>
      <w:pPr>
        <w:spacing w:after="90" w:before="90"/>
        <w:ind w:left="200"/>
      </w:pPr>
      <w:r>
        <w:rPr>
          <w:rFonts w:ascii="Arial" w:cs="Arial" w:eastAsia="Arial" w:hAnsi="Arial"/>
          <w:b/>
          <w:bCs/>
          <w:color w:val="2E5FA3"/>
          <w:sz w:val="22"/>
          <w:szCs w:val="22"/>
        </w:rPr>
        <w:t xml:space="preserve">Programme Administration:  </w:t>
      </w:r>
      <w:r>
        <w:rPr>
          <w:rFonts w:ascii="Arial" w:cs="Arial" w:eastAsia="Arial" w:hAnsi="Arial"/>
          <w:color w:val="2D3748"/>
          <w:sz w:val="22"/>
          <w:szCs w:val="22"/>
        </w:rPr>
        <w:t xml:space="preserve">Compliance-driven engagement — all submission deadlines met; repository structure maintained according to programme guidelines; no direct communication required beyond submission.</w:t>
      </w:r>
    </w:p>
    <w:p>
      <w:pPr>
        <w:spacing w:after="90" w:before="90"/>
        <w:ind w:left="200"/>
      </w:pPr>
      <w:r>
        <w:rPr>
          <w:rFonts w:ascii="Arial" w:cs="Arial" w:eastAsia="Arial" w:hAnsi="Arial"/>
          <w:b/>
          <w:bCs/>
          <w:color w:val="2E5FA3"/>
          <w:sz w:val="22"/>
          <w:szCs w:val="22"/>
        </w:rPr>
        <w:t xml:space="preserve">Security Engineering Community:  </w:t>
      </w:r>
      <w:r>
        <w:rPr>
          <w:rFonts w:ascii="Arial" w:cs="Arial" w:eastAsia="Arial" w:hAnsi="Arial"/>
          <w:color w:val="2D3748"/>
          <w:sz w:val="22"/>
          <w:szCs w:val="22"/>
        </w:rPr>
        <w:t xml:space="preserve">Passive engagement — the project's documented methodology and findings are made available through the public GitHub repository as a reference contribution.</w:t>
      </w:r>
    </w:p>
    <w:p>
      <w:pPr>
        <w:spacing w:after="120" w:before="0"/>
      </w:pPr>
      <w:r>
        <w:t xml:space="preserve"/>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220"/>
            <w:left w:type="dxa" w:w="360"/>
            <w:bottom w:type="dxa" w:w="220"/>
            <w:right w:type="dxa" w:w="360"/>
          </w:tcMar>
        </w:tcPr>
        <w:p>
          <w:pPr>
            <w:spacing w:after="50" w:before="0"/>
          </w:pPr>
          <w:r>
            <w:rPr>
              <w:rFonts w:ascii="Georgia" w:cs="Georgia" w:eastAsia="Georgia" w:hAnsi="Georgia"/>
              <w:b/>
              <w:bCs/>
              <w:color w:val="FFFFFF"/>
              <w:sz w:val="34"/>
              <w:szCs w:val="34"/>
            </w:rPr>
            <w:t xml:space="preserve">Stakeholder Analysis</w:t>
          </w:r>
        </w:p>
        <w:p>
          <w:pPr>
            <w:spacing w:after="0" w:before="0"/>
          </w:pPr>
          <w:r>
            <w:rPr>
              <w:rFonts w:ascii="Arial" w:cs="Arial" w:eastAsia="Arial" w:hAnsi="Arial"/>
              <w:i/>
              <w:iCs/>
              <w:color w:val="A0BAD8"/>
              <w:sz w:val="19"/>
              <w:szCs w:val="19"/>
            </w:rPr>
            <w:t xml:space="preserve">Security Misconfiguration Audit and Remediation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bullet"/>
      <w:lvlText w:val="–"/>
      <w:lvlJc w:val="left"/>
      <w:pPr>
        <w:ind w:left="96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2026-06-21T16:09:45.304Z</dcterms:created>
  <dcterms:modified xsi:type="dcterms:W3CDTF">2026-06-21T16:09:45.314Z</dcterms:modified>
</cp:coreProperties>
</file>

<file path=docProps/custom.xml><?xml version="1.0" encoding="utf-8"?>
<Properties xmlns="http://schemas.openxmlformats.org/officeDocument/2006/custom-properties" xmlns:vt="http://schemas.openxmlformats.org/officeDocument/2006/docPropsVTypes"/>
</file>