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40" w:before="0"/>
            </w:pPr>
            <w:r>
              <w:rPr>
                <w:rFonts w:ascii="Georgia" w:cs="Georgia" w:eastAsia="Georgia" w:hAnsi="Georgia"/>
                <w:b/>
                <w:bCs/>
                <w:color w:val="1A2D4F"/>
                <w:sz w:val="40"/>
                <w:szCs w:val="40"/>
              </w:rPr>
              <w:t xml:space="preserve">Problem Statement and Objectives</w:t>
            </w:r>
          </w:p>
          <w:p>
            <w:pPr>
              <w:spacing w:after="0" w:before="0"/>
            </w:pPr>
            <w:r>
              <w:rPr>
                <w:rFonts w:ascii="Arial" w:cs="Arial" w:eastAsia="Arial" w:hAnsi="Arial"/>
                <w:i/>
                <w:iCs/>
                <w:color w:val="4A5568"/>
                <w:sz w:val="22"/>
                <w:szCs w:val="22"/>
              </w:rPr>
              <w:t xml:space="preserve">Defining the Core Problem, Project Goals, and Success Criteria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22 June 2026</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Problem Statement</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Organisations across every sector continue to suffer preventable security incidents caused by one of the most basic categories of vulnerability: security misconfiguration. Unlike zero-day exploits that demand sophisticated techniques to discover and weaponise, misconfigurations are typically straightforward to identify and trivial to exploit. Default credentials that were never changed, services that were never disabled, permissions set too broadly for convenience, software versions never updated after deployment — these are the attack vectors that real threat actors look for first, because they require minimal effort and consistently yield significant access.</w:t>
      </w:r>
    </w:p>
    <w:p>
      <w:pPr>
        <w:spacing w:after="60" w:before="0"/>
      </w:pPr>
      <w:r>
        <w:t xml:space="preserve"/>
      </w:r>
    </w:p>
    <w:p>
      <w:pPr>
        <w:spacing w:after="100" w:before="60"/>
      </w:pPr>
      <w:r>
        <w:rPr>
          <w:rFonts w:ascii="Arial" w:cs="Arial" w:eastAsia="Arial" w:hAnsi="Arial"/>
          <w:color w:val="2D3748"/>
          <w:sz w:val="22"/>
          <w:szCs w:val="22"/>
        </w:rPr>
        <w:t xml:space="preserve">The problem is not a lack of awareness. Industry frameworks such as the OWASP Top 10, NIST SP 800-53, and CIS Benchmarks have documented this class of vulnerability and its remediation for over a decade. The problem is a gap between knowledge and practice — the absence of a structured, repeatable process for identifying every misconfiguration present on a given system, assessing its risk accurately, fixing it correctly, and proving the fix held.</w:t>
      </w:r>
    </w:p>
    <w:p>
      <w:pPr>
        <w:spacing w:after="60" w:before="0"/>
      </w:pPr>
      <w:r>
        <w:t xml:space="preserve"/>
      </w:r>
    </w:p>
    <w:p>
      <w:pPr>
        <w:spacing w:after="100" w:before="60"/>
      </w:pPr>
      <w:r>
        <w:rPr>
          <w:rFonts w:ascii="Arial" w:cs="Arial" w:eastAsia="Arial" w:hAnsi="Arial"/>
          <w:color w:val="2D3748"/>
          <w:sz w:val="22"/>
          <w:szCs w:val="22"/>
        </w:rPr>
        <w:t xml:space="preserve">This project addresses that gap directly. Using a deliberately misconfigured target environment that represents a realistic cross-section of the services found in real-world infrastructure, the project team will execute and document a complete security misconfiguration audit engagement — from initial enumeration through to verified remediation. The outcome is both a more secure target system and a professional-quality audit record that demonstrates the complete lifecycle of this class of security assessment.</w:t>
      </w:r>
    </w:p>
    <w:p>
      <w:pPr>
        <w:spacing w:after="100" w:before="0"/>
      </w:pPr>
      <w:r>
        <w:t xml:space="preserve"/>
      </w:r>
    </w:p>
    <w:p>
      <w:pPr>
        <w:spacing w:after="120" w:before="360"/>
      </w:pPr>
      <w:r>
        <w:rPr>
          <w:rFonts w:ascii="Georgia" w:cs="Georgia" w:eastAsia="Georgia" w:hAnsi="Georgia"/>
          <w:b/>
          <w:bCs/>
          <w:color w:val="1A2D4F"/>
          <w:sz w:val="30"/>
          <w:szCs w:val="30"/>
        </w:rPr>
        <w:t xml:space="preserve">2.  Problem Scope and Context</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problem being addressed operates at the intersection of two distinct but related challenges:</w:t>
      </w:r>
    </w:p>
    <w:p>
      <w:pPr>
        <w:spacing w:after="40" w:before="0"/>
      </w:pPr>
      <w:r>
        <w:t xml:space="preserve"/>
      </w:r>
    </w:p>
    <w:p>
      <w:pPr>
        <w:spacing w:after="100" w:before="260"/>
      </w:pPr>
      <w:r>
        <w:rPr>
          <w:rFonts w:ascii="Arial" w:cs="Arial" w:eastAsia="Arial" w:hAnsi="Arial"/>
          <w:b/>
          <w:bCs/>
          <w:color w:val="2E5FA3"/>
          <w:sz w:val="25"/>
          <w:szCs w:val="25"/>
        </w:rPr>
        <w:t xml:space="preserve">2.1  The Technical Challenge</w:t>
      </w:r>
    </w:p>
    <w:p>
      <w:pPr>
        <w:spacing w:after="100" w:before="60"/>
      </w:pPr>
      <w:r>
        <w:rPr>
          <w:rFonts w:ascii="Arial" w:cs="Arial" w:eastAsia="Arial" w:hAnsi="Arial"/>
          <w:color w:val="2D3748"/>
          <w:sz w:val="22"/>
          <w:szCs w:val="22"/>
        </w:rPr>
        <w:t xml:space="preserve">A misconfigured system typically presents multiple overlapping vulnerabilities across different services and layers. Identifying them all requires systematic enumeration — not a single tool run, but a disciplined combination of automated scanning, service-specific testing, credential verification, and manual inspection. Missing even one service or skipping manual verification of automated findings can leave a critical exposure undetected.</w:t>
      </w:r>
    </w:p>
    <w:p>
      <w:pPr>
        <w:spacing w:after="60" w:before="0"/>
      </w:pPr>
      <w:r>
        <w:t xml:space="preserve"/>
      </w:r>
    </w:p>
    <w:p>
      <w:pPr>
        <w:spacing w:after="100" w:before="60"/>
      </w:pPr>
      <w:r>
        <w:rPr>
          <w:rFonts w:ascii="Arial" w:cs="Arial" w:eastAsia="Arial" w:hAnsi="Arial"/>
          <w:color w:val="2D3748"/>
          <w:sz w:val="22"/>
          <w:szCs w:val="22"/>
        </w:rPr>
        <w:t xml:space="preserve">Beyond detection, remediation itself carries risk. Applying fixes incorrectly — or applying them without understanding their side effects — can break services, introduce new issues, or create a false sense of security. Effective remediation requires understanding what each fix does, not just running the command.</w:t>
      </w:r>
    </w:p>
    <w:p>
      <w:pPr>
        <w:spacing w:after="60" w:before="0"/>
      </w:pPr>
      <w:r>
        <w:t xml:space="preserve"/>
      </w:r>
    </w:p>
    <w:p>
      <w:pPr>
        <w:spacing w:after="100" w:before="260"/>
      </w:pPr>
      <w:r>
        <w:rPr>
          <w:rFonts w:ascii="Arial" w:cs="Arial" w:eastAsia="Arial" w:hAnsi="Arial"/>
          <w:b/>
          <w:bCs/>
          <w:color w:val="2E5FA3"/>
          <w:sz w:val="25"/>
          <w:szCs w:val="25"/>
        </w:rPr>
        <w:t xml:space="preserve">2.2  The Documentation Challenge</w:t>
      </w:r>
    </w:p>
    <w:p>
      <w:pPr>
        <w:spacing w:after="100" w:before="60"/>
      </w:pPr>
      <w:r>
        <w:rPr>
          <w:rFonts w:ascii="Arial" w:cs="Arial" w:eastAsia="Arial" w:hAnsi="Arial"/>
          <w:color w:val="2D3748"/>
          <w:sz w:val="22"/>
          <w:szCs w:val="22"/>
        </w:rPr>
        <w:t xml:space="preserve">A security audit that is not documented is an audit that cannot be reviewed, repeated, or built upon. In professional and academic contexts alike, the value of the work is inseparable from the quality of its documentation. A complete audit record must trace every finding from initial detection through risk assessment to remediation and verified closure — with sufficient technical detail that a qualified reviewer can independently assess the quality of the work without having been present for it.</w:t>
      </w:r>
    </w:p>
    <w:p>
      <w:pPr>
        <w:spacing w:after="100" w:before="0"/>
      </w:pPr>
      <w:r>
        <w:t xml:space="preserve"/>
      </w:r>
    </w:p>
    <w:p>
      <w:pPr>
        <w:spacing w:after="120" w:before="360"/>
      </w:pPr>
      <w:r>
        <w:rPr>
          <w:rFonts w:ascii="Georgia" w:cs="Georgia" w:eastAsia="Georgia" w:hAnsi="Georgia"/>
          <w:b/>
          <w:bCs/>
          <w:color w:val="1A2D4F"/>
          <w:sz w:val="30"/>
          <w:szCs w:val="30"/>
        </w:rPr>
        <w:t xml:space="preserve">3.  Project Objectives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following objectives define what this project must accomplish to be considered successfully completed. Each objective is measurable and maps to one or more project deliverables.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960"/>
        <w:gridCol w:w="36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Ref.</w:t>
            </w:r>
          </w:p>
        </w:tc>
        <w:tc>
          <w:tcPr>
            <w:tcW w:type="dxa" w:w="49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Objective</w:t>
            </w:r>
          </w:p>
        </w:tc>
        <w:tc>
          <w:tcPr>
            <w:tcW w:type="dxa" w:w="3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Primary Deliverable</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20"/>
                <w:szCs w:val="20"/>
              </w:rPr>
              <w:t xml:space="preserve">OBJ-1</w:t>
            </w:r>
          </w:p>
        </w:tc>
        <w:tc>
          <w:tcPr>
            <w:tcW w:type="dxa" w:w="49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20"/>
                <w:szCs w:val="20"/>
              </w:rPr>
              <w:t xml:space="preserve">Establish a fully operational, isolated laboratory environment in which all audit, remediation, and verification activities can be conducted safely and reproducibly.</w:t>
            </w:r>
          </w:p>
        </w:tc>
        <w:tc>
          <w:tcPr>
            <w:tcW w:type="dxa" w:w="3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i/>
                <w:iCs/>
                <w:color w:val="718096"/>
                <w:sz w:val="20"/>
                <w:szCs w:val="20"/>
              </w:rPr>
              <w:t xml:space="preserve">Lab setup confirmation; Audit Target Selection Document</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20"/>
                <w:szCs w:val="20"/>
              </w:rPr>
              <w:t xml:space="preserve">OBJ-2</w:t>
            </w:r>
          </w:p>
        </w:tc>
        <w:tc>
          <w:tcPr>
            <w:tcW w:type="dxa" w:w="49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20"/>
                <w:szCs w:val="20"/>
              </w:rPr>
              <w:t xml:space="preserve">Enumerate the complete attack surface of the target system — identifying every open port, running service, and software version — with no gaps attributable to insufficient scan coverage.</w:t>
            </w:r>
          </w:p>
        </w:tc>
        <w:tc>
          <w:tcPr>
            <w:tcW w:type="dxa" w:w="3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i/>
                <w:iCs/>
                <w:color w:val="718096"/>
                <w:sz w:val="20"/>
                <w:szCs w:val="20"/>
              </w:rPr>
              <w:t xml:space="preserve">Nmap full-range scan output; Audit Findings Report</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20"/>
                <w:szCs w:val="20"/>
              </w:rPr>
              <w:t xml:space="preserve">OBJ-3</w:t>
            </w:r>
          </w:p>
        </w:tc>
        <w:tc>
          <w:tcPr>
            <w:tcW w:type="dxa" w:w="49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20"/>
                <w:szCs w:val="20"/>
              </w:rPr>
              <w:t xml:space="preserve">Identify and document every security misconfiguration present on the target across all in-scope services, with a precise technical description for each finding.</w:t>
            </w:r>
          </w:p>
        </w:tc>
        <w:tc>
          <w:tcPr>
            <w:tcW w:type="dxa" w:w="3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i/>
                <w:iCs/>
                <w:color w:val="718096"/>
                <w:sz w:val="20"/>
                <w:szCs w:val="20"/>
              </w:rPr>
              <w:t xml:space="preserve">Misconfiguration Checklist; Audit Findings Report</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20"/>
                <w:szCs w:val="20"/>
              </w:rPr>
              <w:t xml:space="preserve">OBJ-4</w:t>
            </w:r>
          </w:p>
        </w:tc>
        <w:tc>
          <w:tcPr>
            <w:tcW w:type="dxa" w:w="49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20"/>
                <w:szCs w:val="20"/>
              </w:rPr>
              <w:t xml:space="preserve">Assess the risk of each identified misconfiguration accurately, assigning a severity rating consistent with standard industry classification criteria.</w:t>
            </w:r>
          </w:p>
        </w:tc>
        <w:tc>
          <w:tcPr>
            <w:tcW w:type="dxa" w:w="3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i/>
                <w:iCs/>
                <w:color w:val="718096"/>
                <w:sz w:val="20"/>
                <w:szCs w:val="20"/>
              </w:rPr>
              <w:t xml:space="preserve">Impact Analysis Document; Audit Findings Report severity column</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20"/>
                <w:szCs w:val="20"/>
              </w:rPr>
              <w:t xml:space="preserve">OBJ-5</w:t>
            </w:r>
          </w:p>
        </w:tc>
        <w:tc>
          <w:tcPr>
            <w:tcW w:type="dxa" w:w="49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20"/>
                <w:szCs w:val="20"/>
              </w:rPr>
              <w:t xml:space="preserve">Develop a structured, per-finding remediation plan before any configuration change is applied, ensuring each fix is deliberate and documented in advance.</w:t>
            </w:r>
          </w:p>
        </w:tc>
        <w:tc>
          <w:tcPr>
            <w:tcW w:type="dxa" w:w="3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i/>
                <w:iCs/>
                <w:color w:val="718096"/>
                <w:sz w:val="20"/>
                <w:szCs w:val="20"/>
              </w:rPr>
              <w:t xml:space="preserve">Remediation Plan Document</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20"/>
                <w:szCs w:val="20"/>
              </w:rPr>
              <w:t xml:space="preserve">OBJ-6</w:t>
            </w:r>
          </w:p>
        </w:tc>
        <w:tc>
          <w:tcPr>
            <w:tcW w:type="dxa" w:w="49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20"/>
                <w:szCs w:val="20"/>
              </w:rPr>
              <w:t xml:space="preserve">Implement all remediation steps on the target system and confirm through targeted re-testing that each individual fix is effective before proceeding to the next.</w:t>
            </w:r>
          </w:p>
        </w:tc>
        <w:tc>
          <w:tcPr>
            <w:tcW w:type="dxa" w:w="3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i/>
                <w:iCs/>
                <w:color w:val="718096"/>
                <w:sz w:val="20"/>
                <w:szCs w:val="20"/>
              </w:rPr>
              <w:t xml:space="preserve">Fix Implementation Report</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20"/>
                <w:szCs w:val="20"/>
              </w:rPr>
              <w:t xml:space="preserve">OBJ-7</w:t>
            </w:r>
          </w:p>
        </w:tc>
        <w:tc>
          <w:tcPr>
            <w:tcW w:type="dxa" w:w="49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20"/>
                <w:szCs w:val="20"/>
              </w:rPr>
              <w:t xml:space="preserve">Verify through comprehensive post-remediation scanning that all identified issues are resolved and that no new vulnerabilities or regressions have been introduced.</w:t>
            </w:r>
          </w:p>
        </w:tc>
        <w:tc>
          <w:tcPr>
            <w:tcW w:type="dxa" w:w="3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i/>
                <w:iCs/>
                <w:color w:val="718096"/>
                <w:sz w:val="20"/>
                <w:szCs w:val="20"/>
              </w:rPr>
              <w:t xml:space="preserve">Verification Report</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20"/>
                <w:szCs w:val="20"/>
              </w:rPr>
              <w:t xml:space="preserve">OBJ-8</w:t>
            </w:r>
          </w:p>
        </w:tc>
        <w:tc>
          <w:tcPr>
            <w:tcW w:type="dxa" w:w="49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20"/>
                <w:szCs w:val="20"/>
              </w:rPr>
              <w:t xml:space="preserve">Produce a complete, professional-quality project documentation set comprising all required deliverables, submitted to GitHub before the programme deadlines.</w:t>
            </w:r>
          </w:p>
        </w:tc>
        <w:tc>
          <w:tcPr>
            <w:tcW w:type="dxa" w:w="3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i/>
                <w:iCs/>
                <w:color w:val="718096"/>
                <w:sz w:val="20"/>
                <w:szCs w:val="20"/>
              </w:rPr>
              <w:t xml:space="preserve">All 26 project documents; GitHub repository</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Success Criteria</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project is considered successfully completed when all of the following conditions are met:</w:t>
      </w:r>
    </w:p>
    <w:p>
      <w:pPr>
        <w:spacing w:after="40" w:before="0"/>
      </w:pPr>
      <w:r>
        <w:t xml:space="preserve"/>
      </w:r>
    </w:p>
    <w:p>
      <w:pPr>
        <w:pStyle w:val="ListParagraph"/>
        <w:numPr>
          <w:ilvl w:val="0"/>
          <w:numId w:val="2"/>
        </w:numPr>
        <w:spacing w:after="60" w:before="60"/>
      </w:pPr>
      <w:r>
        <w:rPr>
          <w:rFonts w:ascii="Arial" w:cs="Arial" w:eastAsia="Arial" w:hAnsi="Arial"/>
          <w:color w:val="2D3748"/>
          <w:sz w:val="22"/>
          <w:szCs w:val="22"/>
        </w:rPr>
        <w:t xml:space="preserve">All open ports and active services on Metasploitable2 have been identified and documented.</w:t>
      </w:r>
    </w:p>
    <w:p>
      <w:pPr>
        <w:pStyle w:val="ListParagraph"/>
        <w:numPr>
          <w:ilvl w:val="0"/>
          <w:numId w:val="2"/>
        </w:numPr>
        <w:spacing w:after="60" w:before="60"/>
      </w:pPr>
      <w:r>
        <w:rPr>
          <w:rFonts w:ascii="Arial" w:cs="Arial" w:eastAsia="Arial" w:hAnsi="Arial"/>
          <w:color w:val="2D3748"/>
          <w:sz w:val="22"/>
          <w:szCs w:val="22"/>
        </w:rPr>
        <w:t xml:space="preserve">Every item on the Misconfiguration Checklist has been assessed and its status confirmed as either verified present, verified absent, or not applicable with justification.</w:t>
      </w:r>
    </w:p>
    <w:p>
      <w:pPr>
        <w:pStyle w:val="ListParagraph"/>
        <w:numPr>
          <w:ilvl w:val="0"/>
          <w:numId w:val="2"/>
        </w:numPr>
        <w:spacing w:after="60" w:before="60"/>
      </w:pPr>
      <w:r>
        <w:rPr>
          <w:rFonts w:ascii="Arial" w:cs="Arial" w:eastAsia="Arial" w:hAnsi="Arial"/>
          <w:color w:val="2D3748"/>
          <w:sz w:val="22"/>
          <w:szCs w:val="22"/>
        </w:rPr>
        <w:t xml:space="preserve">Every confirmed misconfiguration has been assigned a severity rating and documented in the Audit Findings Report with technical evidence.</w:t>
      </w:r>
    </w:p>
    <w:p>
      <w:pPr>
        <w:pStyle w:val="ListParagraph"/>
        <w:numPr>
          <w:ilvl w:val="0"/>
          <w:numId w:val="2"/>
        </w:numPr>
        <w:spacing w:after="60" w:before="60"/>
      </w:pPr>
      <w:r>
        <w:rPr>
          <w:rFonts w:ascii="Arial" w:cs="Arial" w:eastAsia="Arial" w:hAnsi="Arial"/>
          <w:color w:val="2D3748"/>
          <w:sz w:val="22"/>
          <w:szCs w:val="22"/>
        </w:rPr>
        <w:t xml:space="preserve">A remediation action has been applied for every confirmed finding, with the change logged at the command level in the Fix Implementation Report.</w:t>
      </w:r>
    </w:p>
    <w:p>
      <w:pPr>
        <w:pStyle w:val="ListParagraph"/>
        <w:numPr>
          <w:ilvl w:val="0"/>
          <w:numId w:val="2"/>
        </w:numPr>
        <w:spacing w:after="60" w:before="60"/>
      </w:pPr>
      <w:r>
        <w:rPr>
          <w:rFonts w:ascii="Arial" w:cs="Arial" w:eastAsia="Arial" w:hAnsi="Arial"/>
          <w:color w:val="2D3748"/>
          <w:sz w:val="22"/>
          <w:szCs w:val="22"/>
        </w:rPr>
        <w:t xml:space="preserve">A post-remediation scan confirms that all previously identified issues are no longer present and no new issues have been introduced.</w:t>
      </w:r>
    </w:p>
    <w:p>
      <w:pPr>
        <w:pStyle w:val="ListParagraph"/>
        <w:numPr>
          <w:ilvl w:val="0"/>
          <w:numId w:val="2"/>
        </w:numPr>
        <w:spacing w:after="60" w:before="60"/>
      </w:pPr>
      <w:r>
        <w:rPr>
          <w:rFonts w:ascii="Arial" w:cs="Arial" w:eastAsia="Arial" w:hAnsi="Arial"/>
          <w:color w:val="2D3748"/>
          <w:sz w:val="22"/>
          <w:szCs w:val="22"/>
        </w:rPr>
        <w:t xml:space="preserve">All 26 required project documents have been completed, peer-reviewed, and uploaded to GitHub before the respective graduate deadlines.</w:t>
      </w:r>
    </w:p>
    <w:p>
      <w:pPr>
        <w:pStyle w:val="ListParagraph"/>
        <w:numPr>
          <w:ilvl w:val="0"/>
          <w:numId w:val="2"/>
        </w:numPr>
        <w:spacing w:after="60" w:before="60"/>
      </w:pPr>
      <w:r>
        <w:rPr>
          <w:rFonts w:ascii="Arial" w:cs="Arial" w:eastAsia="Arial" w:hAnsi="Arial"/>
          <w:color w:val="2D3748"/>
          <w:sz w:val="22"/>
          <w:szCs w:val="22"/>
        </w:rPr>
        <w:t xml:space="preserve">The final project presentation accurately reflects the findings, remediation actions, and verification results documented across the project.</w:t>
      </w:r>
    </w:p>
    <w:p>
      <w:pPr>
        <w:spacing w:after="100" w:before="0"/>
      </w:pPr>
      <w:r>
        <w:t xml:space="preserve"/>
      </w:r>
    </w:p>
    <w:p>
      <w:pPr>
        <w:spacing w:after="120" w:before="360"/>
      </w:pPr>
      <w:r>
        <w:rPr>
          <w:rFonts w:ascii="Georgia" w:cs="Georgia" w:eastAsia="Georgia" w:hAnsi="Georgia"/>
          <w:b/>
          <w:bCs/>
          <w:color w:val="1A2D4F"/>
          <w:sz w:val="30"/>
          <w:szCs w:val="30"/>
        </w:rPr>
        <w:t xml:space="preserve">5.  Constraints and Assumptions</w:t>
      </w:r>
    </w:p>
    <w:p>
      <w:pPr>
        <w:pBdr>
          <w:bottom w:val="single" w:color="2E5FA3" w:sz="4" w:space="1"/>
        </w:pBdr>
        <w:spacing w:after="160" w:before="180"/>
      </w:pPr>
      <w:r>
        <w:t xml:space="preserve"/>
      </w:r>
    </w:p>
    <w:p>
      <w:pPr>
        <w:spacing w:after="100" w:before="260"/>
      </w:pPr>
      <w:r>
        <w:rPr>
          <w:rFonts w:ascii="Arial" w:cs="Arial" w:eastAsia="Arial" w:hAnsi="Arial"/>
          <w:b/>
          <w:bCs/>
          <w:color w:val="2E5FA3"/>
          <w:sz w:val="25"/>
          <w:szCs w:val="25"/>
        </w:rPr>
        <w:t xml:space="preserve">5.1  Constraints</w:t>
      </w:r>
    </w:p>
    <w:p>
      <w:pPr>
        <w:pStyle w:val="ListParagraph"/>
        <w:numPr>
          <w:ilvl w:val="0"/>
          <w:numId w:val="2"/>
        </w:numPr>
        <w:spacing w:after="60" w:before="60"/>
      </w:pPr>
      <w:r>
        <w:rPr>
          <w:rFonts w:ascii="Arial" w:cs="Arial" w:eastAsia="Arial" w:hAnsi="Arial"/>
          <w:color w:val="2D3748"/>
          <w:sz w:val="22"/>
          <w:szCs w:val="22"/>
        </w:rPr>
        <w:t xml:space="preserve">The audit is conducted exclusively on the Metasploitable2 virtual machine within an isolated VMware environment. No real-world or production systems are in scope.</w:t>
      </w:r>
    </w:p>
    <w:p>
      <w:pPr>
        <w:pStyle w:val="ListParagraph"/>
        <w:numPr>
          <w:ilvl w:val="0"/>
          <w:numId w:val="2"/>
        </w:numPr>
        <w:spacing w:after="60" w:before="60"/>
      </w:pPr>
      <w:r>
        <w:rPr>
          <w:rFonts w:ascii="Arial" w:cs="Arial" w:eastAsia="Arial" w:hAnsi="Arial"/>
          <w:color w:val="2D3748"/>
          <w:sz w:val="22"/>
          <w:szCs w:val="22"/>
        </w:rPr>
        <w:t xml:space="preserve">All work must be completed within a four-week timeline, with implementation deliverables due by 17 May 2026 and final reports due by 24 May 2026.</w:t>
      </w:r>
    </w:p>
    <w:p>
      <w:pPr>
        <w:pStyle w:val="ListParagraph"/>
        <w:numPr>
          <w:ilvl w:val="0"/>
          <w:numId w:val="2"/>
        </w:numPr>
        <w:spacing w:after="60" w:before="60"/>
      </w:pPr>
      <w:r>
        <w:rPr>
          <w:rFonts w:ascii="Arial" w:cs="Arial" w:eastAsia="Arial" w:hAnsi="Arial"/>
          <w:color w:val="2D3748"/>
          <w:sz w:val="22"/>
          <w:szCs w:val="22"/>
        </w:rPr>
        <w:t xml:space="preserve">The project team consists of three members with defined roles; no additional resources are available.</w:t>
      </w:r>
    </w:p>
    <w:p>
      <w:pPr>
        <w:pStyle w:val="ListParagraph"/>
        <w:numPr>
          <w:ilvl w:val="0"/>
          <w:numId w:val="2"/>
        </w:numPr>
        <w:spacing w:after="60" w:before="60"/>
      </w:pPr>
      <w:r>
        <w:rPr>
          <w:rFonts w:ascii="Arial" w:cs="Arial" w:eastAsia="Arial" w:hAnsi="Arial"/>
          <w:color w:val="2D3748"/>
          <w:sz w:val="22"/>
          <w:szCs w:val="22"/>
        </w:rPr>
        <w:t xml:space="preserve">All tooling must be available within the standard Kali Linux distribution; no commercial or licensed security tools are used.</w:t>
      </w:r>
    </w:p>
    <w:p>
      <w:pPr>
        <w:spacing w:after="60" w:before="0"/>
      </w:pPr>
      <w:r>
        <w:t xml:space="preserve"/>
      </w:r>
    </w:p>
    <w:p>
      <w:pPr>
        <w:spacing w:after="100" w:before="260"/>
      </w:pPr>
      <w:r>
        <w:rPr>
          <w:rFonts w:ascii="Arial" w:cs="Arial" w:eastAsia="Arial" w:hAnsi="Arial"/>
          <w:b/>
          <w:bCs/>
          <w:color w:val="2E5FA3"/>
          <w:sz w:val="25"/>
          <w:szCs w:val="25"/>
        </w:rPr>
        <w:t xml:space="preserve">5.2  Assumptions</w:t>
      </w:r>
    </w:p>
    <w:p>
      <w:pPr>
        <w:pStyle w:val="ListParagraph"/>
        <w:numPr>
          <w:ilvl w:val="0"/>
          <w:numId w:val="2"/>
        </w:numPr>
        <w:spacing w:after="60" w:before="60"/>
      </w:pPr>
      <w:r>
        <w:rPr>
          <w:rFonts w:ascii="Arial" w:cs="Arial" w:eastAsia="Arial" w:hAnsi="Arial"/>
          <w:color w:val="2D3748"/>
          <w:sz w:val="22"/>
          <w:szCs w:val="22"/>
        </w:rPr>
        <w:t xml:space="preserve">The Metasploitable2 VM will remain operational and accessible throughout the audit and remediation phases.</w:t>
      </w:r>
    </w:p>
    <w:p>
      <w:pPr>
        <w:pStyle w:val="ListParagraph"/>
        <w:numPr>
          <w:ilvl w:val="0"/>
          <w:numId w:val="2"/>
        </w:numPr>
        <w:spacing w:after="60" w:before="60"/>
      </w:pPr>
      <w:r>
        <w:rPr>
          <w:rFonts w:ascii="Arial" w:cs="Arial" w:eastAsia="Arial" w:hAnsi="Arial"/>
          <w:color w:val="2D3748"/>
          <w:sz w:val="22"/>
          <w:szCs w:val="22"/>
        </w:rPr>
        <w:t xml:space="preserve">All team members will be available for their assigned tasks during each project week.</w:t>
      </w:r>
    </w:p>
    <w:p>
      <w:pPr>
        <w:pStyle w:val="ListParagraph"/>
        <w:numPr>
          <w:ilvl w:val="0"/>
          <w:numId w:val="2"/>
        </w:numPr>
        <w:spacing w:after="60" w:before="60"/>
      </w:pPr>
      <w:r>
        <w:rPr>
          <w:rFonts w:ascii="Arial" w:cs="Arial" w:eastAsia="Arial" w:hAnsi="Arial"/>
          <w:color w:val="2D3748"/>
          <w:sz w:val="22"/>
          <w:szCs w:val="22"/>
        </w:rPr>
        <w:t xml:space="preserve">The VMware Workstation environment on the host machine will remain stable throughout the project.</w:t>
      </w:r>
    </w:p>
    <w:p>
      <w:pPr>
        <w:pStyle w:val="ListParagraph"/>
        <w:numPr>
          <w:ilvl w:val="0"/>
          <w:numId w:val="2"/>
        </w:numPr>
        <w:spacing w:after="60" w:before="60"/>
      </w:pPr>
      <w:r>
        <w:rPr>
          <w:rFonts w:ascii="Arial" w:cs="Arial" w:eastAsia="Arial" w:hAnsi="Arial"/>
          <w:color w:val="2D3748"/>
          <w:sz w:val="22"/>
          <w:szCs w:val="22"/>
        </w:rPr>
        <w:t xml:space="preserve">The GitHub repository will remain accessible for all document uploads through to the final submission deadline.</w:t>
      </w:r>
    </w:p>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Problem Statement and Objectives</w:t>
          </w:r>
        </w:p>
        <w:p>
          <w:pPr>
            <w:spacing w:after="0" w:before="0"/>
          </w:pPr>
          <w:r>
            <w:rPr>
              <w:rFonts w:ascii="Arial" w:cs="Arial" w:eastAsia="Arial" w:hAnsi="Arial"/>
              <w:i/>
              <w:iCs/>
              <w:color w:val="A0BAD8"/>
              <w:sz w:val="19"/>
              <w:szCs w:val="19"/>
            </w:rPr>
            <w:t xml:space="preserve">Security Misconfiguration Audit and Remediation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2026-06-22T20:41:30.716Z</dcterms:created>
  <dcterms:modified xsi:type="dcterms:W3CDTF">2026-06-22T20:41:30.717Z</dcterms:modified>
</cp:coreProperties>
</file>

<file path=docProps/custom.xml><?xml version="1.0" encoding="utf-8"?>
<Properties xmlns="http://schemas.openxmlformats.org/officeDocument/2006/custom-properties" xmlns:vt="http://schemas.openxmlformats.org/officeDocument/2006/docPropsVTypes"/>
</file>