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60" w:before="0"/>
              <w:jc w:val="center"/>
            </w:pPr>
            <w:r>
              <w:rPr>
                <w:rFonts w:ascii="Georgia" w:cs="Georgia" w:eastAsia="Georgia" w:hAnsi="Georgia"/>
                <w:b/>
                <w:bCs/>
                <w:color w:val="FFFFFF"/>
                <w:sz w:val="30"/>
                <w:szCs w:val="30"/>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60" w:before="0"/>
            </w:pPr>
            <w:r>
              <w:rPr>
                <w:rFonts w:ascii="Arial" w:cs="Arial" w:eastAsia="Arial" w:hAnsi="Arial"/>
                <w:b/>
                <w:bCs/>
                <w:color w:val="2E5FA3"/>
                <w:sz w:val="20"/>
                <w:szCs w:val="20"/>
              </w:rPr>
              <w:t xml:space="preserve">PPM-004</w:t>
            </w:r>
          </w:p>
          <w:p>
            <w:pPr>
              <w:spacing w:after="40" w:before="0"/>
            </w:pPr>
            <w:r>
              <w:rPr>
                <w:rFonts w:ascii="Georgia" w:cs="Georgia" w:eastAsia="Georgia" w:hAnsi="Georgia"/>
                <w:b/>
                <w:bCs/>
                <w:color w:val="1A2D4F"/>
                <w:sz w:val="38"/>
                <w:szCs w:val="38"/>
              </w:rPr>
              <w:t xml:space="preserve">Risk Assessment and Mitigation Plan</w:t>
            </w:r>
          </w:p>
          <w:p>
            <w:pPr>
              <w:spacing w:after="0" w:before="0"/>
            </w:pPr>
            <w:r>
              <w:rPr>
                <w:rFonts w:ascii="Arial" w:cs="Arial" w:eastAsia="Arial" w:hAnsi="Arial"/>
                <w:i/>
                <w:iCs/>
                <w:color w:val="4A5568"/>
                <w:sz w:val="22"/>
                <w:szCs w:val="22"/>
              </w:rPr>
              <w:t xml:space="preserve">Identification, Evaluation, and Response Planning for Project Risks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May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Document Code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PPM-004</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  Final Release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Classification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Confidential — Internal &amp; Academic Use Only</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Introduction and Purpose</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Proactive risk management is a fundamental component of professional project execution. This document identifies all material risks that may affect the successful delivery of Project 10, assesses each risk in terms of likelihood and potential impact, assigns a composite severity rating, and defines a targeted mitigation strategy for each identified risk.</w:t>
      </w:r>
    </w:p>
    <w:p>
      <w:pPr>
        <w:spacing w:after="60" w:before="0"/>
      </w:pPr>
      <w:r>
        <w:t xml:space="preserve"/>
      </w:r>
    </w:p>
    <w:p>
      <w:pPr>
        <w:spacing w:after="100" w:before="60"/>
      </w:pPr>
      <w:r>
        <w:rPr>
          <w:rFonts w:ascii="Arial" w:cs="Arial" w:eastAsia="Arial" w:hAnsi="Arial"/>
          <w:color w:val="2D3748"/>
          <w:sz w:val="22"/>
          <w:szCs w:val="22"/>
        </w:rPr>
        <w:t xml:space="preserve">Risks are organised into three categories reflecting the primary domains of concern: technical risks arising from the laboratory environment and tooling, project management risks relating to schedule, scope, and coordination, and documentation risks pertaining to the quality and completeness of deliverables. Each risk will be monitored throughout the project lifecycle, with status reviewed at the end of each week.</w:t>
      </w:r>
    </w:p>
    <w:p>
      <w:pPr>
        <w:spacing w:after="100" w:before="0"/>
      </w:pPr>
      <w:r>
        <w:t xml:space="preserve"/>
      </w:r>
    </w:p>
    <w:p>
      <w:pPr>
        <w:spacing w:after="120" w:before="360"/>
      </w:pPr>
      <w:r>
        <w:rPr>
          <w:rFonts w:ascii="Georgia" w:cs="Georgia" w:eastAsia="Georgia" w:hAnsi="Georgia"/>
          <w:b/>
          <w:bCs/>
          <w:color w:val="1A2D4F"/>
          <w:sz w:val="30"/>
          <w:szCs w:val="30"/>
        </w:rPr>
        <w:t xml:space="preserve">2.  Risk Scoring Methodology</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Each risk is assessed using a 3×3 likelihood-impact matrix. Likelihood and Impact are each rated Low (1), Medium (2), or High (3). The composite risk score (Likelihood × Impact) determines the overall severity classification as follows: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Composite Score</w:t>
            </w:r>
          </w:p>
        </w:tc>
        <w:tc>
          <w:tcPr>
            <w:tcW w:type="dxa" w:w="234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Severity Rating</w:t>
            </w:r>
          </w:p>
        </w:tc>
        <w:tc>
          <w:tcPr>
            <w:tcW w:type="dxa" w:w="234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Colour Indicator</w:t>
            </w:r>
          </w:p>
        </w:tc>
        <w:tc>
          <w:tcPr>
            <w:tcW w:type="dxa" w:w="234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Response Priority</w:t>
            </w:r>
          </w:p>
        </w:tc>
      </w:tr>
      <w:tr>
        <w:tc>
          <w:tcPr>
            <w:tcW w:type="dxa" w:w="234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pPr>
              <w:jc w:val="center"/>
            </w:pPr>
            <w:r>
              <w:rPr>
                <w:rFonts w:ascii="Arial" w:cs="Arial" w:eastAsia="Arial" w:hAnsi="Arial"/>
                <w:color w:val="2D3748"/>
                <w:sz w:val="20"/>
                <w:szCs w:val="20"/>
              </w:rPr>
              <w:t xml:space="preserve">7–9</w:t>
            </w:r>
          </w:p>
        </w:tc>
        <w:tc>
          <w:tcPr>
            <w:tcW w:type="dxa" w:w="2340"/>
            <w:tcBorders>
              <w:top w:val="single" w:color="CBD5E0" w:sz="1"/>
              <w:left w:val="single" w:color="CBD5E0" w:sz="1"/>
              <w:bottom w:val="single" w:color="CBD5E0" w:sz="1"/>
              <w:right w:val="single" w:color="CBD5E0" w:sz="1"/>
            </w:tcBorders>
            <w:shd w:fill="FFF5F5" w:val="clear"/>
            <w:tcMar>
              <w:top w:type="dxa" w:w="90"/>
              <w:left w:type="dxa" w:w="160"/>
              <w:bottom w:type="dxa" w:w="90"/>
              <w:right w:type="dxa" w:w="160"/>
            </w:tcMar>
          </w:tcPr>
          <w:p>
            <w:r>
              <w:rPr>
                <w:rFonts w:ascii="Arial" w:cs="Arial" w:eastAsia="Arial" w:hAnsi="Arial"/>
                <w:b/>
                <w:bCs/>
                <w:color w:val="C53030"/>
                <w:sz w:val="20"/>
                <w:szCs w:val="20"/>
              </w:rPr>
              <w:t xml:space="preserve">Critical</w:t>
            </w:r>
          </w:p>
        </w:tc>
        <w:tc>
          <w:tcPr>
            <w:tcW w:type="dxa" w:w="2340"/>
            <w:tcBorders>
              <w:top w:val="single" w:color="CBD5E0" w:sz="1"/>
              <w:left w:val="single" w:color="CBD5E0" w:sz="1"/>
              <w:bottom w:val="single" w:color="CBD5E0" w:sz="1"/>
              <w:right w:val="single" w:color="CBD5E0" w:sz="1"/>
            </w:tcBorders>
            <w:shd w:fill="FFF5F5" w:val="clear"/>
            <w:tcMar>
              <w:top w:type="dxa" w:w="90"/>
              <w:left w:type="dxa" w:w="160"/>
              <w:bottom w:type="dxa" w:w="90"/>
              <w:right w:type="dxa" w:w="160"/>
            </w:tcMar>
          </w:tcPr>
          <w:p>
            <w:r>
              <w:rPr>
                <w:rFonts w:ascii="Arial" w:cs="Arial" w:eastAsia="Arial" w:hAnsi="Arial"/>
                <w:color w:val="C53030"/>
                <w:sz w:val="20"/>
                <w:szCs w:val="20"/>
              </w:rPr>
              <w:t xml:space="preserve">■ Critical</w:t>
            </w:r>
          </w:p>
        </w:tc>
        <w:tc>
          <w:tcPr>
            <w:tcW w:type="dxa" w:w="234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19"/>
                <w:szCs w:val="19"/>
              </w:rPr>
              <w:t xml:space="preserve">Immediate action required — escalate to full team</w:t>
            </w:r>
          </w:p>
        </w:tc>
      </w:tr>
      <w:tr>
        <w:tc>
          <w:tcPr>
            <w:tcW w:type="dxa" w:w="234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pPr>
              <w:jc w:val="center"/>
            </w:pPr>
            <w:r>
              <w:rPr>
                <w:rFonts w:ascii="Arial" w:cs="Arial" w:eastAsia="Arial" w:hAnsi="Arial"/>
                <w:color w:val="2D3748"/>
                <w:sz w:val="20"/>
                <w:szCs w:val="20"/>
              </w:rPr>
              <w:t xml:space="preserve">4–6</w:t>
            </w:r>
          </w:p>
        </w:tc>
        <w:tc>
          <w:tcPr>
            <w:tcW w:type="dxa" w:w="2340"/>
            <w:tcBorders>
              <w:top w:val="single" w:color="CBD5E0" w:sz="1"/>
              <w:left w:val="single" w:color="CBD5E0" w:sz="1"/>
              <w:bottom w:val="single" w:color="CBD5E0" w:sz="1"/>
              <w:right w:val="single" w:color="CBD5E0" w:sz="1"/>
            </w:tcBorders>
            <w:shd w:fill="FFFAF0" w:val="clear"/>
            <w:tcMar>
              <w:top w:type="dxa" w:w="90"/>
              <w:left w:type="dxa" w:w="160"/>
              <w:bottom w:type="dxa" w:w="90"/>
              <w:right w:type="dxa" w:w="160"/>
            </w:tcMar>
          </w:tcPr>
          <w:p>
            <w:r>
              <w:rPr>
                <w:rFonts w:ascii="Arial" w:cs="Arial" w:eastAsia="Arial" w:hAnsi="Arial"/>
                <w:b/>
                <w:bCs/>
                <w:color w:val="C05621"/>
                <w:sz w:val="20"/>
                <w:szCs w:val="20"/>
              </w:rPr>
              <w:t xml:space="preserve">High</w:t>
            </w:r>
          </w:p>
        </w:tc>
        <w:tc>
          <w:tcPr>
            <w:tcW w:type="dxa" w:w="2340"/>
            <w:tcBorders>
              <w:top w:val="single" w:color="CBD5E0" w:sz="1"/>
              <w:left w:val="single" w:color="CBD5E0" w:sz="1"/>
              <w:bottom w:val="single" w:color="CBD5E0" w:sz="1"/>
              <w:right w:val="single" w:color="CBD5E0" w:sz="1"/>
            </w:tcBorders>
            <w:shd w:fill="FFFAF0" w:val="clear"/>
            <w:tcMar>
              <w:top w:type="dxa" w:w="90"/>
              <w:left w:type="dxa" w:w="160"/>
              <w:bottom w:type="dxa" w:w="90"/>
              <w:right w:type="dxa" w:w="160"/>
            </w:tcMar>
          </w:tcPr>
          <w:p>
            <w:r>
              <w:rPr>
                <w:rFonts w:ascii="Arial" w:cs="Arial" w:eastAsia="Arial" w:hAnsi="Arial"/>
                <w:color w:val="C05621"/>
                <w:sz w:val="20"/>
                <w:szCs w:val="20"/>
              </w:rPr>
              <w:t xml:space="preserve">■ High</w:t>
            </w:r>
          </w:p>
        </w:tc>
        <w:tc>
          <w:tcPr>
            <w:tcW w:type="dxa" w:w="234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19"/>
                <w:szCs w:val="19"/>
              </w:rPr>
              <w:t xml:space="preserve">Priority mitigation — address before phase begins</w:t>
            </w:r>
          </w:p>
        </w:tc>
      </w:tr>
      <w:tr>
        <w:tc>
          <w:tcPr>
            <w:tcW w:type="dxa" w:w="234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pPr>
              <w:jc w:val="center"/>
            </w:pPr>
            <w:r>
              <w:rPr>
                <w:rFonts w:ascii="Arial" w:cs="Arial" w:eastAsia="Arial" w:hAnsi="Arial"/>
                <w:color w:val="2D3748"/>
                <w:sz w:val="20"/>
                <w:szCs w:val="20"/>
              </w:rPr>
              <w:t xml:space="preserve">2–3</w:t>
            </w:r>
          </w:p>
        </w:tc>
        <w:tc>
          <w:tcPr>
            <w:tcW w:type="dxa" w:w="2340"/>
            <w:tcBorders>
              <w:top w:val="single" w:color="CBD5E0" w:sz="1"/>
              <w:left w:val="single" w:color="CBD5E0" w:sz="1"/>
              <w:bottom w:val="single" w:color="CBD5E0" w:sz="1"/>
              <w:right w:val="single" w:color="CBD5E0" w:sz="1"/>
            </w:tcBorders>
            <w:shd w:fill="FFFFF0" w:val="clear"/>
            <w:tcMar>
              <w:top w:type="dxa" w:w="90"/>
              <w:left w:type="dxa" w:w="160"/>
              <w:bottom w:type="dxa" w:w="90"/>
              <w:right w:type="dxa" w:w="160"/>
            </w:tcMar>
          </w:tcPr>
          <w:p>
            <w:r>
              <w:rPr>
                <w:rFonts w:ascii="Arial" w:cs="Arial" w:eastAsia="Arial" w:hAnsi="Arial"/>
                <w:b/>
                <w:bCs/>
                <w:color w:val="975A16"/>
                <w:sz w:val="20"/>
                <w:szCs w:val="20"/>
              </w:rPr>
              <w:t xml:space="preserve">Medium</w:t>
            </w:r>
          </w:p>
        </w:tc>
        <w:tc>
          <w:tcPr>
            <w:tcW w:type="dxa" w:w="2340"/>
            <w:tcBorders>
              <w:top w:val="single" w:color="CBD5E0" w:sz="1"/>
              <w:left w:val="single" w:color="CBD5E0" w:sz="1"/>
              <w:bottom w:val="single" w:color="CBD5E0" w:sz="1"/>
              <w:right w:val="single" w:color="CBD5E0" w:sz="1"/>
            </w:tcBorders>
            <w:shd w:fill="FFFFF0" w:val="clear"/>
            <w:tcMar>
              <w:top w:type="dxa" w:w="90"/>
              <w:left w:type="dxa" w:w="160"/>
              <w:bottom w:type="dxa" w:w="90"/>
              <w:right w:type="dxa" w:w="160"/>
            </w:tcMar>
          </w:tcPr>
          <w:p>
            <w:r>
              <w:rPr>
                <w:rFonts w:ascii="Arial" w:cs="Arial" w:eastAsia="Arial" w:hAnsi="Arial"/>
                <w:color w:val="975A16"/>
                <w:sz w:val="20"/>
                <w:szCs w:val="20"/>
              </w:rPr>
              <w:t xml:space="preserve">■ Medium</w:t>
            </w:r>
          </w:p>
        </w:tc>
        <w:tc>
          <w:tcPr>
            <w:tcW w:type="dxa" w:w="234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19"/>
                <w:szCs w:val="19"/>
              </w:rPr>
              <w:t xml:space="preserve">Monitor actively — mitigate within current phase</w:t>
            </w:r>
          </w:p>
        </w:tc>
      </w:tr>
      <w:tr>
        <w:tc>
          <w:tcPr>
            <w:tcW w:type="dxa" w:w="234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pPr>
              <w:jc w:val="center"/>
            </w:pPr>
            <w:r>
              <w:rPr>
                <w:rFonts w:ascii="Arial" w:cs="Arial" w:eastAsia="Arial" w:hAnsi="Arial"/>
                <w:color w:val="2D3748"/>
                <w:sz w:val="20"/>
                <w:szCs w:val="20"/>
              </w:rPr>
              <w:t xml:space="preserve">1</w:t>
            </w:r>
          </w:p>
        </w:tc>
        <w:tc>
          <w:tcPr>
            <w:tcW w:type="dxa" w:w="2340"/>
            <w:tcBorders>
              <w:top w:val="single" w:color="CBD5E0" w:sz="1"/>
              <w:left w:val="single" w:color="CBD5E0" w:sz="1"/>
              <w:bottom w:val="single" w:color="CBD5E0" w:sz="1"/>
              <w:right w:val="single" w:color="CBD5E0" w:sz="1"/>
            </w:tcBorders>
            <w:shd w:fill="F0FFF4" w:val="clear"/>
            <w:tcMar>
              <w:top w:type="dxa" w:w="90"/>
              <w:left w:type="dxa" w:w="160"/>
              <w:bottom w:type="dxa" w:w="90"/>
              <w:right w:type="dxa" w:w="160"/>
            </w:tcMar>
          </w:tcPr>
          <w:p>
            <w:r>
              <w:rPr>
                <w:rFonts w:ascii="Arial" w:cs="Arial" w:eastAsia="Arial" w:hAnsi="Arial"/>
                <w:b/>
                <w:bCs/>
                <w:color w:val="276749"/>
                <w:sz w:val="20"/>
                <w:szCs w:val="20"/>
              </w:rPr>
              <w:t xml:space="preserve">Low</w:t>
            </w:r>
          </w:p>
        </w:tc>
        <w:tc>
          <w:tcPr>
            <w:tcW w:type="dxa" w:w="2340"/>
            <w:tcBorders>
              <w:top w:val="single" w:color="CBD5E0" w:sz="1"/>
              <w:left w:val="single" w:color="CBD5E0" w:sz="1"/>
              <w:bottom w:val="single" w:color="CBD5E0" w:sz="1"/>
              <w:right w:val="single" w:color="CBD5E0" w:sz="1"/>
            </w:tcBorders>
            <w:shd w:fill="F0FFF4" w:val="clear"/>
            <w:tcMar>
              <w:top w:type="dxa" w:w="90"/>
              <w:left w:type="dxa" w:w="160"/>
              <w:bottom w:type="dxa" w:w="90"/>
              <w:right w:type="dxa" w:w="160"/>
            </w:tcMar>
          </w:tcPr>
          <w:p>
            <w:r>
              <w:rPr>
                <w:rFonts w:ascii="Arial" w:cs="Arial" w:eastAsia="Arial" w:hAnsi="Arial"/>
                <w:color w:val="276749"/>
                <w:sz w:val="20"/>
                <w:szCs w:val="20"/>
              </w:rPr>
              <w:t xml:space="preserve">■ Low</w:t>
            </w:r>
          </w:p>
        </w:tc>
        <w:tc>
          <w:tcPr>
            <w:tcW w:type="dxa" w:w="234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19"/>
                <w:szCs w:val="19"/>
              </w:rPr>
              <w:t xml:space="preserve">Accept or monitor — revisit at weekly review</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Technical Risks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Technical risks relate to the stability, reliability, and correct operation of the laboratory environment and audit toolset.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1200"/>
        <w:gridCol w:w="1160"/>
        <w:gridCol w:w="2400"/>
      </w:tblGrid>
      <w:tr>
        <w:tc>
          <w:tcPr>
            <w:tcW w:type="dxa" w:w="4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Ref.</w:t>
            </w:r>
          </w:p>
        </w:tc>
        <w:tc>
          <w:tcPr>
            <w:tcW w:type="dxa" w:w="30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Risk Description</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16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4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TR-01</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Virtual machine corruption or data loss — Metasploitable2 becomes irreparably damaged during remediation activities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r>
              <w:rPr>
                <w:rFonts w:ascii="Arial" w:cs="Arial" w:eastAsia="Arial" w:hAnsi="Arial"/>
                <w:b/>
                <w:bCs/>
                <w:color w:val="C05621"/>
                <w:sz w:val="19"/>
                <w:szCs w:val="19"/>
              </w:rPr>
              <w:t xml:space="preserve">High</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Take VMware snapshot prior to every remediation session; restore from snapshot if corruption occurs</w:t>
            </w:r>
          </w:p>
        </w:tc>
      </w:tr>
      <w:tr>
        <w:tc>
          <w:tcPr>
            <w:tcW w:type="dxa" w:w="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b/>
                <w:bCs/>
                <w:color w:val="2E5FA3"/>
                <w:sz w:val="19"/>
                <w:szCs w:val="19"/>
              </w:rPr>
              <w:t xml:space="preserve">TR-02</w:t>
            </w:r>
          </w:p>
        </w:tc>
        <w:tc>
          <w:tcPr>
            <w:tcW w:type="dxa" w:w="3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Audit tool malfunction or inconsistent results — scanning tools produce incomplete or inaccurate output</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Low</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color w:val="975A16"/>
                <w:sz w:val="19"/>
                <w:szCs w:val="19"/>
              </w:rPr>
              <w:t xml:space="preserve">Medium</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4A5568"/>
                <w:sz w:val="19"/>
                <w:szCs w:val="19"/>
              </w:rPr>
              <w:t xml:space="preserve">Cross-validate all findings using a minimum of two independent tools; document tool versions used</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TR-03</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Network isolation failure — virtual machine traffic escapes the Host-Only network boundary</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r>
              <w:rPr>
                <w:rFonts w:ascii="Arial" w:cs="Arial" w:eastAsia="Arial" w:hAnsi="Arial"/>
                <w:b/>
                <w:bCs/>
                <w:color w:val="C05621"/>
                <w:sz w:val="19"/>
                <w:szCs w:val="19"/>
              </w:rPr>
              <w:t xml:space="preserve">High</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Verify VMware network adapter configuration before each session; monitor traffic with Wireshark if uncertain</w:t>
            </w:r>
          </w:p>
        </w:tc>
      </w:tr>
      <w:tr>
        <w:tc>
          <w:tcPr>
            <w:tcW w:type="dxa" w:w="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b/>
                <w:bCs/>
                <w:color w:val="2E5FA3"/>
                <w:sz w:val="19"/>
                <w:szCs w:val="19"/>
              </w:rPr>
              <w:t xml:space="preserve">TR-04</w:t>
            </w:r>
          </w:p>
        </w:tc>
        <w:tc>
          <w:tcPr>
            <w:tcW w:type="dxa" w:w="3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Remediation actions introduce system instability — fixes render services non-functional, preventing verification</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r>
              <w:rPr>
                <w:rFonts w:ascii="Arial" w:cs="Arial" w:eastAsia="Arial" w:hAnsi="Arial"/>
                <w:b/>
                <w:bCs/>
                <w:color w:val="C05621"/>
                <w:sz w:val="19"/>
                <w:szCs w:val="19"/>
              </w:rPr>
              <w:t xml:space="preserve">High</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4A5568"/>
                <w:sz w:val="19"/>
                <w:szCs w:val="19"/>
              </w:rPr>
              <w:t xml:space="preserve">Test each fix individually with intermediate snapshots; document all configuration changes before applying</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TR-05</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Service behaviour differs from published documentation — unexpected Metasploitable2 configuration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16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color w:val="975A16"/>
                <w:sz w:val="19"/>
                <w:szCs w:val="19"/>
              </w:rPr>
              <w:t xml:space="preserve">Medium</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Research each service independently using multiple sources; document and explain any discrepancies in the findings report</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Project Management Risks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Project management risks relate to schedule adherence, team coordination, scope management, and submission compliance.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1200"/>
        <w:gridCol w:w="1160"/>
        <w:gridCol w:w="2400"/>
      </w:tblGrid>
      <w:tr>
        <w:tc>
          <w:tcPr>
            <w:tcW w:type="dxa" w:w="4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Ref.</w:t>
            </w:r>
          </w:p>
        </w:tc>
        <w:tc>
          <w:tcPr>
            <w:tcW w:type="dxa" w:w="30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Risk Description</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16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4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PM-01</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Deadline non-compliance — volume and complexity of documentation deliverables is underestimated</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r>
              <w:rPr>
                <w:rFonts w:ascii="Arial" w:cs="Arial" w:eastAsia="Arial" w:hAnsi="Arial"/>
                <w:b/>
                <w:bCs/>
                <w:color w:val="C53030"/>
                <w:sz w:val="19"/>
                <w:szCs w:val="19"/>
              </w:rPr>
              <w:t xml:space="preserve">Critical</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Utilise pre-structured document templates; front-load all planning documents into Week 1; review progress at each week end</w:t>
            </w:r>
          </w:p>
        </w:tc>
      </w:tr>
      <w:tr>
        <w:tc>
          <w:tcPr>
            <w:tcW w:type="dxa" w:w="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b/>
                <w:bCs/>
                <w:color w:val="2E5FA3"/>
                <w:sz w:val="19"/>
                <w:szCs w:val="19"/>
              </w:rPr>
              <w:t xml:space="preserve">PM-02</w:t>
            </w:r>
          </w:p>
        </w:tc>
        <w:tc>
          <w:tcPr>
            <w:tcW w:type="dxa" w:w="3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Team member unavailability — illness or unforeseen commitment prevents a member from contributing during a critical phase</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r>
              <w:rPr>
                <w:rFonts w:ascii="Arial" w:cs="Arial" w:eastAsia="Arial" w:hAnsi="Arial"/>
                <w:b/>
                <w:bCs/>
                <w:color w:val="C05621"/>
                <w:sz w:val="19"/>
                <w:szCs w:val="19"/>
              </w:rPr>
              <w:t xml:space="preserve">High</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4A5568"/>
                <w:sz w:val="19"/>
                <w:szCs w:val="19"/>
              </w:rPr>
              <w:t xml:space="preserve">Ensure knowledge sharing across all team members; any member must be capable of covering any documentation task</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PM-03</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Incomplete scan coverage — one or more services are not assessed during the active audit phase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r>
              <w:rPr>
                <w:rFonts w:ascii="Arial" w:cs="Arial" w:eastAsia="Arial" w:hAnsi="Arial"/>
                <w:b/>
                <w:bCs/>
                <w:color w:val="C05621"/>
                <w:sz w:val="19"/>
                <w:szCs w:val="19"/>
              </w:rPr>
              <w:t xml:space="preserve">High</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Execute full-range Nmap scan (-p-) as the baseline; cross-check all open ports against the Misconfiguration Checklist</w:t>
            </w:r>
          </w:p>
        </w:tc>
      </w:tr>
      <w:tr>
        <w:tc>
          <w:tcPr>
            <w:tcW w:type="dxa" w:w="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b/>
                <w:bCs/>
                <w:color w:val="2E5FA3"/>
                <w:sz w:val="19"/>
                <w:szCs w:val="19"/>
              </w:rPr>
              <w:t xml:space="preserve">PM-04</w:t>
            </w:r>
          </w:p>
        </w:tc>
        <w:tc>
          <w:tcPr>
            <w:tcW w:type="dxa" w:w="3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Scope creep — disproportionate time spent investigating a single finding at the expense of others</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16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color w:val="975A16"/>
                <w:sz w:val="19"/>
                <w:szCs w:val="19"/>
              </w:rPr>
              <w:t xml:space="preserve">Medium</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4A5568"/>
                <w:sz w:val="19"/>
                <w:szCs w:val="19"/>
              </w:rPr>
              <w:t xml:space="preserve">Apply a two-hour time-box per finding during the audit phase; flag unresolved items for post-project research</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PM-05</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GitHub repository disorganisation — incorrect file naming or folder structure impedes reviewer assessment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16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color w:val="975A16"/>
                <w:sz w:val="19"/>
                <w:szCs w:val="19"/>
              </w:rPr>
              <w:t xml:space="preserve">Medium</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Enforce the agreed repository structure and naming convention; Ahmed reviews all uploads before final commit</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5.  Documentation Risks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Documentation risks relate to the quality, consistency, and completeness of the project's written deliverables.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1200"/>
        <w:gridCol w:w="1160"/>
        <w:gridCol w:w="2400"/>
      </w:tblGrid>
      <w:tr>
        <w:tc>
          <w:tcPr>
            <w:tcW w:type="dxa" w:w="4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Ref.</w:t>
            </w:r>
          </w:p>
        </w:tc>
        <w:tc>
          <w:tcPr>
            <w:tcW w:type="dxa" w:w="30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Risk Description</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16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4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DR-01</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Insufficient technical depth — documents lack the evidence and specificity required for academic grading criteria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r>
              <w:rPr>
                <w:rFonts w:ascii="Arial" w:cs="Arial" w:eastAsia="Arial" w:hAnsi="Arial"/>
                <w:b/>
                <w:bCs/>
                <w:color w:val="C05621"/>
                <w:sz w:val="19"/>
                <w:szCs w:val="19"/>
              </w:rPr>
              <w:t xml:space="preserve">High</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Incorporate actual scan output, tool command syntax, and configuration file excerpts as evidence in all technical documents</w:t>
            </w:r>
          </w:p>
        </w:tc>
      </w:tr>
      <w:tr>
        <w:tc>
          <w:tcPr>
            <w:tcW w:type="dxa" w:w="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b/>
                <w:bCs/>
                <w:color w:val="2E5FA3"/>
                <w:sz w:val="19"/>
                <w:szCs w:val="19"/>
              </w:rPr>
              <w:t xml:space="preserve">DR-02</w:t>
            </w:r>
          </w:p>
        </w:tc>
        <w:tc>
          <w:tcPr>
            <w:tcW w:type="dxa" w:w="3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Cross-document inconsistency — finding counts, severity ratings, or terminology differ between documents</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Medium</w:t>
            </w:r>
          </w:p>
        </w:tc>
        <w:tc>
          <w:tcPr>
            <w:tcW w:type="dxa" w:w="116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color w:val="975A16"/>
                <w:sz w:val="19"/>
                <w:szCs w:val="19"/>
              </w:rPr>
              <w:t xml:space="preserve">Medium</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4A5568"/>
                <w:sz w:val="19"/>
                <w:szCs w:val="19"/>
              </w:rPr>
              <w:t xml:space="preserve">Maintain a master Misconfiguration Checklist as the single source of truth; all documents reference and reconcile against it</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2E5FA3"/>
                <w:sz w:val="19"/>
                <w:szCs w:val="19"/>
              </w:rPr>
              <w:t xml:space="preserve">DR-03</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Presentation misalignment — final PPT content diverges from the documented findings and conclusions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color w:val="975A16"/>
                <w:sz w:val="19"/>
                <w:szCs w:val="19"/>
              </w:rPr>
              <w:t xml:space="preserve">Medium</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Construct the presentation directly from the Final Project Report in Week 4; conduct a joint team review before submission</w:t>
            </w:r>
          </w:p>
        </w:tc>
      </w:tr>
      <w:tr>
        <w:tc>
          <w:tcPr>
            <w:tcW w:type="dxa" w:w="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b/>
                <w:bCs/>
                <w:color w:val="2E5FA3"/>
                <w:sz w:val="19"/>
                <w:szCs w:val="19"/>
              </w:rPr>
              <w:t xml:space="preserve">DR-04</w:t>
            </w:r>
          </w:p>
        </w:tc>
        <w:tc>
          <w:tcPr>
            <w:tcW w:type="dxa" w:w="30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Incomplete GitHub submission — documents missing, incorrectly named, or committed after the deadline</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Low</w:t>
            </w:r>
          </w:p>
        </w:tc>
        <w:tc>
          <w:tcPr>
            <w:tcW w:type="dxa" w:w="12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2D3748"/>
                <w:sz w:val="19"/>
                <w:szCs w:val="19"/>
              </w:rPr>
              <w:t xml:space="preserve">High</w:t>
            </w:r>
          </w:p>
        </w:tc>
        <w:tc>
          <w:tcPr>
            <w:tcW w:type="dxa" w:w="116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color w:val="975A16"/>
                <w:sz w:val="19"/>
                <w:szCs w:val="19"/>
              </w:rPr>
              <w:t xml:space="preserve">Medium</w:t>
            </w:r>
          </w:p>
        </w:tc>
        <w:tc>
          <w:tcPr>
            <w:tcW w:type="dxa" w:w="2400"/>
            <w:tcBorders>
              <w:top w:val="single" w:color="CBD5E0" w:sz="1"/>
              <w:left w:val="single" w:color="CBD5E0" w:sz="1"/>
              <w:bottom w:val="single" w:color="CBD5E0" w:sz="1"/>
              <w:right w:val="single" w:color="CBD5E0" w:sz="1"/>
            </w:tcBorders>
            <w:shd w:fill="F0F4FA" w:val="clear"/>
            <w:tcMar>
              <w:top w:type="dxa" w:w="80"/>
              <w:left w:type="dxa" w:w="120"/>
              <w:bottom w:type="dxa" w:w="80"/>
              <w:right w:type="dxa" w:w="120"/>
            </w:tcMar>
          </w:tcPr>
          <w:p>
            <w:r>
              <w:rPr>
                <w:rFonts w:ascii="Arial" w:cs="Arial" w:eastAsia="Arial" w:hAnsi="Arial"/>
                <w:color w:val="4A5568"/>
                <w:sz w:val="19"/>
                <w:szCs w:val="19"/>
              </w:rPr>
              <w:t xml:space="preserve">Conduct a repository audit checklist review before the submission deadline; README update is the final pre-submission task</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6.  Risk Register Summary</w:t>
      </w:r>
    </w:p>
    <w:p>
      <w:pPr>
        <w:pBdr>
          <w:bottom w:val="single" w:color="2E5FA3" w:sz="4" w:space="1"/>
        </w:pBdr>
        <w:spacing w:after="160" w:before="18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Total risks identified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13</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Critical severity</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1 risk  (PM-01 — Deadline compliance)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High severity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6 risks  (TR-01, TR-03, TR-04, PM-02, PM-03, DR-01, DR-04)</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Medium severity</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6 risks  (TR-02, TR-05, PM-04, PM-05, DR-02, DR-03)</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Low severity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0 risks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Review frequency</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Weekly — at the conclusion of each project phase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8"/>
              <w:bottom w:val="single" w:color="CBD5E0" w:sz="1"/>
              <w:right w:val="single" w:color="CBD5E0" w:sz="1"/>
            </w:tcBorders>
            <w:shd w:fill="EBF0F7" w:val="clear"/>
            <w:tcMar>
              <w:top w:type="dxa" w:w="160"/>
              <w:left w:type="dxa" w:w="240"/>
              <w:bottom w:type="dxa" w:w="160"/>
              <w:right w:type="dxa" w:w="240"/>
            </w:tcMar>
          </w:tcPr>
          <w:p>
            <w:r>
              <w:rPr>
                <w:rFonts w:ascii="Arial" w:cs="Arial" w:eastAsia="Arial" w:hAnsi="Arial"/>
                <w:i/>
                <w:iCs/>
                <w:color w:val="4A5568"/>
                <w:sz w:val="21"/>
                <w:szCs w:val="21"/>
              </w:rPr>
              <w:t xml:space="preserve">The highest-priority risk (PM-01) is mitigated through the pre-prepared document template set and the front-loading of all documentation into Week 1. The most operationally significant risks (TR-01 and TR-04) are fully addressed by the VMware snapshot protocol, which must be executed without exception before every remediation session.</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7200"/>
          <w:tcBorders>
            <w:top w:val="none" w:color="FFFFFF" w:sz="0"/>
            <w:left w:val="none" w:color="FFFFFF" w:sz="0"/>
            <w:bottom w:val="none" w:color="FFFFFF" w:sz="0"/>
            <w:right w:val="none" w:color="FFFFFF" w:sz="0"/>
          </w:tcBorders>
          <w:shd w:fill="1A2D4F" w:val="clear"/>
          <w:tcMar>
            <w:top w:type="dxa" w:w="220"/>
            <w:left w:type="dxa" w:w="360"/>
            <w:bottom w:type="dxa" w:w="220"/>
            <w:right w:type="dxa" w:w="200"/>
          </w:tcMar>
        </w:tcPr>
        <w:p>
          <w:pPr>
            <w:spacing w:after="50" w:before="0"/>
          </w:pPr>
          <w:r>
            <w:rPr>
              <w:rFonts w:ascii="Georgia" w:cs="Georgia" w:eastAsia="Georgia" w:hAnsi="Georgia"/>
              <w:b/>
              <w:bCs/>
              <w:color w:val="FFFFFF"/>
              <w:sz w:val="32"/>
              <w:szCs w:val="32"/>
            </w:rPr>
            <w:t xml:space="preserve">Risk Assessment &amp; Mitigation Plan</w:t>
          </w:r>
        </w:p>
        <w:p>
          <w:pPr>
            <w:spacing w:after="0" w:before="0"/>
          </w:pPr>
          <w:r>
            <w:rPr>
              <w:rFonts w:ascii="Arial" w:cs="Arial" w:eastAsia="Arial" w:hAnsi="Arial"/>
              <w:i/>
              <w:iCs/>
              <w:color w:val="A0BAD8"/>
              <w:sz w:val="18"/>
              <w:szCs w:val="18"/>
            </w:rPr>
            <w:t xml:space="preserve">PPM-004 — Project Planning &amp; Management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lowerLetter"/>
      <w:lvlText w:val="%1."/>
      <w:lvlJc w:val="left"/>
      <w:pPr>
        <w:ind w:left="9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2026-05-10T16:27:59.207Z</dcterms:created>
  <dcterms:modified xsi:type="dcterms:W3CDTF">2026-05-10T16:27:59.207Z</dcterms:modified>
</cp:coreProperties>
</file>

<file path=docProps/custom.xml><?xml version="1.0" encoding="utf-8"?>
<Properties xmlns="http://schemas.openxmlformats.org/officeDocument/2006/custom-properties" xmlns:vt="http://schemas.openxmlformats.org/officeDocument/2006/docPropsVTypes"/>
</file>