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D4F" w:val="clear"/>
            <w:tcMar>
              <w:top w:type="dxa" w:w="400"/>
              <w:left w:type="dxa" w:w="400"/>
              <w:bottom w:type="dxa" w:w="400"/>
              <w:right w:type="dxa" w:w="400"/>
            </w:tcMar>
          </w:tcPr>
          <w:p>
            <w:pPr>
              <w:spacing w:after="60" w:before="0"/>
              <w:jc w:val="center"/>
            </w:pPr>
            <w:r>
              <w:rPr>
                <w:rFonts w:ascii="Georgia" w:cs="Georgia" w:eastAsia="Georgia" w:hAnsi="Georgia"/>
                <w:b/>
                <w:bCs/>
                <w:color w:val="FFFFFF"/>
                <w:sz w:val="30"/>
                <w:szCs w:val="30"/>
              </w:rPr>
              <w:t xml:space="preserve">Security Misconfiguration Audit and Remediation</w:t>
            </w:r>
          </w:p>
          <w:p>
            <w:pPr>
              <w:spacing w:after="0" w:before="0"/>
              <w:jc w:val="center"/>
            </w:pPr>
            <w:r>
              <w:rPr>
                <w:rFonts w:ascii="Arial" w:cs="Arial" w:eastAsia="Arial" w:hAnsi="Arial"/>
                <w:color w:val="3A5F8A"/>
                <w:sz w:val="22"/>
                <w:szCs w:val="22"/>
              </w:rPr>
              <w:t xml:space="preserve">─────────────────────────────</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2E5FA3" w:sz="12"/>
              <w:bottom w:val="single" w:color="CBD5E0" w:sz="1"/>
              <w:right w:val="single" w:color="CBD5E0" w:sz="1"/>
            </w:tcBorders>
            <w:shd w:fill="F7F9FC" w:val="clear"/>
            <w:tcMar>
              <w:top w:type="dxa" w:w="280"/>
              <w:left w:type="dxa" w:w="320"/>
              <w:bottom w:type="dxa" w:w="280"/>
              <w:right w:type="dxa" w:w="320"/>
            </w:tcMar>
          </w:tcPr>
          <w:p>
            <w:pPr>
              <w:spacing w:after="60" w:before="0"/>
            </w:pPr>
            <w:r>
              <w:rPr>
                <w:rFonts w:ascii="Arial" w:cs="Arial" w:eastAsia="Arial" w:hAnsi="Arial"/>
                <w:b/>
                <w:bCs/>
                <w:color w:val="2E5FA3"/>
                <w:sz w:val="20"/>
                <w:szCs w:val="20"/>
              </w:rPr>
              <w:t xml:space="preserve">PPM-005</w:t>
            </w:r>
          </w:p>
          <w:p>
            <w:pPr>
              <w:spacing w:after="40" w:before="0"/>
            </w:pPr>
            <w:r>
              <w:rPr>
                <w:rFonts w:ascii="Georgia" w:cs="Georgia" w:eastAsia="Georgia" w:hAnsi="Georgia"/>
                <w:b/>
                <w:bCs/>
                <w:color w:val="1A2D4F"/>
                <w:sz w:val="38"/>
                <w:szCs w:val="38"/>
              </w:rPr>
              <w:t xml:space="preserve">Key Performance Indicators (KPIs)</w:t>
            </w:r>
          </w:p>
          <w:p>
            <w:pPr>
              <w:spacing w:after="0" w:before="0"/>
            </w:pPr>
            <w:r>
              <w:rPr>
                <w:rFonts w:ascii="Arial" w:cs="Arial" w:eastAsia="Arial" w:hAnsi="Arial"/>
                <w:i/>
                <w:iCs/>
                <w:color w:val="4A5568"/>
                <w:sz w:val="22"/>
                <w:szCs w:val="22"/>
              </w:rPr>
              <w:t xml:space="preserve">Defined Metrics for Measuring Project Success and Quality</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Prepared By</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Ahmed Abdalrhman Ibrahim  |  Yousef Osama  |  Yousef Nasser</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Prepared For</w:t>
            </w:r>
          </w:p>
        </w:tc>
        <w:tc>
          <w:tcPr>
            <w:tcW w:type="dxa" w:w="65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r>
              <w:rPr>
                <w:rFonts w:ascii="Arial" w:cs="Arial" w:eastAsia="Arial" w:hAnsi="Arial"/>
                <w:color w:val="2D3748"/>
                <w:sz w:val="21"/>
                <w:szCs w:val="21"/>
              </w:rPr>
              <w:t xml:space="preserve">Internship Graduation Project — Security Engineering Program</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Date</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10 May 2026</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Document Code</w:t>
            </w:r>
          </w:p>
        </w:tc>
        <w:tc>
          <w:tcPr>
            <w:tcW w:type="dxa" w:w="65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r>
              <w:rPr>
                <w:rFonts w:ascii="Arial" w:cs="Arial" w:eastAsia="Arial" w:hAnsi="Arial"/>
                <w:color w:val="2D3748"/>
                <w:sz w:val="21"/>
                <w:szCs w:val="21"/>
              </w:rPr>
              <w:t xml:space="preserve">PPM-005</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Version</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1.0  —  Final Release</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Classification</w:t>
            </w:r>
          </w:p>
        </w:tc>
        <w:tc>
          <w:tcPr>
            <w:tcW w:type="dxa" w:w="65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r>
              <w:rPr>
                <w:rFonts w:ascii="Arial" w:cs="Arial" w:eastAsia="Arial" w:hAnsi="Arial"/>
                <w:color w:val="2D3748"/>
                <w:sz w:val="21"/>
                <w:szCs w:val="21"/>
              </w:rPr>
              <w:t xml:space="preserve">Confidential — Internal &amp; Academic Use Only</w:t>
            </w:r>
          </w:p>
        </w:tc>
      </w:tr>
    </w:tbl>
    <w:p>
      <w:pPr>
        <w:spacing w:after="120" w:before="0"/>
      </w:pPr>
      <w:r>
        <w:t xml:space="preserve"/>
      </w:r>
    </w:p>
    <w:p>
      <w:pPr>
        <w:spacing w:after="120" w:before="360"/>
      </w:pPr>
      <w:r>
        <w:rPr>
          <w:rFonts w:ascii="Georgia" w:cs="Georgia" w:eastAsia="Georgia" w:hAnsi="Georgia"/>
          <w:b/>
          <w:bCs/>
          <w:color w:val="1A2D4F"/>
          <w:sz w:val="30"/>
          <w:szCs w:val="30"/>
        </w:rPr>
        <w:t xml:space="preserve">1.  Introduction</w:t>
      </w:r>
    </w:p>
    <w:p>
      <w:pPr>
        <w:pBdr>
          <w:bottom w:val="single" w:color="2E5FA3" w:sz="4" w:space="1"/>
        </w:pBdr>
        <w:spacing w:after="160" w:before="180"/>
      </w:pPr>
      <w:r>
        <w:t xml:space="preserve"/>
      </w:r>
    </w:p>
    <w:p>
      <w:pPr>
        <w:spacing w:after="100" w:before="60"/>
      </w:pPr>
      <w:r>
        <w:rPr>
          <w:rFonts w:ascii="Arial" w:cs="Arial" w:eastAsia="Arial" w:hAnsi="Arial"/>
          <w:color w:val="2D3748"/>
          <w:sz w:val="22"/>
          <w:szCs w:val="22"/>
        </w:rPr>
        <w:t xml:space="preserve">Key Performance Indicators (KPIs) provide a quantitative and qualitative framework for evaluating whether a project has been executed to the required standard. In the context of a software development project, KPIs typically measure system performance attributes such as response time, uptime, and error rate. For a security audit project such as Project 10, the equivalent metrics assess the thoroughness of the assessment process, the completeness of remediation, the quality of documentation, and the team's adherence to the project schedule.</w:t>
      </w:r>
    </w:p>
    <w:p>
      <w:pPr>
        <w:spacing w:after="60" w:before="0"/>
      </w:pPr>
      <w:r>
        <w:t xml:space="preserve"/>
      </w:r>
    </w:p>
    <w:p>
      <w:pPr>
        <w:spacing w:after="100" w:before="60"/>
      </w:pPr>
      <w:r>
        <w:rPr>
          <w:rFonts w:ascii="Arial" w:cs="Arial" w:eastAsia="Arial" w:hAnsi="Arial"/>
          <w:color w:val="2D3748"/>
          <w:sz w:val="22"/>
          <w:szCs w:val="22"/>
        </w:rPr>
        <w:t xml:space="preserve">The KPIs defined in this document are directly traceable to the project's six stated objectives. Each KPI has a clearly defined unit of measurement, a quantified target value, a specified measurement method, and an assigned owner. All KPIs are reviewed collectively at the conclusion of each project phase.</w:t>
      </w:r>
    </w:p>
    <w:p>
      <w:pPr>
        <w:spacing w:after="100" w:before="0"/>
      </w:pPr>
      <w:r>
        <w:t xml:space="preserve"/>
      </w:r>
    </w:p>
    <w:p>
      <w:pPr>
        <w:spacing w:after="120" w:before="360"/>
      </w:pPr>
      <w:r>
        <w:rPr>
          <w:rFonts w:ascii="Georgia" w:cs="Georgia" w:eastAsia="Georgia" w:hAnsi="Georgia"/>
          <w:b/>
          <w:bCs/>
          <w:color w:val="1A2D4F"/>
          <w:sz w:val="30"/>
          <w:szCs w:val="30"/>
        </w:rPr>
        <w:t xml:space="preserve">2.  KPI Categories</w:t>
      </w:r>
    </w:p>
    <w:p>
      <w:pPr>
        <w:pBdr>
          <w:bottom w:val="single" w:color="2E5FA3" w:sz="4" w:space="1"/>
        </w:pBdr>
        <w:spacing w:after="160" w:before="180"/>
      </w:pPr>
      <w:r>
        <w:t xml:space="preserve"/>
      </w:r>
    </w:p>
    <w:p>
      <w:pPr>
        <w:spacing w:after="100" w:before="60"/>
      </w:pPr>
      <w:r>
        <w:rPr>
          <w:rFonts w:ascii="Arial" w:cs="Arial" w:eastAsia="Arial" w:hAnsi="Arial"/>
          <w:color w:val="2D3748"/>
          <w:sz w:val="22"/>
          <w:szCs w:val="22"/>
        </w:rPr>
        <w:t xml:space="preserve">KPIs are grouped into four categories, each reflecting a distinct dimension of project quality:</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Category 1 — Audit Coverage</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Measures the completeness and thoroughness of the security assessment phase</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Category 2 — Remediation Effectiveness</w:t>
            </w:r>
          </w:p>
        </w:tc>
        <w:tc>
          <w:tcPr>
            <w:tcW w:type="dxa" w:w="65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r>
              <w:rPr>
                <w:rFonts w:ascii="Arial" w:cs="Arial" w:eastAsia="Arial" w:hAnsi="Arial"/>
                <w:color w:val="2D3748"/>
                <w:sz w:val="21"/>
                <w:szCs w:val="21"/>
              </w:rPr>
              <w:t xml:space="preserve">Measures whether identified vulnerabilities were successfully and completely resolved</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Category 3 — Documentation Quality</w:t>
            </w:r>
          </w:p>
        </w:tc>
        <w:tc>
          <w:tcPr>
            <w:tcW w:type="dxa" w:w="6560"/>
            <w:tcBorders>
              <w:top w:val="single" w:color="CBD5E0" w:sz="1"/>
              <w:left w:val="single" w:color="CBD5E0" w:sz="1"/>
              <w:bottom w:val="single" w:color="CBD5E0" w:sz="1"/>
              <w:right w:val="single" w:color="CBD5E0" w:sz="1"/>
            </w:tcBorders>
            <w:shd w:fill="FFFFFF" w:val="clear"/>
            <w:tcMar>
              <w:top w:type="dxa" w:w="100"/>
              <w:left w:type="dxa" w:w="180"/>
              <w:bottom w:type="dxa" w:w="100"/>
              <w:right w:type="dxa" w:w="180"/>
            </w:tcMar>
          </w:tcPr>
          <w:p>
            <w:r>
              <w:rPr>
                <w:rFonts w:ascii="Arial" w:cs="Arial" w:eastAsia="Arial" w:hAnsi="Arial"/>
                <w:color w:val="2D3748"/>
                <w:sz w:val="21"/>
                <w:szCs w:val="21"/>
              </w:rPr>
              <w:t xml:space="preserve">Measures the completeness, consistency, and timeliness of all project deliverables</w:t>
            </w:r>
          </w:p>
        </w:tc>
      </w:tr>
      <w:tr>
        <w:tc>
          <w:tcPr>
            <w:tcW w:type="dxa" w:w="2800"/>
            <w:tcBorders>
              <w:top w:val="single" w:color="CBD5E0" w:sz="1"/>
              <w:left w:val="single" w:color="CBD5E0" w:sz="1"/>
              <w:bottom w:val="single" w:color="CBD5E0" w:sz="1"/>
              <w:right w:val="single" w:color="CBD5E0" w:sz="1"/>
            </w:tcBorders>
            <w:shd w:fill="EBF0F7" w:val="clear"/>
            <w:tcMar>
              <w:top w:type="dxa" w:w="100"/>
              <w:left w:type="dxa" w:w="180"/>
              <w:bottom w:type="dxa" w:w="100"/>
              <w:right w:type="dxa" w:w="180"/>
            </w:tcMar>
          </w:tcPr>
          <w:p>
            <w:r>
              <w:rPr>
                <w:rFonts w:ascii="Arial" w:cs="Arial" w:eastAsia="Arial" w:hAnsi="Arial"/>
                <w:b/>
                <w:bCs/>
                <w:color w:val="1A2D4F"/>
                <w:sz w:val="21"/>
                <w:szCs w:val="21"/>
              </w:rPr>
              <w:t xml:space="preserve">Category 4 — Project Execution</w:t>
            </w:r>
          </w:p>
        </w:tc>
        <w:tc>
          <w:tcPr>
            <w:tcW w:type="dxa" w:w="6560"/>
            <w:tcBorders>
              <w:top w:val="single" w:color="CBD5E0" w:sz="1"/>
              <w:left w:val="single" w:color="CBD5E0" w:sz="1"/>
              <w:bottom w:val="single" w:color="CBD5E0" w:sz="1"/>
              <w:right w:val="single" w:color="CBD5E0" w:sz="1"/>
            </w:tcBorders>
            <w:shd w:fill="F7F9FC" w:val="clear"/>
            <w:tcMar>
              <w:top w:type="dxa" w:w="100"/>
              <w:left w:type="dxa" w:w="180"/>
              <w:bottom w:type="dxa" w:w="100"/>
              <w:right w:type="dxa" w:w="180"/>
            </w:tcMar>
          </w:tcPr>
          <w:p>
            <w:r>
              <w:rPr>
                <w:rFonts w:ascii="Arial" w:cs="Arial" w:eastAsia="Arial" w:hAnsi="Arial"/>
                <w:color w:val="2D3748"/>
                <w:sz w:val="21"/>
                <w:szCs w:val="21"/>
              </w:rPr>
              <w:t xml:space="preserve">Measures schedule adherence, milestone achievement, and team performance</w:t>
            </w:r>
          </w:p>
        </w:tc>
      </w:tr>
    </w:tbl>
    <w:p>
      <w:pPr>
        <w:spacing w:after="100" w:before="0"/>
      </w:pPr>
      <w:r>
        <w:t xml:space="preserve"/>
      </w:r>
    </w:p>
    <w:p>
      <w:pPr>
        <w:spacing w:after="120" w:before="360"/>
      </w:pPr>
      <w:r>
        <w:rPr>
          <w:rFonts w:ascii="Georgia" w:cs="Georgia" w:eastAsia="Georgia" w:hAnsi="Georgia"/>
          <w:b/>
          <w:bCs/>
          <w:color w:val="1A2D4F"/>
          <w:sz w:val="30"/>
          <w:szCs w:val="30"/>
        </w:rPr>
        <w:t xml:space="preserve">3.  Category 1 — Audit Coverage KPIs</w:t>
      </w:r>
    </w:p>
    <w:p>
      <w:pPr>
        <w:pBdr>
          <w:bottom w:val="single" w:color="2E5FA3" w:sz="4" w:space="1"/>
        </w:pBdr>
        <w:spacing w:after="160" w:before="180"/>
      </w:pPr>
      <w:r>
        <w:t xml:space="preserve"/>
      </w:r>
    </w:p>
    <w:p>
      <w:pPr>
        <w:spacing w:after="100" w:before="60"/>
      </w:pPr>
      <w:r>
        <w:rPr>
          <w:rFonts w:ascii="Arial" w:cs="Arial" w:eastAsia="Arial" w:hAnsi="Arial"/>
          <w:color w:val="2D3748"/>
          <w:sz w:val="22"/>
          <w:szCs w:val="22"/>
        </w:rPr>
        <w:t xml:space="preserve">These KPIs ensure the active audit phase in Week 2 is conducted with sufficient breadth and rigour to identify all material misconfigurations on the target system.</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700"/>
        <w:gridCol w:w="2160"/>
        <w:gridCol w:w="1400"/>
      </w:tblGrid>
      <w:tr>
        <w:tc>
          <w:tcPr>
            <w:tcW w:type="dxa" w:w="2600"/>
            <w:tcBorders>
              <w:top w:val="single" w:color="CBD5E0" w:sz="1"/>
              <w:left w:val="single" w:color="CBD5E0" w:sz="1"/>
              <w:bottom w:val="single" w:color="CBD5E0" w:sz="1"/>
              <w:right w:val="single" w:color="CBD5E0" w:sz="1"/>
            </w:tcBorders>
            <w:shd w:fill="1A2D4F" w:val="clear"/>
            <w:tcMar>
              <w:top w:type="dxa" w:w="100"/>
              <w:left w:type="dxa" w:w="130"/>
              <w:bottom w:type="dxa" w:w="100"/>
              <w:right w:type="dxa" w:w="130"/>
            </w:tcMar>
          </w:tcPr>
          <w:p>
            <w:r>
              <w:rPr>
                <w:rFonts w:ascii="Arial" w:cs="Arial" w:eastAsia="Arial" w:hAnsi="Arial"/>
                <w:b/>
                <w:bCs/>
                <w:color w:val="FFFFFF"/>
                <w:sz w:val="20"/>
                <w:szCs w:val="20"/>
              </w:rPr>
              <w:t xml:space="preserve">Key Performance Indicator</w:t>
            </w:r>
          </w:p>
        </w:tc>
        <w:tc>
          <w:tcPr>
            <w:tcW w:type="dxa" w:w="1500"/>
            <w:tcBorders>
              <w:top w:val="single" w:color="CBD5E0" w:sz="1"/>
              <w:left w:val="single" w:color="CBD5E0" w:sz="1"/>
              <w:bottom w:val="single" w:color="CBD5E0" w:sz="1"/>
              <w:right w:val="single" w:color="CBD5E0" w:sz="1"/>
            </w:tcBorders>
            <w:shd w:fill="1A2D4F" w:val="clear"/>
            <w:tcMar>
              <w:top w:type="dxa" w:w="100"/>
              <w:left w:type="dxa" w:w="130"/>
              <w:bottom w:type="dxa" w:w="100"/>
              <w:right w:type="dxa" w:w="130"/>
            </w:tcMar>
          </w:tcPr>
          <w:p>
            <w:r>
              <w:rPr>
                <w:rFonts w:ascii="Arial" w:cs="Arial" w:eastAsia="Arial" w:hAnsi="Arial"/>
                <w:b/>
                <w:bCs/>
                <w:color w:val="FFFFFF"/>
                <w:sz w:val="20"/>
                <w:szCs w:val="20"/>
              </w:rPr>
              <w:t xml:space="preserve">Unit</w:t>
            </w:r>
          </w:p>
        </w:tc>
        <w:tc>
          <w:tcPr>
            <w:tcW w:type="dxa" w:w="1700"/>
            <w:tcBorders>
              <w:top w:val="single" w:color="CBD5E0" w:sz="1"/>
              <w:left w:val="single" w:color="CBD5E0" w:sz="1"/>
              <w:bottom w:val="single" w:color="CBD5E0" w:sz="1"/>
              <w:right w:val="single" w:color="CBD5E0" w:sz="1"/>
            </w:tcBorders>
            <w:shd w:fill="1A2D4F" w:val="clear"/>
            <w:tcMar>
              <w:top w:type="dxa" w:w="100"/>
              <w:left w:type="dxa" w:w="130"/>
              <w:bottom w:type="dxa" w:w="100"/>
              <w:right w:type="dxa" w:w="130"/>
            </w:tcMar>
          </w:tcPr>
          <w:p>
            <w:r>
              <w:rPr>
                <w:rFonts w:ascii="Arial" w:cs="Arial" w:eastAsia="Arial" w:hAnsi="Arial"/>
                <w:b/>
                <w:bCs/>
                <w:color w:val="FFFFFF"/>
                <w:sz w:val="20"/>
                <w:szCs w:val="20"/>
              </w:rPr>
              <w:t xml:space="preserve">Target Value</w:t>
            </w:r>
          </w:p>
        </w:tc>
        <w:tc>
          <w:tcPr>
            <w:tcW w:type="dxa" w:w="2160"/>
            <w:tcBorders>
              <w:top w:val="single" w:color="CBD5E0" w:sz="1"/>
              <w:left w:val="single" w:color="CBD5E0" w:sz="1"/>
              <w:bottom w:val="single" w:color="CBD5E0" w:sz="1"/>
              <w:right w:val="single" w:color="CBD5E0" w:sz="1"/>
            </w:tcBorders>
            <w:shd w:fill="1A2D4F" w:val="clear"/>
            <w:tcMar>
              <w:top w:type="dxa" w:w="100"/>
              <w:left w:type="dxa" w:w="130"/>
              <w:bottom w:type="dxa" w:w="100"/>
              <w:right w:type="dxa" w:w="130"/>
            </w:tcMar>
          </w:tcPr>
          <w:p>
            <w:r>
              <w:rPr>
                <w:rFonts w:ascii="Arial" w:cs="Arial" w:eastAsia="Arial" w:hAnsi="Arial"/>
                <w:b/>
                <w:bCs/>
                <w:color w:val="FFFFFF"/>
                <w:sz w:val="20"/>
                <w:szCs w:val="20"/>
              </w:rPr>
              <w:t xml:space="preserve">Measurement Method</w:t>
            </w:r>
          </w:p>
        </w:tc>
        <w:tc>
          <w:tcPr>
            <w:tcW w:type="dxa" w:w="1400"/>
            <w:tcBorders>
              <w:top w:val="single" w:color="CBD5E0" w:sz="1"/>
              <w:left w:val="single" w:color="CBD5E0" w:sz="1"/>
              <w:bottom w:val="single" w:color="CBD5E0" w:sz="1"/>
              <w:right w:val="single" w:color="CBD5E0" w:sz="1"/>
            </w:tcBorders>
            <w:shd w:fill="1A2D4F" w:val="clear"/>
            <w:tcMar>
              <w:top w:type="dxa" w:w="100"/>
              <w:left w:type="dxa" w:w="130"/>
              <w:bottom w:type="dxa" w:w="100"/>
              <w:right w:type="dxa" w:w="130"/>
            </w:tcMar>
          </w:tcPr>
          <w:p>
            <w:r>
              <w:rPr>
                <w:rFonts w:ascii="Arial" w:cs="Arial" w:eastAsia="Arial" w:hAnsi="Arial"/>
                <w:b/>
                <w:bCs/>
                <w:color w:val="FFFFFF"/>
                <w:sz w:val="20"/>
                <w:szCs w:val="20"/>
              </w:rPr>
              <w:t xml:space="preserve">Owner</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b/>
                <w:bCs/>
                <w:color w:val="1A2D4F"/>
                <w:sz w:val="19"/>
                <w:szCs w:val="19"/>
              </w:rPr>
              <w:t xml:space="preserve">Checklist Item Coverage Rate</w:t>
            </w:r>
          </w:p>
        </w:tc>
        <w:tc>
          <w:tcPr>
            <w:tcW w:type="dxa" w:w="15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718096"/>
                <w:sz w:val="19"/>
                <w:szCs w:val="19"/>
              </w:rPr>
              <w:t xml:space="preserve">Percentage (%)</w:t>
            </w:r>
          </w:p>
        </w:tc>
        <w:tc>
          <w:tcPr>
            <w:tcW w:type="dxa" w:w="1700"/>
            <w:tcBorders>
              <w:top w:val="single" w:color="CBD5E0" w:sz="1"/>
              <w:left w:val="single" w:color="CBD5E0" w:sz="1"/>
              <w:bottom w:val="single" w:color="CBD5E0" w:sz="1"/>
              <w:right w:val="single" w:color="CBD5E0" w:sz="1"/>
            </w:tcBorders>
            <w:shd w:fill="F0FFF4" w:val="clear"/>
            <w:tcMar>
              <w:top w:type="dxa" w:w="80"/>
              <w:left w:type="dxa" w:w="130"/>
              <w:bottom w:type="dxa" w:w="80"/>
              <w:right w:type="dxa" w:w="130"/>
            </w:tcMar>
          </w:tcPr>
          <w:p>
            <w:r>
              <w:rPr>
                <w:rFonts w:ascii="Arial" w:cs="Arial" w:eastAsia="Arial" w:hAnsi="Arial"/>
                <w:b/>
                <w:bCs/>
                <w:color w:val="276749"/>
                <w:sz w:val="19"/>
                <w:szCs w:val="19"/>
              </w:rPr>
              <w:t xml:space="preserve">100%</w:t>
            </w:r>
          </w:p>
        </w:tc>
        <w:tc>
          <w:tcPr>
            <w:tcW w:type="dxa" w:w="21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4A5568"/>
                <w:sz w:val="19"/>
                <w:szCs w:val="19"/>
              </w:rPr>
              <w:t xml:space="preserve">Manual checklist review at end of Week 2</w:t>
            </w:r>
          </w:p>
        </w:tc>
        <w:tc>
          <w:tcPr>
            <w:tcW w:type="dxa" w:w="14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2D3748"/>
                <w:sz w:val="19"/>
                <w:szCs w:val="19"/>
              </w:rPr>
              <w:t xml:space="preserve">Yousef Osama</w:t>
            </w:r>
          </w:p>
        </w:tc>
      </w:tr>
      <w:tr>
        <w:tc>
          <w:tcPr>
            <w:tcW w:type="dxa" w:w="2600"/>
            <w:tcBorders>
              <w:top w:val="single" w:color="CBD5E0" w:sz="1"/>
              <w:left w:val="single" w:color="CBD5E0" w:sz="1"/>
              <w:bottom w:val="single" w:color="CBD5E0" w:sz="1"/>
              <w:right w:val="single" w:color="CBD5E0" w:sz="1"/>
            </w:tcBorders>
            <w:shd w:fill="F0F4FA" w:val="clear"/>
            <w:tcMar>
              <w:top w:type="dxa" w:w="80"/>
              <w:left w:type="dxa" w:w="130"/>
              <w:bottom w:type="dxa" w:w="80"/>
              <w:right w:type="dxa" w:w="130"/>
            </w:tcMar>
          </w:tcPr>
          <w:p>
            <w:r>
              <w:rPr>
                <w:rFonts w:ascii="Arial" w:cs="Arial" w:eastAsia="Arial" w:hAnsi="Arial"/>
                <w:b/>
                <w:bCs/>
                <w:color w:val="1A2D4F"/>
                <w:sz w:val="19"/>
                <w:szCs w:val="19"/>
              </w:rPr>
              <w:t xml:space="preserve">Port Enumeration Completeness</w:t>
            </w:r>
          </w:p>
        </w:tc>
        <w:tc>
          <w:tcPr>
            <w:tcW w:type="dxa" w:w="1500"/>
            <w:tcBorders>
              <w:top w:val="single" w:color="CBD5E0" w:sz="1"/>
              <w:left w:val="single" w:color="CBD5E0" w:sz="1"/>
              <w:bottom w:val="single" w:color="CBD5E0" w:sz="1"/>
              <w:right w:val="single" w:color="CBD5E0" w:sz="1"/>
            </w:tcBorders>
            <w:shd w:fill="F0F4FA" w:val="clear"/>
            <w:tcMar>
              <w:top w:type="dxa" w:w="80"/>
              <w:left w:type="dxa" w:w="130"/>
              <w:bottom w:type="dxa" w:w="80"/>
              <w:right w:type="dxa" w:w="130"/>
            </w:tcMar>
          </w:tcPr>
          <w:p>
            <w:r>
              <w:rPr>
                <w:rFonts w:ascii="Arial" w:cs="Arial" w:eastAsia="Arial" w:hAnsi="Arial"/>
                <w:color w:val="718096"/>
                <w:sz w:val="19"/>
                <w:szCs w:val="19"/>
              </w:rPr>
              <w:t xml:space="preserve">Open ports found</w:t>
            </w:r>
          </w:p>
        </w:tc>
        <w:tc>
          <w:tcPr>
            <w:tcW w:type="dxa" w:w="1700"/>
            <w:tcBorders>
              <w:top w:val="single" w:color="CBD5E0" w:sz="1"/>
              <w:left w:val="single" w:color="CBD5E0" w:sz="1"/>
              <w:bottom w:val="single" w:color="CBD5E0" w:sz="1"/>
              <w:right w:val="single" w:color="CBD5E0" w:sz="1"/>
            </w:tcBorders>
            <w:shd w:fill="F0FFF4" w:val="clear"/>
            <w:tcMar>
              <w:top w:type="dxa" w:w="80"/>
              <w:left w:type="dxa" w:w="130"/>
              <w:bottom w:type="dxa" w:w="80"/>
              <w:right w:type="dxa" w:w="130"/>
            </w:tcMar>
          </w:tcPr>
          <w:p>
            <w:r>
              <w:rPr>
                <w:rFonts w:ascii="Arial" w:cs="Arial" w:eastAsia="Arial" w:hAnsi="Arial"/>
                <w:b/>
                <w:bCs/>
                <w:color w:val="276749"/>
                <w:sz w:val="19"/>
                <w:szCs w:val="19"/>
              </w:rPr>
              <w:t xml:space="preserve">All ports (Nmap -p-)</w:t>
            </w:r>
          </w:p>
        </w:tc>
        <w:tc>
          <w:tcPr>
            <w:tcW w:type="dxa" w:w="2160"/>
            <w:tcBorders>
              <w:top w:val="single" w:color="CBD5E0" w:sz="1"/>
              <w:left w:val="single" w:color="CBD5E0" w:sz="1"/>
              <w:bottom w:val="single" w:color="CBD5E0" w:sz="1"/>
              <w:right w:val="single" w:color="CBD5E0" w:sz="1"/>
            </w:tcBorders>
            <w:shd w:fill="F0F4FA" w:val="clear"/>
            <w:tcMar>
              <w:top w:type="dxa" w:w="80"/>
              <w:left w:type="dxa" w:w="130"/>
              <w:bottom w:type="dxa" w:w="80"/>
              <w:right w:type="dxa" w:w="130"/>
            </w:tcMar>
          </w:tcPr>
          <w:p>
            <w:r>
              <w:rPr>
                <w:rFonts w:ascii="Arial" w:cs="Arial" w:eastAsia="Arial" w:hAnsi="Arial"/>
                <w:color w:val="4A5568"/>
                <w:sz w:val="19"/>
                <w:szCs w:val="19"/>
              </w:rPr>
              <w:t xml:space="preserve">Full-range Nmap scan output</w:t>
            </w:r>
          </w:p>
        </w:tc>
        <w:tc>
          <w:tcPr>
            <w:tcW w:type="dxa" w:w="1400"/>
            <w:tcBorders>
              <w:top w:val="single" w:color="CBD5E0" w:sz="1"/>
              <w:left w:val="single" w:color="CBD5E0" w:sz="1"/>
              <w:bottom w:val="single" w:color="CBD5E0" w:sz="1"/>
              <w:right w:val="single" w:color="CBD5E0" w:sz="1"/>
            </w:tcBorders>
            <w:shd w:fill="F0F4FA" w:val="clear"/>
            <w:tcMar>
              <w:top w:type="dxa" w:w="80"/>
              <w:left w:type="dxa" w:w="130"/>
              <w:bottom w:type="dxa" w:w="80"/>
              <w:right w:type="dxa" w:w="130"/>
            </w:tcMar>
          </w:tcPr>
          <w:p>
            <w:r>
              <w:rPr>
                <w:rFonts w:ascii="Arial" w:cs="Arial" w:eastAsia="Arial" w:hAnsi="Arial"/>
                <w:color w:val="2D3748"/>
                <w:sz w:val="19"/>
                <w:szCs w:val="19"/>
              </w:rPr>
              <w:t xml:space="preserve">Yousef Osama</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b/>
                <w:bCs/>
                <w:color w:val="1A2D4F"/>
                <w:sz w:val="19"/>
                <w:szCs w:val="19"/>
              </w:rPr>
              <w:t xml:space="preserve">Minimum Tool Diversity</w:t>
            </w:r>
          </w:p>
        </w:tc>
        <w:tc>
          <w:tcPr>
            <w:tcW w:type="dxa" w:w="15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718096"/>
                <w:sz w:val="19"/>
                <w:szCs w:val="19"/>
              </w:rPr>
              <w:t xml:space="preserve">Number of tools</w:t>
            </w:r>
          </w:p>
        </w:tc>
        <w:tc>
          <w:tcPr>
            <w:tcW w:type="dxa" w:w="1700"/>
            <w:tcBorders>
              <w:top w:val="single" w:color="CBD5E0" w:sz="1"/>
              <w:left w:val="single" w:color="CBD5E0" w:sz="1"/>
              <w:bottom w:val="single" w:color="CBD5E0" w:sz="1"/>
              <w:right w:val="single" w:color="CBD5E0" w:sz="1"/>
            </w:tcBorders>
            <w:shd w:fill="F0FFF4" w:val="clear"/>
            <w:tcMar>
              <w:top w:type="dxa" w:w="80"/>
              <w:left w:type="dxa" w:w="130"/>
              <w:bottom w:type="dxa" w:w="80"/>
              <w:right w:type="dxa" w:w="130"/>
            </w:tcMar>
          </w:tcPr>
          <w:p>
            <w:r>
              <w:rPr>
                <w:rFonts w:ascii="Arial" w:cs="Arial" w:eastAsia="Arial" w:hAnsi="Arial"/>
                <w:b/>
                <w:bCs/>
                <w:color w:val="276749"/>
                <w:sz w:val="19"/>
                <w:szCs w:val="19"/>
              </w:rPr>
              <w:t xml:space="preserve">≥ 3 tools</w:t>
            </w:r>
          </w:p>
        </w:tc>
        <w:tc>
          <w:tcPr>
            <w:tcW w:type="dxa" w:w="21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4A5568"/>
                <w:sz w:val="19"/>
                <w:szCs w:val="19"/>
              </w:rPr>
              <w:t xml:space="preserve">Scan session log</w:t>
            </w:r>
          </w:p>
        </w:tc>
        <w:tc>
          <w:tcPr>
            <w:tcW w:type="dxa" w:w="14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2D3748"/>
                <w:sz w:val="19"/>
                <w:szCs w:val="19"/>
              </w:rPr>
              <w:t xml:space="preserve">Yousef Osama</w:t>
            </w:r>
          </w:p>
        </w:tc>
      </w:tr>
      <w:tr>
        <w:tc>
          <w:tcPr>
            <w:tcW w:type="dxa" w:w="2600"/>
            <w:tcBorders>
              <w:top w:val="single" w:color="CBD5E0" w:sz="1"/>
              <w:left w:val="single" w:color="CBD5E0" w:sz="1"/>
              <w:bottom w:val="single" w:color="CBD5E0" w:sz="1"/>
              <w:right w:val="single" w:color="CBD5E0" w:sz="1"/>
            </w:tcBorders>
            <w:shd w:fill="F0F4FA" w:val="clear"/>
            <w:tcMar>
              <w:top w:type="dxa" w:w="80"/>
              <w:left w:type="dxa" w:w="130"/>
              <w:bottom w:type="dxa" w:w="80"/>
              <w:right w:type="dxa" w:w="130"/>
            </w:tcMar>
          </w:tcPr>
          <w:p>
            <w:r>
              <w:rPr>
                <w:rFonts w:ascii="Arial" w:cs="Arial" w:eastAsia="Arial" w:hAnsi="Arial"/>
                <w:b/>
                <w:bCs/>
                <w:color w:val="1A2D4F"/>
                <w:sz w:val="19"/>
                <w:szCs w:val="19"/>
              </w:rPr>
              <w:t xml:space="preserve">Confirmed Findings Documentation</w:t>
            </w:r>
          </w:p>
        </w:tc>
        <w:tc>
          <w:tcPr>
            <w:tcW w:type="dxa" w:w="1500"/>
            <w:tcBorders>
              <w:top w:val="single" w:color="CBD5E0" w:sz="1"/>
              <w:left w:val="single" w:color="CBD5E0" w:sz="1"/>
              <w:bottom w:val="single" w:color="CBD5E0" w:sz="1"/>
              <w:right w:val="single" w:color="CBD5E0" w:sz="1"/>
            </w:tcBorders>
            <w:shd w:fill="F0F4FA" w:val="clear"/>
            <w:tcMar>
              <w:top w:type="dxa" w:w="80"/>
              <w:left w:type="dxa" w:w="130"/>
              <w:bottom w:type="dxa" w:w="80"/>
              <w:right w:type="dxa" w:w="130"/>
            </w:tcMar>
          </w:tcPr>
          <w:p>
            <w:r>
              <w:rPr>
                <w:rFonts w:ascii="Arial" w:cs="Arial" w:eastAsia="Arial" w:hAnsi="Arial"/>
                <w:color w:val="718096"/>
                <w:sz w:val="19"/>
                <w:szCs w:val="19"/>
              </w:rPr>
              <w:t xml:space="preserve">Percentage (%)</w:t>
            </w:r>
          </w:p>
        </w:tc>
        <w:tc>
          <w:tcPr>
            <w:tcW w:type="dxa" w:w="1700"/>
            <w:tcBorders>
              <w:top w:val="single" w:color="CBD5E0" w:sz="1"/>
              <w:left w:val="single" w:color="CBD5E0" w:sz="1"/>
              <w:bottom w:val="single" w:color="CBD5E0" w:sz="1"/>
              <w:right w:val="single" w:color="CBD5E0" w:sz="1"/>
            </w:tcBorders>
            <w:shd w:fill="F0FFF4" w:val="clear"/>
            <w:tcMar>
              <w:top w:type="dxa" w:w="80"/>
              <w:left w:type="dxa" w:w="130"/>
              <w:bottom w:type="dxa" w:w="80"/>
              <w:right w:type="dxa" w:w="130"/>
            </w:tcMar>
          </w:tcPr>
          <w:p>
            <w:r>
              <w:rPr>
                <w:rFonts w:ascii="Arial" w:cs="Arial" w:eastAsia="Arial" w:hAnsi="Arial"/>
                <w:b/>
                <w:bCs/>
                <w:color w:val="276749"/>
                <w:sz w:val="19"/>
                <w:szCs w:val="19"/>
              </w:rPr>
              <w:t xml:space="preserve">100%</w:t>
            </w:r>
          </w:p>
        </w:tc>
        <w:tc>
          <w:tcPr>
            <w:tcW w:type="dxa" w:w="2160"/>
            <w:tcBorders>
              <w:top w:val="single" w:color="CBD5E0" w:sz="1"/>
              <w:left w:val="single" w:color="CBD5E0" w:sz="1"/>
              <w:bottom w:val="single" w:color="CBD5E0" w:sz="1"/>
              <w:right w:val="single" w:color="CBD5E0" w:sz="1"/>
            </w:tcBorders>
            <w:shd w:fill="F0F4FA" w:val="clear"/>
            <w:tcMar>
              <w:top w:type="dxa" w:w="80"/>
              <w:left w:type="dxa" w:w="130"/>
              <w:bottom w:type="dxa" w:w="80"/>
              <w:right w:type="dxa" w:w="130"/>
            </w:tcMar>
          </w:tcPr>
          <w:p>
            <w:r>
              <w:rPr>
                <w:rFonts w:ascii="Arial" w:cs="Arial" w:eastAsia="Arial" w:hAnsi="Arial"/>
                <w:color w:val="4A5568"/>
                <w:sz w:val="19"/>
                <w:szCs w:val="19"/>
              </w:rPr>
              <w:t xml:space="preserve">Audit Findings Report item count</w:t>
            </w:r>
          </w:p>
        </w:tc>
        <w:tc>
          <w:tcPr>
            <w:tcW w:type="dxa" w:w="1400"/>
            <w:tcBorders>
              <w:top w:val="single" w:color="CBD5E0" w:sz="1"/>
              <w:left w:val="single" w:color="CBD5E0" w:sz="1"/>
              <w:bottom w:val="single" w:color="CBD5E0" w:sz="1"/>
              <w:right w:val="single" w:color="CBD5E0" w:sz="1"/>
            </w:tcBorders>
            <w:shd w:fill="F0F4FA" w:val="clear"/>
            <w:tcMar>
              <w:top w:type="dxa" w:w="80"/>
              <w:left w:type="dxa" w:w="130"/>
              <w:bottom w:type="dxa" w:w="80"/>
              <w:right w:type="dxa" w:w="130"/>
            </w:tcMar>
          </w:tcPr>
          <w:p>
            <w:r>
              <w:rPr>
                <w:rFonts w:ascii="Arial" w:cs="Arial" w:eastAsia="Arial" w:hAnsi="Arial"/>
                <w:color w:val="2D3748"/>
                <w:sz w:val="19"/>
                <w:szCs w:val="19"/>
              </w:rPr>
              <w:t xml:space="preserve">Ahmed</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b/>
                <w:bCs/>
                <w:color w:val="1A2D4F"/>
                <w:sz w:val="19"/>
                <w:szCs w:val="19"/>
              </w:rPr>
              <w:t xml:space="preserve">Critical Findings Confirmed</w:t>
            </w:r>
          </w:p>
        </w:tc>
        <w:tc>
          <w:tcPr>
            <w:tcW w:type="dxa" w:w="15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718096"/>
                <w:sz w:val="19"/>
                <w:szCs w:val="19"/>
              </w:rPr>
              <w:t xml:space="preserve">Percentage (%)</w:t>
            </w:r>
          </w:p>
        </w:tc>
        <w:tc>
          <w:tcPr>
            <w:tcW w:type="dxa" w:w="1700"/>
            <w:tcBorders>
              <w:top w:val="single" w:color="CBD5E0" w:sz="1"/>
              <w:left w:val="single" w:color="CBD5E0" w:sz="1"/>
              <w:bottom w:val="single" w:color="CBD5E0" w:sz="1"/>
              <w:right w:val="single" w:color="CBD5E0" w:sz="1"/>
            </w:tcBorders>
            <w:shd w:fill="F0FFF4" w:val="clear"/>
            <w:tcMar>
              <w:top w:type="dxa" w:w="80"/>
              <w:left w:type="dxa" w:w="130"/>
              <w:bottom w:type="dxa" w:w="80"/>
              <w:right w:type="dxa" w:w="130"/>
            </w:tcMar>
          </w:tcPr>
          <w:p>
            <w:r>
              <w:rPr>
                <w:rFonts w:ascii="Arial" w:cs="Arial" w:eastAsia="Arial" w:hAnsi="Arial"/>
                <w:b/>
                <w:bCs/>
                <w:color w:val="276749"/>
                <w:sz w:val="19"/>
                <w:szCs w:val="19"/>
              </w:rPr>
              <w:t xml:space="preserve">100%</w:t>
            </w:r>
          </w:p>
        </w:tc>
        <w:tc>
          <w:tcPr>
            <w:tcW w:type="dxa" w:w="21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4A5568"/>
                <w:sz w:val="19"/>
                <w:szCs w:val="19"/>
              </w:rPr>
              <w:t xml:space="preserve">Exploitability verified via Metasploit</w:t>
            </w:r>
          </w:p>
        </w:tc>
        <w:tc>
          <w:tcPr>
            <w:tcW w:type="dxa" w:w="14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2D3748"/>
                <w:sz w:val="19"/>
                <w:szCs w:val="19"/>
              </w:rPr>
              <w:t xml:space="preserve">Yousef Osama</w:t>
            </w:r>
          </w:p>
        </w:tc>
      </w:tr>
    </w:tbl>
    <w:p>
      <w:pPr>
        <w:spacing w:after="100" w:before="0"/>
      </w:pPr>
      <w:r>
        <w:t xml:space="preserve"/>
      </w:r>
    </w:p>
    <w:p>
      <w:pPr>
        <w:spacing w:after="120" w:before="360"/>
      </w:pPr>
      <w:r>
        <w:rPr>
          <w:rFonts w:ascii="Georgia" w:cs="Georgia" w:eastAsia="Georgia" w:hAnsi="Georgia"/>
          <w:b/>
          <w:bCs/>
          <w:color w:val="1A2D4F"/>
          <w:sz w:val="30"/>
          <w:szCs w:val="30"/>
        </w:rPr>
        <w:t xml:space="preserve">4.  Category 2 — Remediation Effectiveness KPIs</w:t>
      </w:r>
    </w:p>
    <w:p>
      <w:pPr>
        <w:pBdr>
          <w:bottom w:val="single" w:color="2E5FA3" w:sz="4" w:space="1"/>
        </w:pBdr>
        <w:spacing w:after="160" w:before="180"/>
      </w:pPr>
      <w:r>
        <w:t xml:space="preserve"/>
      </w:r>
    </w:p>
    <w:p>
      <w:pPr>
        <w:spacing w:after="100" w:before="60"/>
      </w:pPr>
      <w:r>
        <w:rPr>
          <w:rFonts w:ascii="Arial" w:cs="Arial" w:eastAsia="Arial" w:hAnsi="Arial"/>
          <w:color w:val="2D3748"/>
          <w:sz w:val="22"/>
          <w:szCs w:val="22"/>
        </w:rPr>
        <w:t xml:space="preserve">These KPIs confirm that the remediation phase in Week 3 achieved complete and verifiable resolution of all identified security issues, without introducing new vulnerabilities.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700"/>
        <w:gridCol w:w="2160"/>
        <w:gridCol w:w="1400"/>
      </w:tblGrid>
      <w:tr>
        <w:tc>
          <w:tcPr>
            <w:tcW w:type="dxa" w:w="2600"/>
            <w:tcBorders>
              <w:top w:val="single" w:color="CBD5E0" w:sz="1"/>
              <w:left w:val="single" w:color="CBD5E0" w:sz="1"/>
              <w:bottom w:val="single" w:color="CBD5E0" w:sz="1"/>
              <w:right w:val="single" w:color="CBD5E0" w:sz="1"/>
            </w:tcBorders>
            <w:shd w:fill="1A2D4F" w:val="clear"/>
            <w:tcMar>
              <w:top w:type="dxa" w:w="100"/>
              <w:left w:type="dxa" w:w="130"/>
              <w:bottom w:type="dxa" w:w="100"/>
              <w:right w:type="dxa" w:w="130"/>
            </w:tcMar>
          </w:tcPr>
          <w:p>
            <w:r>
              <w:rPr>
                <w:rFonts w:ascii="Arial" w:cs="Arial" w:eastAsia="Arial" w:hAnsi="Arial"/>
                <w:b/>
                <w:bCs/>
                <w:color w:val="FFFFFF"/>
                <w:sz w:val="20"/>
                <w:szCs w:val="20"/>
              </w:rPr>
              <w:t xml:space="preserve">Key Performance Indicator</w:t>
            </w:r>
          </w:p>
        </w:tc>
        <w:tc>
          <w:tcPr>
            <w:tcW w:type="dxa" w:w="1500"/>
            <w:tcBorders>
              <w:top w:val="single" w:color="CBD5E0" w:sz="1"/>
              <w:left w:val="single" w:color="CBD5E0" w:sz="1"/>
              <w:bottom w:val="single" w:color="CBD5E0" w:sz="1"/>
              <w:right w:val="single" w:color="CBD5E0" w:sz="1"/>
            </w:tcBorders>
            <w:shd w:fill="1A2D4F" w:val="clear"/>
            <w:tcMar>
              <w:top w:type="dxa" w:w="100"/>
              <w:left w:type="dxa" w:w="130"/>
              <w:bottom w:type="dxa" w:w="100"/>
              <w:right w:type="dxa" w:w="130"/>
            </w:tcMar>
          </w:tcPr>
          <w:p>
            <w:r>
              <w:rPr>
                <w:rFonts w:ascii="Arial" w:cs="Arial" w:eastAsia="Arial" w:hAnsi="Arial"/>
                <w:b/>
                <w:bCs/>
                <w:color w:val="FFFFFF"/>
                <w:sz w:val="20"/>
                <w:szCs w:val="20"/>
              </w:rPr>
              <w:t xml:space="preserve">Unit</w:t>
            </w:r>
          </w:p>
        </w:tc>
        <w:tc>
          <w:tcPr>
            <w:tcW w:type="dxa" w:w="1700"/>
            <w:tcBorders>
              <w:top w:val="single" w:color="CBD5E0" w:sz="1"/>
              <w:left w:val="single" w:color="CBD5E0" w:sz="1"/>
              <w:bottom w:val="single" w:color="CBD5E0" w:sz="1"/>
              <w:right w:val="single" w:color="CBD5E0" w:sz="1"/>
            </w:tcBorders>
            <w:shd w:fill="1A2D4F" w:val="clear"/>
            <w:tcMar>
              <w:top w:type="dxa" w:w="100"/>
              <w:left w:type="dxa" w:w="130"/>
              <w:bottom w:type="dxa" w:w="100"/>
              <w:right w:type="dxa" w:w="130"/>
            </w:tcMar>
          </w:tcPr>
          <w:p>
            <w:r>
              <w:rPr>
                <w:rFonts w:ascii="Arial" w:cs="Arial" w:eastAsia="Arial" w:hAnsi="Arial"/>
                <w:b/>
                <w:bCs/>
                <w:color w:val="FFFFFF"/>
                <w:sz w:val="20"/>
                <w:szCs w:val="20"/>
              </w:rPr>
              <w:t xml:space="preserve">Target Value</w:t>
            </w:r>
          </w:p>
        </w:tc>
        <w:tc>
          <w:tcPr>
            <w:tcW w:type="dxa" w:w="2160"/>
            <w:tcBorders>
              <w:top w:val="single" w:color="CBD5E0" w:sz="1"/>
              <w:left w:val="single" w:color="CBD5E0" w:sz="1"/>
              <w:bottom w:val="single" w:color="CBD5E0" w:sz="1"/>
              <w:right w:val="single" w:color="CBD5E0" w:sz="1"/>
            </w:tcBorders>
            <w:shd w:fill="1A2D4F" w:val="clear"/>
            <w:tcMar>
              <w:top w:type="dxa" w:w="100"/>
              <w:left w:type="dxa" w:w="130"/>
              <w:bottom w:type="dxa" w:w="100"/>
              <w:right w:type="dxa" w:w="130"/>
            </w:tcMar>
          </w:tcPr>
          <w:p>
            <w:r>
              <w:rPr>
                <w:rFonts w:ascii="Arial" w:cs="Arial" w:eastAsia="Arial" w:hAnsi="Arial"/>
                <w:b/>
                <w:bCs/>
                <w:color w:val="FFFFFF"/>
                <w:sz w:val="20"/>
                <w:szCs w:val="20"/>
              </w:rPr>
              <w:t xml:space="preserve">Measurement Method</w:t>
            </w:r>
          </w:p>
        </w:tc>
        <w:tc>
          <w:tcPr>
            <w:tcW w:type="dxa" w:w="1400"/>
            <w:tcBorders>
              <w:top w:val="single" w:color="CBD5E0" w:sz="1"/>
              <w:left w:val="single" w:color="CBD5E0" w:sz="1"/>
              <w:bottom w:val="single" w:color="CBD5E0" w:sz="1"/>
              <w:right w:val="single" w:color="CBD5E0" w:sz="1"/>
            </w:tcBorders>
            <w:shd w:fill="1A2D4F" w:val="clear"/>
            <w:tcMar>
              <w:top w:type="dxa" w:w="100"/>
              <w:left w:type="dxa" w:w="130"/>
              <w:bottom w:type="dxa" w:w="100"/>
              <w:right w:type="dxa" w:w="130"/>
            </w:tcMar>
          </w:tcPr>
          <w:p>
            <w:r>
              <w:rPr>
                <w:rFonts w:ascii="Arial" w:cs="Arial" w:eastAsia="Arial" w:hAnsi="Arial"/>
                <w:b/>
                <w:bCs/>
                <w:color w:val="FFFFFF"/>
                <w:sz w:val="20"/>
                <w:szCs w:val="20"/>
              </w:rPr>
              <w:t xml:space="preserve">Owner</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b/>
                <w:bCs/>
                <w:color w:val="1A2D4F"/>
                <w:sz w:val="19"/>
                <w:szCs w:val="19"/>
              </w:rPr>
              <w:t xml:space="preserve">Remediation Completion Rate</w:t>
            </w:r>
          </w:p>
        </w:tc>
        <w:tc>
          <w:tcPr>
            <w:tcW w:type="dxa" w:w="15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718096"/>
                <w:sz w:val="19"/>
                <w:szCs w:val="19"/>
              </w:rPr>
              <w:t xml:space="preserve">Percentage (%)</w:t>
            </w:r>
          </w:p>
        </w:tc>
        <w:tc>
          <w:tcPr>
            <w:tcW w:type="dxa" w:w="1700"/>
            <w:tcBorders>
              <w:top w:val="single" w:color="CBD5E0" w:sz="1"/>
              <w:left w:val="single" w:color="CBD5E0" w:sz="1"/>
              <w:bottom w:val="single" w:color="CBD5E0" w:sz="1"/>
              <w:right w:val="single" w:color="CBD5E0" w:sz="1"/>
            </w:tcBorders>
            <w:shd w:fill="F0FFF4" w:val="clear"/>
            <w:tcMar>
              <w:top w:type="dxa" w:w="80"/>
              <w:left w:type="dxa" w:w="130"/>
              <w:bottom w:type="dxa" w:w="80"/>
              <w:right w:type="dxa" w:w="130"/>
            </w:tcMar>
          </w:tcPr>
          <w:p>
            <w:r>
              <w:rPr>
                <w:rFonts w:ascii="Arial" w:cs="Arial" w:eastAsia="Arial" w:hAnsi="Arial"/>
                <w:b/>
                <w:bCs/>
                <w:color w:val="276749"/>
                <w:sz w:val="19"/>
                <w:szCs w:val="19"/>
              </w:rPr>
              <w:t xml:space="preserve">100%</w:t>
            </w:r>
          </w:p>
        </w:tc>
        <w:tc>
          <w:tcPr>
            <w:tcW w:type="dxa" w:w="21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4A5568"/>
                <w:sz w:val="19"/>
                <w:szCs w:val="19"/>
              </w:rPr>
              <w:t xml:space="preserve">Fix Implementation Report item count</w:t>
            </w:r>
          </w:p>
        </w:tc>
        <w:tc>
          <w:tcPr>
            <w:tcW w:type="dxa" w:w="14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2D3748"/>
                <w:sz w:val="19"/>
                <w:szCs w:val="19"/>
              </w:rPr>
              <w:t xml:space="preserve">Yousef Osama</w:t>
            </w:r>
          </w:p>
        </w:tc>
      </w:tr>
      <w:tr>
        <w:tc>
          <w:tcPr>
            <w:tcW w:type="dxa" w:w="2600"/>
            <w:tcBorders>
              <w:top w:val="single" w:color="CBD5E0" w:sz="1"/>
              <w:left w:val="single" w:color="CBD5E0" w:sz="1"/>
              <w:bottom w:val="single" w:color="CBD5E0" w:sz="1"/>
              <w:right w:val="single" w:color="CBD5E0" w:sz="1"/>
            </w:tcBorders>
            <w:shd w:fill="F0F4FA" w:val="clear"/>
            <w:tcMar>
              <w:top w:type="dxa" w:w="80"/>
              <w:left w:type="dxa" w:w="130"/>
              <w:bottom w:type="dxa" w:w="80"/>
              <w:right w:type="dxa" w:w="130"/>
            </w:tcMar>
          </w:tcPr>
          <w:p>
            <w:r>
              <w:rPr>
                <w:rFonts w:ascii="Arial" w:cs="Arial" w:eastAsia="Arial" w:hAnsi="Arial"/>
                <w:b/>
                <w:bCs/>
                <w:color w:val="1A2D4F"/>
                <w:sz w:val="19"/>
                <w:szCs w:val="19"/>
              </w:rPr>
              <w:t xml:space="preserve">Verification Pass Rate</w:t>
            </w:r>
          </w:p>
        </w:tc>
        <w:tc>
          <w:tcPr>
            <w:tcW w:type="dxa" w:w="1500"/>
            <w:tcBorders>
              <w:top w:val="single" w:color="CBD5E0" w:sz="1"/>
              <w:left w:val="single" w:color="CBD5E0" w:sz="1"/>
              <w:bottom w:val="single" w:color="CBD5E0" w:sz="1"/>
              <w:right w:val="single" w:color="CBD5E0" w:sz="1"/>
            </w:tcBorders>
            <w:shd w:fill="F0F4FA" w:val="clear"/>
            <w:tcMar>
              <w:top w:type="dxa" w:w="80"/>
              <w:left w:type="dxa" w:w="130"/>
              <w:bottom w:type="dxa" w:w="80"/>
              <w:right w:type="dxa" w:w="130"/>
            </w:tcMar>
          </w:tcPr>
          <w:p>
            <w:r>
              <w:rPr>
                <w:rFonts w:ascii="Arial" w:cs="Arial" w:eastAsia="Arial" w:hAnsi="Arial"/>
                <w:color w:val="718096"/>
                <w:sz w:val="19"/>
                <w:szCs w:val="19"/>
              </w:rPr>
              <w:t xml:space="preserve">Percentage (%)</w:t>
            </w:r>
          </w:p>
        </w:tc>
        <w:tc>
          <w:tcPr>
            <w:tcW w:type="dxa" w:w="1700"/>
            <w:tcBorders>
              <w:top w:val="single" w:color="CBD5E0" w:sz="1"/>
              <w:left w:val="single" w:color="CBD5E0" w:sz="1"/>
              <w:bottom w:val="single" w:color="CBD5E0" w:sz="1"/>
              <w:right w:val="single" w:color="CBD5E0" w:sz="1"/>
            </w:tcBorders>
            <w:shd w:fill="F0FFF4" w:val="clear"/>
            <w:tcMar>
              <w:top w:type="dxa" w:w="80"/>
              <w:left w:type="dxa" w:w="130"/>
              <w:bottom w:type="dxa" w:w="80"/>
              <w:right w:type="dxa" w:w="130"/>
            </w:tcMar>
          </w:tcPr>
          <w:p>
            <w:r>
              <w:rPr>
                <w:rFonts w:ascii="Arial" w:cs="Arial" w:eastAsia="Arial" w:hAnsi="Arial"/>
                <w:b/>
                <w:bCs/>
                <w:color w:val="276749"/>
                <w:sz w:val="19"/>
                <w:szCs w:val="19"/>
              </w:rPr>
              <w:t xml:space="preserve">100%</w:t>
            </w:r>
          </w:p>
        </w:tc>
        <w:tc>
          <w:tcPr>
            <w:tcW w:type="dxa" w:w="2160"/>
            <w:tcBorders>
              <w:top w:val="single" w:color="CBD5E0" w:sz="1"/>
              <w:left w:val="single" w:color="CBD5E0" w:sz="1"/>
              <w:bottom w:val="single" w:color="CBD5E0" w:sz="1"/>
              <w:right w:val="single" w:color="CBD5E0" w:sz="1"/>
            </w:tcBorders>
            <w:shd w:fill="F0F4FA" w:val="clear"/>
            <w:tcMar>
              <w:top w:type="dxa" w:w="80"/>
              <w:left w:type="dxa" w:w="130"/>
              <w:bottom w:type="dxa" w:w="80"/>
              <w:right w:type="dxa" w:w="130"/>
            </w:tcMar>
          </w:tcPr>
          <w:p>
            <w:r>
              <w:rPr>
                <w:rFonts w:ascii="Arial" w:cs="Arial" w:eastAsia="Arial" w:hAnsi="Arial"/>
                <w:color w:val="4A5568"/>
                <w:sz w:val="19"/>
                <w:szCs w:val="19"/>
              </w:rPr>
              <w:t xml:space="preserve">Verification Report re-scan results</w:t>
            </w:r>
          </w:p>
        </w:tc>
        <w:tc>
          <w:tcPr>
            <w:tcW w:type="dxa" w:w="1400"/>
            <w:tcBorders>
              <w:top w:val="single" w:color="CBD5E0" w:sz="1"/>
              <w:left w:val="single" w:color="CBD5E0" w:sz="1"/>
              <w:bottom w:val="single" w:color="CBD5E0" w:sz="1"/>
              <w:right w:val="single" w:color="CBD5E0" w:sz="1"/>
            </w:tcBorders>
            <w:shd w:fill="F0F4FA" w:val="clear"/>
            <w:tcMar>
              <w:top w:type="dxa" w:w="80"/>
              <w:left w:type="dxa" w:w="130"/>
              <w:bottom w:type="dxa" w:w="80"/>
              <w:right w:type="dxa" w:w="130"/>
            </w:tcMar>
          </w:tcPr>
          <w:p>
            <w:r>
              <w:rPr>
                <w:rFonts w:ascii="Arial" w:cs="Arial" w:eastAsia="Arial" w:hAnsi="Arial"/>
                <w:color w:val="2D3748"/>
                <w:sz w:val="19"/>
                <w:szCs w:val="19"/>
              </w:rPr>
              <w:t xml:space="preserve">Yousef Osama</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b/>
                <w:bCs/>
                <w:color w:val="1A2D4F"/>
                <w:sz w:val="19"/>
                <w:szCs w:val="19"/>
              </w:rPr>
              <w:t xml:space="preserve">Regression Rate</w:t>
            </w:r>
          </w:p>
        </w:tc>
        <w:tc>
          <w:tcPr>
            <w:tcW w:type="dxa" w:w="15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718096"/>
                <w:sz w:val="19"/>
                <w:szCs w:val="19"/>
              </w:rPr>
              <w:t xml:space="preserve">New issues found</w:t>
            </w:r>
          </w:p>
        </w:tc>
        <w:tc>
          <w:tcPr>
            <w:tcW w:type="dxa" w:w="1700"/>
            <w:tcBorders>
              <w:top w:val="single" w:color="CBD5E0" w:sz="1"/>
              <w:left w:val="single" w:color="CBD5E0" w:sz="1"/>
              <w:bottom w:val="single" w:color="CBD5E0" w:sz="1"/>
              <w:right w:val="single" w:color="CBD5E0" w:sz="1"/>
            </w:tcBorders>
            <w:shd w:fill="F0FFF4" w:val="clear"/>
            <w:tcMar>
              <w:top w:type="dxa" w:w="80"/>
              <w:left w:type="dxa" w:w="130"/>
              <w:bottom w:type="dxa" w:w="80"/>
              <w:right w:type="dxa" w:w="130"/>
            </w:tcMar>
          </w:tcPr>
          <w:p>
            <w:r>
              <w:rPr>
                <w:rFonts w:ascii="Arial" w:cs="Arial" w:eastAsia="Arial" w:hAnsi="Arial"/>
                <w:b/>
                <w:bCs/>
                <w:color w:val="276749"/>
                <w:sz w:val="19"/>
                <w:szCs w:val="19"/>
              </w:rPr>
              <w:t xml:space="preserve">0</w:t>
            </w:r>
          </w:p>
        </w:tc>
        <w:tc>
          <w:tcPr>
            <w:tcW w:type="dxa" w:w="21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4A5568"/>
                <w:sz w:val="19"/>
                <w:szCs w:val="19"/>
              </w:rPr>
              <w:t xml:space="preserve">Post-remediation Nmap and Nikto scan</w:t>
            </w:r>
          </w:p>
        </w:tc>
        <w:tc>
          <w:tcPr>
            <w:tcW w:type="dxa" w:w="14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2D3748"/>
                <w:sz w:val="19"/>
                <w:szCs w:val="19"/>
              </w:rPr>
              <w:t xml:space="preserve">Yousef Osama</w:t>
            </w:r>
          </w:p>
        </w:tc>
      </w:tr>
      <w:tr>
        <w:tc>
          <w:tcPr>
            <w:tcW w:type="dxa" w:w="2600"/>
            <w:tcBorders>
              <w:top w:val="single" w:color="CBD5E0" w:sz="1"/>
              <w:left w:val="single" w:color="CBD5E0" w:sz="1"/>
              <w:bottom w:val="single" w:color="CBD5E0" w:sz="1"/>
              <w:right w:val="single" w:color="CBD5E0" w:sz="1"/>
            </w:tcBorders>
            <w:shd w:fill="F0F4FA" w:val="clear"/>
            <w:tcMar>
              <w:top w:type="dxa" w:w="80"/>
              <w:left w:type="dxa" w:w="130"/>
              <w:bottom w:type="dxa" w:w="80"/>
              <w:right w:type="dxa" w:w="130"/>
            </w:tcMar>
          </w:tcPr>
          <w:p>
            <w:r>
              <w:rPr>
                <w:rFonts w:ascii="Arial" w:cs="Arial" w:eastAsia="Arial" w:hAnsi="Arial"/>
                <w:b/>
                <w:bCs/>
                <w:color w:val="1A2D4F"/>
                <w:sz w:val="19"/>
                <w:szCs w:val="19"/>
              </w:rPr>
              <w:t xml:space="preserve">Critical Findings Closure Rate</w:t>
            </w:r>
          </w:p>
        </w:tc>
        <w:tc>
          <w:tcPr>
            <w:tcW w:type="dxa" w:w="1500"/>
            <w:tcBorders>
              <w:top w:val="single" w:color="CBD5E0" w:sz="1"/>
              <w:left w:val="single" w:color="CBD5E0" w:sz="1"/>
              <w:bottom w:val="single" w:color="CBD5E0" w:sz="1"/>
              <w:right w:val="single" w:color="CBD5E0" w:sz="1"/>
            </w:tcBorders>
            <w:shd w:fill="F0F4FA" w:val="clear"/>
            <w:tcMar>
              <w:top w:type="dxa" w:w="80"/>
              <w:left w:type="dxa" w:w="130"/>
              <w:bottom w:type="dxa" w:w="80"/>
              <w:right w:type="dxa" w:w="130"/>
            </w:tcMar>
          </w:tcPr>
          <w:p>
            <w:r>
              <w:rPr>
                <w:rFonts w:ascii="Arial" w:cs="Arial" w:eastAsia="Arial" w:hAnsi="Arial"/>
                <w:color w:val="718096"/>
                <w:sz w:val="19"/>
                <w:szCs w:val="19"/>
              </w:rPr>
              <w:t xml:space="preserve">Percentage (%)</w:t>
            </w:r>
          </w:p>
        </w:tc>
        <w:tc>
          <w:tcPr>
            <w:tcW w:type="dxa" w:w="1700"/>
            <w:tcBorders>
              <w:top w:val="single" w:color="CBD5E0" w:sz="1"/>
              <w:left w:val="single" w:color="CBD5E0" w:sz="1"/>
              <w:bottom w:val="single" w:color="CBD5E0" w:sz="1"/>
              <w:right w:val="single" w:color="CBD5E0" w:sz="1"/>
            </w:tcBorders>
            <w:shd w:fill="F0FFF4" w:val="clear"/>
            <w:tcMar>
              <w:top w:type="dxa" w:w="80"/>
              <w:left w:type="dxa" w:w="130"/>
              <w:bottom w:type="dxa" w:w="80"/>
              <w:right w:type="dxa" w:w="130"/>
            </w:tcMar>
          </w:tcPr>
          <w:p>
            <w:r>
              <w:rPr>
                <w:rFonts w:ascii="Arial" w:cs="Arial" w:eastAsia="Arial" w:hAnsi="Arial"/>
                <w:b/>
                <w:bCs/>
                <w:color w:val="276749"/>
                <w:sz w:val="19"/>
                <w:szCs w:val="19"/>
              </w:rPr>
              <w:t xml:space="preserve">100%</w:t>
            </w:r>
          </w:p>
        </w:tc>
        <w:tc>
          <w:tcPr>
            <w:tcW w:type="dxa" w:w="2160"/>
            <w:tcBorders>
              <w:top w:val="single" w:color="CBD5E0" w:sz="1"/>
              <w:left w:val="single" w:color="CBD5E0" w:sz="1"/>
              <w:bottom w:val="single" w:color="CBD5E0" w:sz="1"/>
              <w:right w:val="single" w:color="CBD5E0" w:sz="1"/>
            </w:tcBorders>
            <w:shd w:fill="F0F4FA" w:val="clear"/>
            <w:tcMar>
              <w:top w:type="dxa" w:w="80"/>
              <w:left w:type="dxa" w:w="130"/>
              <w:bottom w:type="dxa" w:w="80"/>
              <w:right w:type="dxa" w:w="130"/>
            </w:tcMar>
          </w:tcPr>
          <w:p>
            <w:r>
              <w:rPr>
                <w:rFonts w:ascii="Arial" w:cs="Arial" w:eastAsia="Arial" w:hAnsi="Arial"/>
                <w:color w:val="4A5568"/>
                <w:sz w:val="19"/>
                <w:szCs w:val="19"/>
              </w:rPr>
              <w:t xml:space="preserve">Verification Report — Critical findings section</w:t>
            </w:r>
          </w:p>
        </w:tc>
        <w:tc>
          <w:tcPr>
            <w:tcW w:type="dxa" w:w="1400"/>
            <w:tcBorders>
              <w:top w:val="single" w:color="CBD5E0" w:sz="1"/>
              <w:left w:val="single" w:color="CBD5E0" w:sz="1"/>
              <w:bottom w:val="single" w:color="CBD5E0" w:sz="1"/>
              <w:right w:val="single" w:color="CBD5E0" w:sz="1"/>
            </w:tcBorders>
            <w:shd w:fill="F0F4FA" w:val="clear"/>
            <w:tcMar>
              <w:top w:type="dxa" w:w="80"/>
              <w:left w:type="dxa" w:w="130"/>
              <w:bottom w:type="dxa" w:w="80"/>
              <w:right w:type="dxa" w:w="130"/>
            </w:tcMar>
          </w:tcPr>
          <w:p>
            <w:r>
              <w:rPr>
                <w:rFonts w:ascii="Arial" w:cs="Arial" w:eastAsia="Arial" w:hAnsi="Arial"/>
                <w:color w:val="2D3748"/>
                <w:sz w:val="19"/>
                <w:szCs w:val="19"/>
              </w:rPr>
              <w:t xml:space="preserve">Full Team</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b/>
                <w:bCs/>
                <w:color w:val="1A2D4F"/>
                <w:sz w:val="19"/>
                <w:szCs w:val="19"/>
              </w:rPr>
              <w:t xml:space="preserve">Remediation Plan Coverage</w:t>
            </w:r>
          </w:p>
        </w:tc>
        <w:tc>
          <w:tcPr>
            <w:tcW w:type="dxa" w:w="15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718096"/>
                <w:sz w:val="19"/>
                <w:szCs w:val="19"/>
              </w:rPr>
              <w:t xml:space="preserve">Percentage (%)</w:t>
            </w:r>
          </w:p>
        </w:tc>
        <w:tc>
          <w:tcPr>
            <w:tcW w:type="dxa" w:w="1700"/>
            <w:tcBorders>
              <w:top w:val="single" w:color="CBD5E0" w:sz="1"/>
              <w:left w:val="single" w:color="CBD5E0" w:sz="1"/>
              <w:bottom w:val="single" w:color="CBD5E0" w:sz="1"/>
              <w:right w:val="single" w:color="CBD5E0" w:sz="1"/>
            </w:tcBorders>
            <w:shd w:fill="F0FFF4" w:val="clear"/>
            <w:tcMar>
              <w:top w:type="dxa" w:w="80"/>
              <w:left w:type="dxa" w:w="130"/>
              <w:bottom w:type="dxa" w:w="80"/>
              <w:right w:type="dxa" w:w="130"/>
            </w:tcMar>
          </w:tcPr>
          <w:p>
            <w:r>
              <w:rPr>
                <w:rFonts w:ascii="Arial" w:cs="Arial" w:eastAsia="Arial" w:hAnsi="Arial"/>
                <w:b/>
                <w:bCs/>
                <w:color w:val="276749"/>
                <w:sz w:val="19"/>
                <w:szCs w:val="19"/>
              </w:rPr>
              <w:t xml:space="preserve">100%</w:t>
            </w:r>
          </w:p>
        </w:tc>
        <w:tc>
          <w:tcPr>
            <w:tcW w:type="dxa" w:w="21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4A5568"/>
                <w:sz w:val="19"/>
                <w:szCs w:val="19"/>
              </w:rPr>
              <w:t xml:space="preserve">Remediation Plan vs Findings Report comparison</w:t>
            </w:r>
          </w:p>
        </w:tc>
        <w:tc>
          <w:tcPr>
            <w:tcW w:type="dxa" w:w="14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2D3748"/>
                <w:sz w:val="19"/>
                <w:szCs w:val="19"/>
              </w:rPr>
              <w:t xml:space="preserve">Ahmed</w:t>
            </w:r>
          </w:p>
        </w:tc>
      </w:tr>
    </w:tbl>
    <w:p>
      <w:pPr>
        <w:spacing w:after="100" w:before="0"/>
      </w:pPr>
      <w:r>
        <w:t xml:space="preserve"/>
      </w:r>
    </w:p>
    <w:p>
      <w:pPr>
        <w:spacing w:after="120" w:before="360"/>
      </w:pPr>
      <w:r>
        <w:rPr>
          <w:rFonts w:ascii="Georgia" w:cs="Georgia" w:eastAsia="Georgia" w:hAnsi="Georgia"/>
          <w:b/>
          <w:bCs/>
          <w:color w:val="1A2D4F"/>
          <w:sz w:val="30"/>
          <w:szCs w:val="30"/>
        </w:rPr>
        <w:t xml:space="preserve">5.  Category 3 — Documentation Quality KPIs</w:t>
      </w:r>
    </w:p>
    <w:p>
      <w:pPr>
        <w:pBdr>
          <w:bottom w:val="single" w:color="2E5FA3" w:sz="4" w:space="1"/>
        </w:pBdr>
        <w:spacing w:after="160" w:before="180"/>
      </w:pPr>
      <w:r>
        <w:t xml:space="preserve"/>
      </w:r>
    </w:p>
    <w:p>
      <w:pPr>
        <w:spacing w:after="100" w:before="60"/>
      </w:pPr>
      <w:r>
        <w:rPr>
          <w:rFonts w:ascii="Arial" w:cs="Arial" w:eastAsia="Arial" w:hAnsi="Arial"/>
          <w:color w:val="2D3748"/>
          <w:sz w:val="22"/>
          <w:szCs w:val="22"/>
        </w:rPr>
        <w:t xml:space="preserve">These KPIs ensure the project record is complete, internally consistent, and submitted in accordance with the defined schedule and repository structure.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700"/>
        <w:gridCol w:w="2160"/>
        <w:gridCol w:w="1400"/>
      </w:tblGrid>
      <w:tr>
        <w:tc>
          <w:tcPr>
            <w:tcW w:type="dxa" w:w="2600"/>
            <w:tcBorders>
              <w:top w:val="single" w:color="CBD5E0" w:sz="1"/>
              <w:left w:val="single" w:color="CBD5E0" w:sz="1"/>
              <w:bottom w:val="single" w:color="CBD5E0" w:sz="1"/>
              <w:right w:val="single" w:color="CBD5E0" w:sz="1"/>
            </w:tcBorders>
            <w:shd w:fill="1A2D4F" w:val="clear"/>
            <w:tcMar>
              <w:top w:type="dxa" w:w="100"/>
              <w:left w:type="dxa" w:w="130"/>
              <w:bottom w:type="dxa" w:w="100"/>
              <w:right w:type="dxa" w:w="130"/>
            </w:tcMar>
          </w:tcPr>
          <w:p>
            <w:r>
              <w:rPr>
                <w:rFonts w:ascii="Arial" w:cs="Arial" w:eastAsia="Arial" w:hAnsi="Arial"/>
                <w:b/>
                <w:bCs/>
                <w:color w:val="FFFFFF"/>
                <w:sz w:val="20"/>
                <w:szCs w:val="20"/>
              </w:rPr>
              <w:t xml:space="preserve">Key Performance Indicator</w:t>
            </w:r>
          </w:p>
        </w:tc>
        <w:tc>
          <w:tcPr>
            <w:tcW w:type="dxa" w:w="1500"/>
            <w:tcBorders>
              <w:top w:val="single" w:color="CBD5E0" w:sz="1"/>
              <w:left w:val="single" w:color="CBD5E0" w:sz="1"/>
              <w:bottom w:val="single" w:color="CBD5E0" w:sz="1"/>
              <w:right w:val="single" w:color="CBD5E0" w:sz="1"/>
            </w:tcBorders>
            <w:shd w:fill="1A2D4F" w:val="clear"/>
            <w:tcMar>
              <w:top w:type="dxa" w:w="100"/>
              <w:left w:type="dxa" w:w="130"/>
              <w:bottom w:type="dxa" w:w="100"/>
              <w:right w:type="dxa" w:w="130"/>
            </w:tcMar>
          </w:tcPr>
          <w:p>
            <w:r>
              <w:rPr>
                <w:rFonts w:ascii="Arial" w:cs="Arial" w:eastAsia="Arial" w:hAnsi="Arial"/>
                <w:b/>
                <w:bCs/>
                <w:color w:val="FFFFFF"/>
                <w:sz w:val="20"/>
                <w:szCs w:val="20"/>
              </w:rPr>
              <w:t xml:space="preserve">Unit</w:t>
            </w:r>
          </w:p>
        </w:tc>
        <w:tc>
          <w:tcPr>
            <w:tcW w:type="dxa" w:w="1700"/>
            <w:tcBorders>
              <w:top w:val="single" w:color="CBD5E0" w:sz="1"/>
              <w:left w:val="single" w:color="CBD5E0" w:sz="1"/>
              <w:bottom w:val="single" w:color="CBD5E0" w:sz="1"/>
              <w:right w:val="single" w:color="CBD5E0" w:sz="1"/>
            </w:tcBorders>
            <w:shd w:fill="1A2D4F" w:val="clear"/>
            <w:tcMar>
              <w:top w:type="dxa" w:w="100"/>
              <w:left w:type="dxa" w:w="130"/>
              <w:bottom w:type="dxa" w:w="100"/>
              <w:right w:type="dxa" w:w="130"/>
            </w:tcMar>
          </w:tcPr>
          <w:p>
            <w:r>
              <w:rPr>
                <w:rFonts w:ascii="Arial" w:cs="Arial" w:eastAsia="Arial" w:hAnsi="Arial"/>
                <w:b/>
                <w:bCs/>
                <w:color w:val="FFFFFF"/>
                <w:sz w:val="20"/>
                <w:szCs w:val="20"/>
              </w:rPr>
              <w:t xml:space="preserve">Target Value</w:t>
            </w:r>
          </w:p>
        </w:tc>
        <w:tc>
          <w:tcPr>
            <w:tcW w:type="dxa" w:w="2160"/>
            <w:tcBorders>
              <w:top w:val="single" w:color="CBD5E0" w:sz="1"/>
              <w:left w:val="single" w:color="CBD5E0" w:sz="1"/>
              <w:bottom w:val="single" w:color="CBD5E0" w:sz="1"/>
              <w:right w:val="single" w:color="CBD5E0" w:sz="1"/>
            </w:tcBorders>
            <w:shd w:fill="1A2D4F" w:val="clear"/>
            <w:tcMar>
              <w:top w:type="dxa" w:w="100"/>
              <w:left w:type="dxa" w:w="130"/>
              <w:bottom w:type="dxa" w:w="100"/>
              <w:right w:type="dxa" w:w="130"/>
            </w:tcMar>
          </w:tcPr>
          <w:p>
            <w:r>
              <w:rPr>
                <w:rFonts w:ascii="Arial" w:cs="Arial" w:eastAsia="Arial" w:hAnsi="Arial"/>
                <w:b/>
                <w:bCs/>
                <w:color w:val="FFFFFF"/>
                <w:sz w:val="20"/>
                <w:szCs w:val="20"/>
              </w:rPr>
              <w:t xml:space="preserve">Measurement Method</w:t>
            </w:r>
          </w:p>
        </w:tc>
        <w:tc>
          <w:tcPr>
            <w:tcW w:type="dxa" w:w="1400"/>
            <w:tcBorders>
              <w:top w:val="single" w:color="CBD5E0" w:sz="1"/>
              <w:left w:val="single" w:color="CBD5E0" w:sz="1"/>
              <w:bottom w:val="single" w:color="CBD5E0" w:sz="1"/>
              <w:right w:val="single" w:color="CBD5E0" w:sz="1"/>
            </w:tcBorders>
            <w:shd w:fill="1A2D4F" w:val="clear"/>
            <w:tcMar>
              <w:top w:type="dxa" w:w="100"/>
              <w:left w:type="dxa" w:w="130"/>
              <w:bottom w:type="dxa" w:w="100"/>
              <w:right w:type="dxa" w:w="130"/>
            </w:tcMar>
          </w:tcPr>
          <w:p>
            <w:r>
              <w:rPr>
                <w:rFonts w:ascii="Arial" w:cs="Arial" w:eastAsia="Arial" w:hAnsi="Arial"/>
                <w:b/>
                <w:bCs/>
                <w:color w:val="FFFFFF"/>
                <w:sz w:val="20"/>
                <w:szCs w:val="20"/>
              </w:rPr>
              <w:t xml:space="preserve">Owner</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b/>
                <w:bCs/>
                <w:color w:val="1A2D4F"/>
                <w:sz w:val="19"/>
                <w:szCs w:val="19"/>
              </w:rPr>
              <w:t xml:space="preserve">Document Completion Rate</w:t>
            </w:r>
          </w:p>
        </w:tc>
        <w:tc>
          <w:tcPr>
            <w:tcW w:type="dxa" w:w="15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718096"/>
                <w:sz w:val="19"/>
                <w:szCs w:val="19"/>
              </w:rPr>
              <w:t xml:space="preserve">Documents delivered</w:t>
            </w:r>
          </w:p>
        </w:tc>
        <w:tc>
          <w:tcPr>
            <w:tcW w:type="dxa" w:w="1700"/>
            <w:tcBorders>
              <w:top w:val="single" w:color="CBD5E0" w:sz="1"/>
              <w:left w:val="single" w:color="CBD5E0" w:sz="1"/>
              <w:bottom w:val="single" w:color="CBD5E0" w:sz="1"/>
              <w:right w:val="single" w:color="CBD5E0" w:sz="1"/>
            </w:tcBorders>
            <w:shd w:fill="F0FFF4" w:val="clear"/>
            <w:tcMar>
              <w:top w:type="dxa" w:w="80"/>
              <w:left w:type="dxa" w:w="130"/>
              <w:bottom w:type="dxa" w:w="80"/>
              <w:right w:type="dxa" w:w="130"/>
            </w:tcMar>
          </w:tcPr>
          <w:p>
            <w:r>
              <w:rPr>
                <w:rFonts w:ascii="Arial" w:cs="Arial" w:eastAsia="Arial" w:hAnsi="Arial"/>
                <w:b/>
                <w:bCs/>
                <w:color w:val="276749"/>
                <w:sz w:val="19"/>
                <w:szCs w:val="19"/>
              </w:rPr>
              <w:t xml:space="preserve">26 / 26</w:t>
            </w:r>
          </w:p>
        </w:tc>
        <w:tc>
          <w:tcPr>
            <w:tcW w:type="dxa" w:w="21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4A5568"/>
                <w:sz w:val="19"/>
                <w:szCs w:val="19"/>
              </w:rPr>
              <w:t xml:space="preserve">GitHub repository file inventory</w:t>
            </w:r>
          </w:p>
        </w:tc>
        <w:tc>
          <w:tcPr>
            <w:tcW w:type="dxa" w:w="14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2D3748"/>
                <w:sz w:val="19"/>
                <w:szCs w:val="19"/>
              </w:rPr>
              <w:t xml:space="preserve">Ahmed</w:t>
            </w:r>
          </w:p>
        </w:tc>
      </w:tr>
      <w:tr>
        <w:tc>
          <w:tcPr>
            <w:tcW w:type="dxa" w:w="2600"/>
            <w:tcBorders>
              <w:top w:val="single" w:color="CBD5E0" w:sz="1"/>
              <w:left w:val="single" w:color="CBD5E0" w:sz="1"/>
              <w:bottom w:val="single" w:color="CBD5E0" w:sz="1"/>
              <w:right w:val="single" w:color="CBD5E0" w:sz="1"/>
            </w:tcBorders>
            <w:shd w:fill="F0F4FA" w:val="clear"/>
            <w:tcMar>
              <w:top w:type="dxa" w:w="80"/>
              <w:left w:type="dxa" w:w="130"/>
              <w:bottom w:type="dxa" w:w="80"/>
              <w:right w:type="dxa" w:w="130"/>
            </w:tcMar>
          </w:tcPr>
          <w:p>
            <w:r>
              <w:rPr>
                <w:rFonts w:ascii="Arial" w:cs="Arial" w:eastAsia="Arial" w:hAnsi="Arial"/>
                <w:b/>
                <w:bCs/>
                <w:color w:val="1A2D4F"/>
                <w:sz w:val="19"/>
                <w:szCs w:val="19"/>
              </w:rPr>
              <w:t xml:space="preserve">On-Time Upload Compliance</w:t>
            </w:r>
          </w:p>
        </w:tc>
        <w:tc>
          <w:tcPr>
            <w:tcW w:type="dxa" w:w="1500"/>
            <w:tcBorders>
              <w:top w:val="single" w:color="CBD5E0" w:sz="1"/>
              <w:left w:val="single" w:color="CBD5E0" w:sz="1"/>
              <w:bottom w:val="single" w:color="CBD5E0" w:sz="1"/>
              <w:right w:val="single" w:color="CBD5E0" w:sz="1"/>
            </w:tcBorders>
            <w:shd w:fill="F0F4FA" w:val="clear"/>
            <w:tcMar>
              <w:top w:type="dxa" w:w="80"/>
              <w:left w:type="dxa" w:w="130"/>
              <w:bottom w:type="dxa" w:w="80"/>
              <w:right w:type="dxa" w:w="130"/>
            </w:tcMar>
          </w:tcPr>
          <w:p>
            <w:r>
              <w:rPr>
                <w:rFonts w:ascii="Arial" w:cs="Arial" w:eastAsia="Arial" w:hAnsi="Arial"/>
                <w:color w:val="718096"/>
                <w:sz w:val="19"/>
                <w:szCs w:val="19"/>
              </w:rPr>
              <w:t xml:space="preserve">Percentage (%)</w:t>
            </w:r>
          </w:p>
        </w:tc>
        <w:tc>
          <w:tcPr>
            <w:tcW w:type="dxa" w:w="1700"/>
            <w:tcBorders>
              <w:top w:val="single" w:color="CBD5E0" w:sz="1"/>
              <w:left w:val="single" w:color="CBD5E0" w:sz="1"/>
              <w:bottom w:val="single" w:color="CBD5E0" w:sz="1"/>
              <w:right w:val="single" w:color="CBD5E0" w:sz="1"/>
            </w:tcBorders>
            <w:shd w:fill="F0FFF4" w:val="clear"/>
            <w:tcMar>
              <w:top w:type="dxa" w:w="80"/>
              <w:left w:type="dxa" w:w="130"/>
              <w:bottom w:type="dxa" w:w="80"/>
              <w:right w:type="dxa" w:w="130"/>
            </w:tcMar>
          </w:tcPr>
          <w:p>
            <w:r>
              <w:rPr>
                <w:rFonts w:ascii="Arial" w:cs="Arial" w:eastAsia="Arial" w:hAnsi="Arial"/>
                <w:b/>
                <w:bCs/>
                <w:color w:val="276749"/>
                <w:sz w:val="19"/>
                <w:szCs w:val="19"/>
              </w:rPr>
              <w:t xml:space="preserve">100%</w:t>
            </w:r>
          </w:p>
        </w:tc>
        <w:tc>
          <w:tcPr>
            <w:tcW w:type="dxa" w:w="2160"/>
            <w:tcBorders>
              <w:top w:val="single" w:color="CBD5E0" w:sz="1"/>
              <w:left w:val="single" w:color="CBD5E0" w:sz="1"/>
              <w:bottom w:val="single" w:color="CBD5E0" w:sz="1"/>
              <w:right w:val="single" w:color="CBD5E0" w:sz="1"/>
            </w:tcBorders>
            <w:shd w:fill="F0F4FA" w:val="clear"/>
            <w:tcMar>
              <w:top w:type="dxa" w:w="80"/>
              <w:left w:type="dxa" w:w="130"/>
              <w:bottom w:type="dxa" w:w="80"/>
              <w:right w:type="dxa" w:w="130"/>
            </w:tcMar>
          </w:tcPr>
          <w:p>
            <w:r>
              <w:rPr>
                <w:rFonts w:ascii="Arial" w:cs="Arial" w:eastAsia="Arial" w:hAnsi="Arial"/>
                <w:color w:val="4A5568"/>
                <w:sz w:val="19"/>
                <w:szCs w:val="19"/>
              </w:rPr>
              <w:t xml:space="preserve">GitHub commit timestamps vs deadline table</w:t>
            </w:r>
          </w:p>
        </w:tc>
        <w:tc>
          <w:tcPr>
            <w:tcW w:type="dxa" w:w="1400"/>
            <w:tcBorders>
              <w:top w:val="single" w:color="CBD5E0" w:sz="1"/>
              <w:left w:val="single" w:color="CBD5E0" w:sz="1"/>
              <w:bottom w:val="single" w:color="CBD5E0" w:sz="1"/>
              <w:right w:val="single" w:color="CBD5E0" w:sz="1"/>
            </w:tcBorders>
            <w:shd w:fill="F0F4FA" w:val="clear"/>
            <w:tcMar>
              <w:top w:type="dxa" w:w="80"/>
              <w:left w:type="dxa" w:w="130"/>
              <w:bottom w:type="dxa" w:w="80"/>
              <w:right w:type="dxa" w:w="130"/>
            </w:tcMar>
          </w:tcPr>
          <w:p>
            <w:r>
              <w:rPr>
                <w:rFonts w:ascii="Arial" w:cs="Arial" w:eastAsia="Arial" w:hAnsi="Arial"/>
                <w:color w:val="2D3748"/>
                <w:sz w:val="19"/>
                <w:szCs w:val="19"/>
              </w:rPr>
              <w:t xml:space="preserve">Ahmed</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b/>
                <w:bCs/>
                <w:color w:val="1A2D4F"/>
                <w:sz w:val="19"/>
                <w:szCs w:val="19"/>
              </w:rPr>
              <w:t xml:space="preserve">Cross-Document Consistency</w:t>
            </w:r>
          </w:p>
        </w:tc>
        <w:tc>
          <w:tcPr>
            <w:tcW w:type="dxa" w:w="15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718096"/>
                <w:sz w:val="19"/>
                <w:szCs w:val="19"/>
              </w:rPr>
              <w:t xml:space="preserve">Discrepancies found</w:t>
            </w:r>
          </w:p>
        </w:tc>
        <w:tc>
          <w:tcPr>
            <w:tcW w:type="dxa" w:w="1700"/>
            <w:tcBorders>
              <w:top w:val="single" w:color="CBD5E0" w:sz="1"/>
              <w:left w:val="single" w:color="CBD5E0" w:sz="1"/>
              <w:bottom w:val="single" w:color="CBD5E0" w:sz="1"/>
              <w:right w:val="single" w:color="CBD5E0" w:sz="1"/>
            </w:tcBorders>
            <w:shd w:fill="F0FFF4" w:val="clear"/>
            <w:tcMar>
              <w:top w:type="dxa" w:w="80"/>
              <w:left w:type="dxa" w:w="130"/>
              <w:bottom w:type="dxa" w:w="80"/>
              <w:right w:type="dxa" w:w="130"/>
            </w:tcMar>
          </w:tcPr>
          <w:p>
            <w:r>
              <w:rPr>
                <w:rFonts w:ascii="Arial" w:cs="Arial" w:eastAsia="Arial" w:hAnsi="Arial"/>
                <w:b/>
                <w:bCs/>
                <w:color w:val="276749"/>
                <w:sz w:val="19"/>
                <w:szCs w:val="19"/>
              </w:rPr>
              <w:t xml:space="preserve">0</w:t>
            </w:r>
          </w:p>
        </w:tc>
        <w:tc>
          <w:tcPr>
            <w:tcW w:type="dxa" w:w="21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4A5568"/>
                <w:sz w:val="19"/>
                <w:szCs w:val="19"/>
              </w:rPr>
              <w:t xml:space="preserve">Peer cross-review prior to upload</w:t>
            </w:r>
          </w:p>
        </w:tc>
        <w:tc>
          <w:tcPr>
            <w:tcW w:type="dxa" w:w="14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2D3748"/>
                <w:sz w:val="19"/>
                <w:szCs w:val="19"/>
              </w:rPr>
              <w:t xml:space="preserve">Yousef Nasser</w:t>
            </w:r>
          </w:p>
        </w:tc>
      </w:tr>
      <w:tr>
        <w:tc>
          <w:tcPr>
            <w:tcW w:type="dxa" w:w="2600"/>
            <w:tcBorders>
              <w:top w:val="single" w:color="CBD5E0" w:sz="1"/>
              <w:left w:val="single" w:color="CBD5E0" w:sz="1"/>
              <w:bottom w:val="single" w:color="CBD5E0" w:sz="1"/>
              <w:right w:val="single" w:color="CBD5E0" w:sz="1"/>
            </w:tcBorders>
            <w:shd w:fill="F0F4FA" w:val="clear"/>
            <w:tcMar>
              <w:top w:type="dxa" w:w="80"/>
              <w:left w:type="dxa" w:w="130"/>
              <w:bottom w:type="dxa" w:w="80"/>
              <w:right w:type="dxa" w:w="130"/>
            </w:tcMar>
          </w:tcPr>
          <w:p>
            <w:r>
              <w:rPr>
                <w:rFonts w:ascii="Arial" w:cs="Arial" w:eastAsia="Arial" w:hAnsi="Arial"/>
                <w:b/>
                <w:bCs/>
                <w:color w:val="1A2D4F"/>
                <w:sz w:val="19"/>
                <w:szCs w:val="19"/>
              </w:rPr>
              <w:t xml:space="preserve">Peer Review Coverage</w:t>
            </w:r>
          </w:p>
        </w:tc>
        <w:tc>
          <w:tcPr>
            <w:tcW w:type="dxa" w:w="1500"/>
            <w:tcBorders>
              <w:top w:val="single" w:color="CBD5E0" w:sz="1"/>
              <w:left w:val="single" w:color="CBD5E0" w:sz="1"/>
              <w:bottom w:val="single" w:color="CBD5E0" w:sz="1"/>
              <w:right w:val="single" w:color="CBD5E0" w:sz="1"/>
            </w:tcBorders>
            <w:shd w:fill="F0F4FA" w:val="clear"/>
            <w:tcMar>
              <w:top w:type="dxa" w:w="80"/>
              <w:left w:type="dxa" w:w="130"/>
              <w:bottom w:type="dxa" w:w="80"/>
              <w:right w:type="dxa" w:w="130"/>
            </w:tcMar>
          </w:tcPr>
          <w:p>
            <w:r>
              <w:rPr>
                <w:rFonts w:ascii="Arial" w:cs="Arial" w:eastAsia="Arial" w:hAnsi="Arial"/>
                <w:color w:val="718096"/>
                <w:sz w:val="19"/>
                <w:szCs w:val="19"/>
              </w:rPr>
              <w:t xml:space="preserve">Percentage (%)</w:t>
            </w:r>
          </w:p>
        </w:tc>
        <w:tc>
          <w:tcPr>
            <w:tcW w:type="dxa" w:w="1700"/>
            <w:tcBorders>
              <w:top w:val="single" w:color="CBD5E0" w:sz="1"/>
              <w:left w:val="single" w:color="CBD5E0" w:sz="1"/>
              <w:bottom w:val="single" w:color="CBD5E0" w:sz="1"/>
              <w:right w:val="single" w:color="CBD5E0" w:sz="1"/>
            </w:tcBorders>
            <w:shd w:fill="F0FFF4" w:val="clear"/>
            <w:tcMar>
              <w:top w:type="dxa" w:w="80"/>
              <w:left w:type="dxa" w:w="130"/>
              <w:bottom w:type="dxa" w:w="80"/>
              <w:right w:type="dxa" w:w="130"/>
            </w:tcMar>
          </w:tcPr>
          <w:p>
            <w:r>
              <w:rPr>
                <w:rFonts w:ascii="Arial" w:cs="Arial" w:eastAsia="Arial" w:hAnsi="Arial"/>
                <w:b/>
                <w:bCs/>
                <w:color w:val="276749"/>
                <w:sz w:val="19"/>
                <w:szCs w:val="19"/>
              </w:rPr>
              <w:t xml:space="preserve">100%</w:t>
            </w:r>
          </w:p>
        </w:tc>
        <w:tc>
          <w:tcPr>
            <w:tcW w:type="dxa" w:w="2160"/>
            <w:tcBorders>
              <w:top w:val="single" w:color="CBD5E0" w:sz="1"/>
              <w:left w:val="single" w:color="CBD5E0" w:sz="1"/>
              <w:bottom w:val="single" w:color="CBD5E0" w:sz="1"/>
              <w:right w:val="single" w:color="CBD5E0" w:sz="1"/>
            </w:tcBorders>
            <w:shd w:fill="F0F4FA" w:val="clear"/>
            <w:tcMar>
              <w:top w:type="dxa" w:w="80"/>
              <w:left w:type="dxa" w:w="130"/>
              <w:bottom w:type="dxa" w:w="80"/>
              <w:right w:type="dxa" w:w="130"/>
            </w:tcMar>
          </w:tcPr>
          <w:p>
            <w:r>
              <w:rPr>
                <w:rFonts w:ascii="Arial" w:cs="Arial" w:eastAsia="Arial" w:hAnsi="Arial"/>
                <w:color w:val="4A5568"/>
                <w:sz w:val="19"/>
                <w:szCs w:val="19"/>
              </w:rPr>
              <w:t xml:space="preserve">Review log in PPM-003</w:t>
            </w:r>
          </w:p>
        </w:tc>
        <w:tc>
          <w:tcPr>
            <w:tcW w:type="dxa" w:w="1400"/>
            <w:tcBorders>
              <w:top w:val="single" w:color="CBD5E0" w:sz="1"/>
              <w:left w:val="single" w:color="CBD5E0" w:sz="1"/>
              <w:bottom w:val="single" w:color="CBD5E0" w:sz="1"/>
              <w:right w:val="single" w:color="CBD5E0" w:sz="1"/>
            </w:tcBorders>
            <w:shd w:fill="F0F4FA" w:val="clear"/>
            <w:tcMar>
              <w:top w:type="dxa" w:w="80"/>
              <w:left w:type="dxa" w:w="130"/>
              <w:bottom w:type="dxa" w:w="80"/>
              <w:right w:type="dxa" w:w="130"/>
            </w:tcMar>
          </w:tcPr>
          <w:p>
            <w:r>
              <w:rPr>
                <w:rFonts w:ascii="Arial" w:cs="Arial" w:eastAsia="Arial" w:hAnsi="Arial"/>
                <w:color w:val="2D3748"/>
                <w:sz w:val="19"/>
                <w:szCs w:val="19"/>
              </w:rPr>
              <w:t xml:space="preserve">Full Team</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b/>
                <w:bCs/>
                <w:color w:val="1A2D4F"/>
                <w:sz w:val="19"/>
                <w:szCs w:val="19"/>
              </w:rPr>
              <w:t xml:space="preserve">Repository Structure Compliance</w:t>
            </w:r>
          </w:p>
        </w:tc>
        <w:tc>
          <w:tcPr>
            <w:tcW w:type="dxa" w:w="15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718096"/>
                <w:sz w:val="19"/>
                <w:szCs w:val="19"/>
              </w:rPr>
              <w:t xml:space="preserve">Naming violations</w:t>
            </w:r>
          </w:p>
        </w:tc>
        <w:tc>
          <w:tcPr>
            <w:tcW w:type="dxa" w:w="1700"/>
            <w:tcBorders>
              <w:top w:val="single" w:color="CBD5E0" w:sz="1"/>
              <w:left w:val="single" w:color="CBD5E0" w:sz="1"/>
              <w:bottom w:val="single" w:color="CBD5E0" w:sz="1"/>
              <w:right w:val="single" w:color="CBD5E0" w:sz="1"/>
            </w:tcBorders>
            <w:shd w:fill="F0FFF4" w:val="clear"/>
            <w:tcMar>
              <w:top w:type="dxa" w:w="80"/>
              <w:left w:type="dxa" w:w="130"/>
              <w:bottom w:type="dxa" w:w="80"/>
              <w:right w:type="dxa" w:w="130"/>
            </w:tcMar>
          </w:tcPr>
          <w:p>
            <w:r>
              <w:rPr>
                <w:rFonts w:ascii="Arial" w:cs="Arial" w:eastAsia="Arial" w:hAnsi="Arial"/>
                <w:b/>
                <w:bCs/>
                <w:color w:val="276749"/>
                <w:sz w:val="19"/>
                <w:szCs w:val="19"/>
              </w:rPr>
              <w:t xml:space="preserve">0</w:t>
            </w:r>
          </w:p>
        </w:tc>
        <w:tc>
          <w:tcPr>
            <w:tcW w:type="dxa" w:w="21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4A5568"/>
                <w:sz w:val="19"/>
                <w:szCs w:val="19"/>
              </w:rPr>
              <w:t xml:space="preserve">Ahmed's pre-upload repository audit</w:t>
            </w:r>
          </w:p>
        </w:tc>
        <w:tc>
          <w:tcPr>
            <w:tcW w:type="dxa" w:w="14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2D3748"/>
                <w:sz w:val="19"/>
                <w:szCs w:val="19"/>
              </w:rPr>
              <w:t xml:space="preserve">Ahmed</w:t>
            </w:r>
          </w:p>
        </w:tc>
      </w:tr>
    </w:tbl>
    <w:p>
      <w:pPr>
        <w:spacing w:after="100" w:before="0"/>
      </w:pPr>
      <w:r>
        <w:t xml:space="preserve"/>
      </w:r>
    </w:p>
    <w:p>
      <w:pPr>
        <w:spacing w:after="120" w:before="360"/>
      </w:pPr>
      <w:r>
        <w:rPr>
          <w:rFonts w:ascii="Georgia" w:cs="Georgia" w:eastAsia="Georgia" w:hAnsi="Georgia"/>
          <w:b/>
          <w:bCs/>
          <w:color w:val="1A2D4F"/>
          <w:sz w:val="30"/>
          <w:szCs w:val="30"/>
        </w:rPr>
        <w:t xml:space="preserve">6.  Category 4 — Project Execution KPIs</w:t>
      </w:r>
    </w:p>
    <w:p>
      <w:pPr>
        <w:pBdr>
          <w:bottom w:val="single" w:color="2E5FA3" w:sz="4" w:space="1"/>
        </w:pBdr>
        <w:spacing w:after="160" w:before="180"/>
      </w:pPr>
      <w:r>
        <w:t xml:space="preserve"/>
      </w:r>
    </w:p>
    <w:p>
      <w:pPr>
        <w:spacing w:after="100" w:before="60"/>
      </w:pPr>
      <w:r>
        <w:rPr>
          <w:rFonts w:ascii="Arial" w:cs="Arial" w:eastAsia="Arial" w:hAnsi="Arial"/>
          <w:color w:val="2D3748"/>
          <w:sz w:val="22"/>
          <w:szCs w:val="22"/>
        </w:rPr>
        <w:t xml:space="preserve">These KPIs assess the overall management of the project, including milestone delivery, deadline compliance, and equitable team contribution.</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700"/>
        <w:gridCol w:w="2160"/>
        <w:gridCol w:w="1400"/>
      </w:tblGrid>
      <w:tr>
        <w:tc>
          <w:tcPr>
            <w:tcW w:type="dxa" w:w="2600"/>
            <w:tcBorders>
              <w:top w:val="single" w:color="CBD5E0" w:sz="1"/>
              <w:left w:val="single" w:color="CBD5E0" w:sz="1"/>
              <w:bottom w:val="single" w:color="CBD5E0" w:sz="1"/>
              <w:right w:val="single" w:color="CBD5E0" w:sz="1"/>
            </w:tcBorders>
            <w:shd w:fill="1A2D4F" w:val="clear"/>
            <w:tcMar>
              <w:top w:type="dxa" w:w="100"/>
              <w:left w:type="dxa" w:w="130"/>
              <w:bottom w:type="dxa" w:w="100"/>
              <w:right w:type="dxa" w:w="130"/>
            </w:tcMar>
          </w:tcPr>
          <w:p>
            <w:r>
              <w:rPr>
                <w:rFonts w:ascii="Arial" w:cs="Arial" w:eastAsia="Arial" w:hAnsi="Arial"/>
                <w:b/>
                <w:bCs/>
                <w:color w:val="FFFFFF"/>
                <w:sz w:val="20"/>
                <w:szCs w:val="20"/>
              </w:rPr>
              <w:t xml:space="preserve">Key Performance Indicator</w:t>
            </w:r>
          </w:p>
        </w:tc>
        <w:tc>
          <w:tcPr>
            <w:tcW w:type="dxa" w:w="1500"/>
            <w:tcBorders>
              <w:top w:val="single" w:color="CBD5E0" w:sz="1"/>
              <w:left w:val="single" w:color="CBD5E0" w:sz="1"/>
              <w:bottom w:val="single" w:color="CBD5E0" w:sz="1"/>
              <w:right w:val="single" w:color="CBD5E0" w:sz="1"/>
            </w:tcBorders>
            <w:shd w:fill="1A2D4F" w:val="clear"/>
            <w:tcMar>
              <w:top w:type="dxa" w:w="100"/>
              <w:left w:type="dxa" w:w="130"/>
              <w:bottom w:type="dxa" w:w="100"/>
              <w:right w:type="dxa" w:w="130"/>
            </w:tcMar>
          </w:tcPr>
          <w:p>
            <w:r>
              <w:rPr>
                <w:rFonts w:ascii="Arial" w:cs="Arial" w:eastAsia="Arial" w:hAnsi="Arial"/>
                <w:b/>
                <w:bCs/>
                <w:color w:val="FFFFFF"/>
                <w:sz w:val="20"/>
                <w:szCs w:val="20"/>
              </w:rPr>
              <w:t xml:space="preserve">Unit</w:t>
            </w:r>
          </w:p>
        </w:tc>
        <w:tc>
          <w:tcPr>
            <w:tcW w:type="dxa" w:w="1700"/>
            <w:tcBorders>
              <w:top w:val="single" w:color="CBD5E0" w:sz="1"/>
              <w:left w:val="single" w:color="CBD5E0" w:sz="1"/>
              <w:bottom w:val="single" w:color="CBD5E0" w:sz="1"/>
              <w:right w:val="single" w:color="CBD5E0" w:sz="1"/>
            </w:tcBorders>
            <w:shd w:fill="1A2D4F" w:val="clear"/>
            <w:tcMar>
              <w:top w:type="dxa" w:w="100"/>
              <w:left w:type="dxa" w:w="130"/>
              <w:bottom w:type="dxa" w:w="100"/>
              <w:right w:type="dxa" w:w="130"/>
            </w:tcMar>
          </w:tcPr>
          <w:p>
            <w:r>
              <w:rPr>
                <w:rFonts w:ascii="Arial" w:cs="Arial" w:eastAsia="Arial" w:hAnsi="Arial"/>
                <w:b/>
                <w:bCs/>
                <w:color w:val="FFFFFF"/>
                <w:sz w:val="20"/>
                <w:szCs w:val="20"/>
              </w:rPr>
              <w:t xml:space="preserve">Target Value</w:t>
            </w:r>
          </w:p>
        </w:tc>
        <w:tc>
          <w:tcPr>
            <w:tcW w:type="dxa" w:w="2160"/>
            <w:tcBorders>
              <w:top w:val="single" w:color="CBD5E0" w:sz="1"/>
              <w:left w:val="single" w:color="CBD5E0" w:sz="1"/>
              <w:bottom w:val="single" w:color="CBD5E0" w:sz="1"/>
              <w:right w:val="single" w:color="CBD5E0" w:sz="1"/>
            </w:tcBorders>
            <w:shd w:fill="1A2D4F" w:val="clear"/>
            <w:tcMar>
              <w:top w:type="dxa" w:w="100"/>
              <w:left w:type="dxa" w:w="130"/>
              <w:bottom w:type="dxa" w:w="100"/>
              <w:right w:type="dxa" w:w="130"/>
            </w:tcMar>
          </w:tcPr>
          <w:p>
            <w:r>
              <w:rPr>
                <w:rFonts w:ascii="Arial" w:cs="Arial" w:eastAsia="Arial" w:hAnsi="Arial"/>
                <w:b/>
                <w:bCs/>
                <w:color w:val="FFFFFF"/>
                <w:sz w:val="20"/>
                <w:szCs w:val="20"/>
              </w:rPr>
              <w:t xml:space="preserve">Measurement Method</w:t>
            </w:r>
          </w:p>
        </w:tc>
        <w:tc>
          <w:tcPr>
            <w:tcW w:type="dxa" w:w="1400"/>
            <w:tcBorders>
              <w:top w:val="single" w:color="CBD5E0" w:sz="1"/>
              <w:left w:val="single" w:color="CBD5E0" w:sz="1"/>
              <w:bottom w:val="single" w:color="CBD5E0" w:sz="1"/>
              <w:right w:val="single" w:color="CBD5E0" w:sz="1"/>
            </w:tcBorders>
            <w:shd w:fill="1A2D4F" w:val="clear"/>
            <w:tcMar>
              <w:top w:type="dxa" w:w="100"/>
              <w:left w:type="dxa" w:w="130"/>
              <w:bottom w:type="dxa" w:w="100"/>
              <w:right w:type="dxa" w:w="130"/>
            </w:tcMar>
          </w:tcPr>
          <w:p>
            <w:r>
              <w:rPr>
                <w:rFonts w:ascii="Arial" w:cs="Arial" w:eastAsia="Arial" w:hAnsi="Arial"/>
                <w:b/>
                <w:bCs/>
                <w:color w:val="FFFFFF"/>
                <w:sz w:val="20"/>
                <w:szCs w:val="20"/>
              </w:rPr>
              <w:t xml:space="preserve">Owner</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b/>
                <w:bCs/>
                <w:color w:val="1A2D4F"/>
                <w:sz w:val="19"/>
                <w:szCs w:val="19"/>
              </w:rPr>
              <w:t xml:space="preserve">Milestone Delivery Rate</w:t>
            </w:r>
          </w:p>
        </w:tc>
        <w:tc>
          <w:tcPr>
            <w:tcW w:type="dxa" w:w="15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718096"/>
                <w:sz w:val="19"/>
                <w:szCs w:val="19"/>
              </w:rPr>
              <w:t xml:space="preserve">Milestones achieved</w:t>
            </w:r>
          </w:p>
        </w:tc>
        <w:tc>
          <w:tcPr>
            <w:tcW w:type="dxa" w:w="1700"/>
            <w:tcBorders>
              <w:top w:val="single" w:color="CBD5E0" w:sz="1"/>
              <w:left w:val="single" w:color="CBD5E0" w:sz="1"/>
              <w:bottom w:val="single" w:color="CBD5E0" w:sz="1"/>
              <w:right w:val="single" w:color="CBD5E0" w:sz="1"/>
            </w:tcBorders>
            <w:shd w:fill="F0FFF4" w:val="clear"/>
            <w:tcMar>
              <w:top w:type="dxa" w:w="80"/>
              <w:left w:type="dxa" w:w="130"/>
              <w:bottom w:type="dxa" w:w="80"/>
              <w:right w:type="dxa" w:w="130"/>
            </w:tcMar>
          </w:tcPr>
          <w:p>
            <w:r>
              <w:rPr>
                <w:rFonts w:ascii="Arial" w:cs="Arial" w:eastAsia="Arial" w:hAnsi="Arial"/>
                <w:b/>
                <w:bCs/>
                <w:color w:val="276749"/>
                <w:sz w:val="19"/>
                <w:szCs w:val="19"/>
              </w:rPr>
              <w:t xml:space="preserve">4 / 4</w:t>
            </w:r>
          </w:p>
        </w:tc>
        <w:tc>
          <w:tcPr>
            <w:tcW w:type="dxa" w:w="21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4A5568"/>
                <w:sz w:val="19"/>
                <w:szCs w:val="19"/>
              </w:rPr>
              <w:t xml:space="preserve">Project plan review at each week end</w:t>
            </w:r>
          </w:p>
        </w:tc>
        <w:tc>
          <w:tcPr>
            <w:tcW w:type="dxa" w:w="14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2D3748"/>
                <w:sz w:val="19"/>
                <w:szCs w:val="19"/>
              </w:rPr>
              <w:t xml:space="preserve">Ahmed</w:t>
            </w:r>
          </w:p>
        </w:tc>
      </w:tr>
      <w:tr>
        <w:tc>
          <w:tcPr>
            <w:tcW w:type="dxa" w:w="2600"/>
            <w:tcBorders>
              <w:top w:val="single" w:color="CBD5E0" w:sz="1"/>
              <w:left w:val="single" w:color="CBD5E0" w:sz="1"/>
              <w:bottom w:val="single" w:color="CBD5E0" w:sz="1"/>
              <w:right w:val="single" w:color="CBD5E0" w:sz="1"/>
            </w:tcBorders>
            <w:shd w:fill="F0F4FA" w:val="clear"/>
            <w:tcMar>
              <w:top w:type="dxa" w:w="80"/>
              <w:left w:type="dxa" w:w="130"/>
              <w:bottom w:type="dxa" w:w="80"/>
              <w:right w:type="dxa" w:w="130"/>
            </w:tcMar>
          </w:tcPr>
          <w:p>
            <w:r>
              <w:rPr>
                <w:rFonts w:ascii="Arial" w:cs="Arial" w:eastAsia="Arial" w:hAnsi="Arial"/>
                <w:b/>
                <w:bCs/>
                <w:color w:val="1A2D4F"/>
                <w:sz w:val="19"/>
                <w:szCs w:val="19"/>
              </w:rPr>
              <w:t xml:space="preserve">Graduate Deadline Compliance</w:t>
            </w:r>
          </w:p>
        </w:tc>
        <w:tc>
          <w:tcPr>
            <w:tcW w:type="dxa" w:w="1500"/>
            <w:tcBorders>
              <w:top w:val="single" w:color="CBD5E0" w:sz="1"/>
              <w:left w:val="single" w:color="CBD5E0" w:sz="1"/>
              <w:bottom w:val="single" w:color="CBD5E0" w:sz="1"/>
              <w:right w:val="single" w:color="CBD5E0" w:sz="1"/>
            </w:tcBorders>
            <w:shd w:fill="F0F4FA" w:val="clear"/>
            <w:tcMar>
              <w:top w:type="dxa" w:w="80"/>
              <w:left w:type="dxa" w:w="130"/>
              <w:bottom w:type="dxa" w:w="80"/>
              <w:right w:type="dxa" w:w="130"/>
            </w:tcMar>
          </w:tcPr>
          <w:p>
            <w:r>
              <w:rPr>
                <w:rFonts w:ascii="Arial" w:cs="Arial" w:eastAsia="Arial" w:hAnsi="Arial"/>
                <w:color w:val="718096"/>
                <w:sz w:val="19"/>
                <w:szCs w:val="19"/>
              </w:rPr>
              <w:t xml:space="preserve">Deadlines met</w:t>
            </w:r>
          </w:p>
        </w:tc>
        <w:tc>
          <w:tcPr>
            <w:tcW w:type="dxa" w:w="1700"/>
            <w:tcBorders>
              <w:top w:val="single" w:color="CBD5E0" w:sz="1"/>
              <w:left w:val="single" w:color="CBD5E0" w:sz="1"/>
              <w:bottom w:val="single" w:color="CBD5E0" w:sz="1"/>
              <w:right w:val="single" w:color="CBD5E0" w:sz="1"/>
            </w:tcBorders>
            <w:shd w:fill="F0FFF4" w:val="clear"/>
            <w:tcMar>
              <w:top w:type="dxa" w:w="80"/>
              <w:left w:type="dxa" w:w="130"/>
              <w:bottom w:type="dxa" w:w="80"/>
              <w:right w:type="dxa" w:w="130"/>
            </w:tcMar>
          </w:tcPr>
          <w:p>
            <w:r>
              <w:rPr>
                <w:rFonts w:ascii="Arial" w:cs="Arial" w:eastAsia="Arial" w:hAnsi="Arial"/>
                <w:b/>
                <w:bCs/>
                <w:color w:val="276749"/>
                <w:sz w:val="19"/>
                <w:szCs w:val="19"/>
              </w:rPr>
              <w:t xml:space="preserve">2 / 2</w:t>
            </w:r>
          </w:p>
        </w:tc>
        <w:tc>
          <w:tcPr>
            <w:tcW w:type="dxa" w:w="2160"/>
            <w:tcBorders>
              <w:top w:val="single" w:color="CBD5E0" w:sz="1"/>
              <w:left w:val="single" w:color="CBD5E0" w:sz="1"/>
              <w:bottom w:val="single" w:color="CBD5E0" w:sz="1"/>
              <w:right w:val="single" w:color="CBD5E0" w:sz="1"/>
            </w:tcBorders>
            <w:shd w:fill="F0F4FA" w:val="clear"/>
            <w:tcMar>
              <w:top w:type="dxa" w:w="80"/>
              <w:left w:type="dxa" w:w="130"/>
              <w:bottom w:type="dxa" w:w="80"/>
              <w:right w:type="dxa" w:w="130"/>
            </w:tcMar>
          </w:tcPr>
          <w:p>
            <w:r>
              <w:rPr>
                <w:rFonts w:ascii="Arial" w:cs="Arial" w:eastAsia="Arial" w:hAnsi="Arial"/>
                <w:color w:val="4A5568"/>
                <w:sz w:val="19"/>
                <w:szCs w:val="19"/>
              </w:rPr>
              <w:t xml:space="preserve">Submission timestamps vs deadline table</w:t>
            </w:r>
          </w:p>
        </w:tc>
        <w:tc>
          <w:tcPr>
            <w:tcW w:type="dxa" w:w="1400"/>
            <w:tcBorders>
              <w:top w:val="single" w:color="CBD5E0" w:sz="1"/>
              <w:left w:val="single" w:color="CBD5E0" w:sz="1"/>
              <w:bottom w:val="single" w:color="CBD5E0" w:sz="1"/>
              <w:right w:val="single" w:color="CBD5E0" w:sz="1"/>
            </w:tcBorders>
            <w:shd w:fill="F0F4FA" w:val="clear"/>
            <w:tcMar>
              <w:top w:type="dxa" w:w="80"/>
              <w:left w:type="dxa" w:w="130"/>
              <w:bottom w:type="dxa" w:w="80"/>
              <w:right w:type="dxa" w:w="130"/>
            </w:tcMar>
          </w:tcPr>
          <w:p>
            <w:r>
              <w:rPr>
                <w:rFonts w:ascii="Arial" w:cs="Arial" w:eastAsia="Arial" w:hAnsi="Arial"/>
                <w:color w:val="2D3748"/>
                <w:sz w:val="19"/>
                <w:szCs w:val="19"/>
              </w:rPr>
              <w:t xml:space="preserve">Ahmed</w:t>
            </w:r>
          </w:p>
        </w:tc>
      </w:tr>
      <w:tr>
        <w:tc>
          <w:tcPr>
            <w:tcW w:type="dxa" w:w="26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b/>
                <w:bCs/>
                <w:color w:val="1A2D4F"/>
                <w:sz w:val="19"/>
                <w:szCs w:val="19"/>
              </w:rPr>
              <w:t xml:space="preserve">Team Contribution Balance</w:t>
            </w:r>
          </w:p>
        </w:tc>
        <w:tc>
          <w:tcPr>
            <w:tcW w:type="dxa" w:w="15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718096"/>
                <w:sz w:val="19"/>
                <w:szCs w:val="19"/>
              </w:rPr>
              <w:t xml:space="preserve">Task ownership ratio</w:t>
            </w:r>
          </w:p>
        </w:tc>
        <w:tc>
          <w:tcPr>
            <w:tcW w:type="dxa" w:w="1700"/>
            <w:tcBorders>
              <w:top w:val="single" w:color="CBD5E0" w:sz="1"/>
              <w:left w:val="single" w:color="CBD5E0" w:sz="1"/>
              <w:bottom w:val="single" w:color="CBD5E0" w:sz="1"/>
              <w:right w:val="single" w:color="CBD5E0" w:sz="1"/>
            </w:tcBorders>
            <w:shd w:fill="F0FFF4" w:val="clear"/>
            <w:tcMar>
              <w:top w:type="dxa" w:w="80"/>
              <w:left w:type="dxa" w:w="130"/>
              <w:bottom w:type="dxa" w:w="80"/>
              <w:right w:type="dxa" w:w="130"/>
            </w:tcMar>
          </w:tcPr>
          <w:p>
            <w:r>
              <w:rPr>
                <w:rFonts w:ascii="Arial" w:cs="Arial" w:eastAsia="Arial" w:hAnsi="Arial"/>
                <w:b/>
                <w:bCs/>
                <w:color w:val="276749"/>
                <w:sz w:val="19"/>
                <w:szCs w:val="19"/>
              </w:rPr>
              <w:t xml:space="preserve">No member &gt;50%</w:t>
            </w:r>
          </w:p>
        </w:tc>
        <w:tc>
          <w:tcPr>
            <w:tcW w:type="dxa" w:w="216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4A5568"/>
                <w:sz w:val="19"/>
                <w:szCs w:val="19"/>
              </w:rPr>
              <w:t xml:space="preserve">Task Assignment Register (PPM-003)</w:t>
            </w:r>
          </w:p>
        </w:tc>
        <w:tc>
          <w:tcPr>
            <w:tcW w:type="dxa" w:w="1400"/>
            <w:tcBorders>
              <w:top w:val="single" w:color="CBD5E0" w:sz="1"/>
              <w:left w:val="single" w:color="CBD5E0" w:sz="1"/>
              <w:bottom w:val="single" w:color="CBD5E0" w:sz="1"/>
              <w:right w:val="single" w:color="CBD5E0" w:sz="1"/>
            </w:tcBorders>
            <w:shd w:fill="FFFFFF" w:val="clear"/>
            <w:tcMar>
              <w:top w:type="dxa" w:w="80"/>
              <w:left w:type="dxa" w:w="130"/>
              <w:bottom w:type="dxa" w:w="80"/>
              <w:right w:type="dxa" w:w="130"/>
            </w:tcMar>
          </w:tcPr>
          <w:p>
            <w:r>
              <w:rPr>
                <w:rFonts w:ascii="Arial" w:cs="Arial" w:eastAsia="Arial" w:hAnsi="Arial"/>
                <w:color w:val="2D3748"/>
                <w:sz w:val="19"/>
                <w:szCs w:val="19"/>
              </w:rPr>
              <w:t xml:space="preserve">Ahmed</w:t>
            </w:r>
          </w:p>
        </w:tc>
      </w:tr>
      <w:tr>
        <w:tc>
          <w:tcPr>
            <w:tcW w:type="dxa" w:w="2600"/>
            <w:tcBorders>
              <w:top w:val="single" w:color="CBD5E0" w:sz="1"/>
              <w:left w:val="single" w:color="CBD5E0" w:sz="1"/>
              <w:bottom w:val="single" w:color="CBD5E0" w:sz="1"/>
              <w:right w:val="single" w:color="CBD5E0" w:sz="1"/>
            </w:tcBorders>
            <w:shd w:fill="F0F4FA" w:val="clear"/>
            <w:tcMar>
              <w:top w:type="dxa" w:w="80"/>
              <w:left w:type="dxa" w:w="130"/>
              <w:bottom w:type="dxa" w:w="80"/>
              <w:right w:type="dxa" w:w="130"/>
            </w:tcMar>
          </w:tcPr>
          <w:p>
            <w:r>
              <w:rPr>
                <w:rFonts w:ascii="Arial" w:cs="Arial" w:eastAsia="Arial" w:hAnsi="Arial"/>
                <w:b/>
                <w:bCs/>
                <w:color w:val="1A2D4F"/>
                <w:sz w:val="19"/>
                <w:szCs w:val="19"/>
              </w:rPr>
              <w:t xml:space="preserve">Presentation Readiness</w:t>
            </w:r>
          </w:p>
        </w:tc>
        <w:tc>
          <w:tcPr>
            <w:tcW w:type="dxa" w:w="1500"/>
            <w:tcBorders>
              <w:top w:val="single" w:color="CBD5E0" w:sz="1"/>
              <w:left w:val="single" w:color="CBD5E0" w:sz="1"/>
              <w:bottom w:val="single" w:color="CBD5E0" w:sz="1"/>
              <w:right w:val="single" w:color="CBD5E0" w:sz="1"/>
            </w:tcBorders>
            <w:shd w:fill="F0F4FA" w:val="clear"/>
            <w:tcMar>
              <w:top w:type="dxa" w:w="80"/>
              <w:left w:type="dxa" w:w="130"/>
              <w:bottom w:type="dxa" w:w="80"/>
              <w:right w:type="dxa" w:w="130"/>
            </w:tcMar>
          </w:tcPr>
          <w:p>
            <w:r>
              <w:rPr>
                <w:rFonts w:ascii="Arial" w:cs="Arial" w:eastAsia="Arial" w:hAnsi="Arial"/>
                <w:color w:val="718096"/>
                <w:sz w:val="19"/>
                <w:szCs w:val="19"/>
              </w:rPr>
              <w:t xml:space="preserve">Completion date</w:t>
            </w:r>
          </w:p>
        </w:tc>
        <w:tc>
          <w:tcPr>
            <w:tcW w:type="dxa" w:w="1700"/>
            <w:tcBorders>
              <w:top w:val="single" w:color="CBD5E0" w:sz="1"/>
              <w:left w:val="single" w:color="CBD5E0" w:sz="1"/>
              <w:bottom w:val="single" w:color="CBD5E0" w:sz="1"/>
              <w:right w:val="single" w:color="CBD5E0" w:sz="1"/>
            </w:tcBorders>
            <w:shd w:fill="F0FFF4" w:val="clear"/>
            <w:tcMar>
              <w:top w:type="dxa" w:w="80"/>
              <w:left w:type="dxa" w:w="130"/>
              <w:bottom w:type="dxa" w:w="80"/>
              <w:right w:type="dxa" w:w="130"/>
            </w:tcMar>
          </w:tcPr>
          <w:p>
            <w:r>
              <w:rPr>
                <w:rFonts w:ascii="Arial" w:cs="Arial" w:eastAsia="Arial" w:hAnsi="Arial"/>
                <w:b/>
                <w:bCs/>
                <w:color w:val="276749"/>
                <w:sz w:val="19"/>
                <w:szCs w:val="19"/>
              </w:rPr>
              <w:t xml:space="preserve">By Week 4 end</w:t>
            </w:r>
          </w:p>
        </w:tc>
        <w:tc>
          <w:tcPr>
            <w:tcW w:type="dxa" w:w="2160"/>
            <w:tcBorders>
              <w:top w:val="single" w:color="CBD5E0" w:sz="1"/>
              <w:left w:val="single" w:color="CBD5E0" w:sz="1"/>
              <w:bottom w:val="single" w:color="CBD5E0" w:sz="1"/>
              <w:right w:val="single" w:color="CBD5E0" w:sz="1"/>
            </w:tcBorders>
            <w:shd w:fill="F0F4FA" w:val="clear"/>
            <w:tcMar>
              <w:top w:type="dxa" w:w="80"/>
              <w:left w:type="dxa" w:w="130"/>
              <w:bottom w:type="dxa" w:w="80"/>
              <w:right w:type="dxa" w:w="130"/>
            </w:tcMar>
          </w:tcPr>
          <w:p>
            <w:r>
              <w:rPr>
                <w:rFonts w:ascii="Arial" w:cs="Arial" w:eastAsia="Arial" w:hAnsi="Arial"/>
                <w:color w:val="4A5568"/>
                <w:sz w:val="19"/>
                <w:szCs w:val="19"/>
              </w:rPr>
              <w:t xml:space="preserve">PPT file creation date</w:t>
            </w:r>
          </w:p>
        </w:tc>
        <w:tc>
          <w:tcPr>
            <w:tcW w:type="dxa" w:w="1400"/>
            <w:tcBorders>
              <w:top w:val="single" w:color="CBD5E0" w:sz="1"/>
              <w:left w:val="single" w:color="CBD5E0" w:sz="1"/>
              <w:bottom w:val="single" w:color="CBD5E0" w:sz="1"/>
              <w:right w:val="single" w:color="CBD5E0" w:sz="1"/>
            </w:tcBorders>
            <w:shd w:fill="F0F4FA" w:val="clear"/>
            <w:tcMar>
              <w:top w:type="dxa" w:w="80"/>
              <w:left w:type="dxa" w:w="130"/>
              <w:bottom w:type="dxa" w:w="80"/>
              <w:right w:type="dxa" w:w="130"/>
            </w:tcMar>
          </w:tcPr>
          <w:p>
            <w:r>
              <w:rPr>
                <w:rFonts w:ascii="Arial" w:cs="Arial" w:eastAsia="Arial" w:hAnsi="Arial"/>
                <w:color w:val="2D3748"/>
                <w:sz w:val="19"/>
                <w:szCs w:val="19"/>
              </w:rPr>
              <w:t xml:space="preserve">Yousef Nasser</w:t>
            </w:r>
          </w:p>
        </w:tc>
      </w:tr>
    </w:tbl>
    <w:p>
      <w:pPr>
        <w:spacing w:after="100" w:before="0"/>
      </w:pPr>
      <w:r>
        <w:t xml:space="preserve"/>
      </w:r>
    </w:p>
    <w:p>
      <w:pPr>
        <w:spacing w:after="120" w:before="360"/>
      </w:pPr>
      <w:r>
        <w:rPr>
          <w:rFonts w:ascii="Georgia" w:cs="Georgia" w:eastAsia="Georgia" w:hAnsi="Georgia"/>
          <w:b/>
          <w:bCs/>
          <w:color w:val="1A2D4F"/>
          <w:sz w:val="30"/>
          <w:szCs w:val="30"/>
        </w:rPr>
        <w:t xml:space="preserve">7.  KPI Review and Escalation Schedule</w:t>
      </w:r>
    </w:p>
    <w:p>
      <w:pPr>
        <w:pBdr>
          <w:bottom w:val="single" w:color="2E5FA3" w:sz="4" w:space="1"/>
        </w:pBdr>
        <w:spacing w:after="160" w:before="180"/>
      </w:pPr>
      <w:r>
        <w:t xml:space="preserve"/>
      </w:r>
    </w:p>
    <w:p>
      <w:pPr>
        <w:spacing w:after="100" w:before="60"/>
      </w:pPr>
      <w:r>
        <w:rPr>
          <w:rFonts w:ascii="Arial" w:cs="Arial" w:eastAsia="Arial" w:hAnsi="Arial"/>
          <w:color w:val="2D3748"/>
          <w:sz w:val="22"/>
          <w:szCs w:val="22"/>
        </w:rPr>
        <w:t xml:space="preserve">KPI progress is assessed collectively at the end of each project week. The following schedule defines the review focus for each session:</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c>
          <w:tcPr>
            <w:tcW w:type="dxa" w:w="1600"/>
            <w:tcBorders>
              <w:top w:val="single" w:color="CBD5E0" w:sz="1"/>
              <w:left w:val="single" w:color="CBD5E0" w:sz="1"/>
              <w:bottom w:val="single" w:color="CBD5E0" w:sz="1"/>
              <w:right w:val="single" w:color="CBD5E0" w:sz="1"/>
            </w:tcBorders>
            <w:shd w:fill="1A2D4F" w:val="clear"/>
            <w:tcMar>
              <w:top w:type="dxa" w:w="100"/>
              <w:left w:type="dxa" w:w="160"/>
              <w:bottom w:type="dxa" w:w="100"/>
              <w:right w:type="dxa" w:w="160"/>
            </w:tcMar>
          </w:tcPr>
          <w:p>
            <w:r>
              <w:rPr>
                <w:rFonts w:ascii="Arial" w:cs="Arial" w:eastAsia="Arial" w:hAnsi="Arial"/>
                <w:b/>
                <w:bCs/>
                <w:color w:val="FFFFFF"/>
                <w:sz w:val="21"/>
                <w:szCs w:val="21"/>
              </w:rPr>
              <w:t xml:space="preserve">Review Point</w:t>
            </w:r>
          </w:p>
        </w:tc>
        <w:tc>
          <w:tcPr>
            <w:tcW w:type="dxa" w:w="3800"/>
            <w:tcBorders>
              <w:top w:val="single" w:color="CBD5E0" w:sz="1"/>
              <w:left w:val="single" w:color="CBD5E0" w:sz="1"/>
              <w:bottom w:val="single" w:color="CBD5E0" w:sz="1"/>
              <w:right w:val="single" w:color="CBD5E0" w:sz="1"/>
            </w:tcBorders>
            <w:shd w:fill="1A2D4F" w:val="clear"/>
            <w:tcMar>
              <w:top w:type="dxa" w:w="100"/>
              <w:left w:type="dxa" w:w="160"/>
              <w:bottom w:type="dxa" w:w="100"/>
              <w:right w:type="dxa" w:w="160"/>
            </w:tcMar>
          </w:tcPr>
          <w:p>
            <w:r>
              <w:rPr>
                <w:rFonts w:ascii="Arial" w:cs="Arial" w:eastAsia="Arial" w:hAnsi="Arial"/>
                <w:b/>
                <w:bCs/>
                <w:color w:val="FFFFFF"/>
                <w:sz w:val="21"/>
                <w:szCs w:val="21"/>
              </w:rPr>
              <w:t xml:space="preserve">Focus Area</w:t>
            </w:r>
          </w:p>
        </w:tc>
        <w:tc>
          <w:tcPr>
            <w:tcW w:type="dxa" w:w="3960"/>
            <w:tcBorders>
              <w:top w:val="single" w:color="CBD5E0" w:sz="1"/>
              <w:left w:val="single" w:color="CBD5E0" w:sz="1"/>
              <w:bottom w:val="single" w:color="CBD5E0" w:sz="1"/>
              <w:right w:val="single" w:color="CBD5E0" w:sz="1"/>
            </w:tcBorders>
            <w:shd w:fill="1A2D4F" w:val="clear"/>
            <w:tcMar>
              <w:top w:type="dxa" w:w="100"/>
              <w:left w:type="dxa" w:w="160"/>
              <w:bottom w:type="dxa" w:w="100"/>
              <w:right w:type="dxa" w:w="160"/>
            </w:tcMar>
          </w:tcPr>
          <w:p>
            <w:r>
              <w:rPr>
                <w:rFonts w:ascii="Arial" w:cs="Arial" w:eastAsia="Arial" w:hAnsi="Arial"/>
                <w:b/>
                <w:bCs/>
                <w:color w:val="FFFFFF"/>
                <w:sz w:val="21"/>
                <w:szCs w:val="21"/>
              </w:rPr>
              <w:t xml:space="preserve">Action if Off-Track</w:t>
            </w:r>
          </w:p>
        </w:tc>
      </w:tr>
      <w:tr>
        <w:tc>
          <w:tcPr>
            <w:tcW w:type="dxa" w:w="1600"/>
            <w:tcBorders>
              <w:top w:val="single" w:color="CBD5E0" w:sz="1"/>
              <w:left w:val="single" w:color="CBD5E0" w:sz="1"/>
              <w:bottom w:val="single" w:color="CBD5E0" w:sz="1"/>
              <w:right w:val="single" w:color="CBD5E0" w:sz="1"/>
            </w:tcBorders>
            <w:shd w:fill="FFFFFF" w:val="clear"/>
            <w:tcMar>
              <w:top w:type="dxa" w:w="90"/>
              <w:left w:type="dxa" w:w="160"/>
              <w:bottom w:type="dxa" w:w="90"/>
              <w:right w:type="dxa" w:w="160"/>
            </w:tcMar>
          </w:tcPr>
          <w:p>
            <w:r>
              <w:rPr>
                <w:rFonts w:ascii="Arial" w:cs="Arial" w:eastAsia="Arial" w:hAnsi="Arial"/>
                <w:b/>
                <w:bCs/>
                <w:color w:val="2E5FA3"/>
                <w:sz w:val="20"/>
                <w:szCs w:val="20"/>
              </w:rPr>
              <w:t xml:space="preserve">End of Week 1</w:t>
            </w:r>
          </w:p>
        </w:tc>
        <w:tc>
          <w:tcPr>
            <w:tcW w:type="dxa" w:w="3800"/>
            <w:tcBorders>
              <w:top w:val="single" w:color="CBD5E0" w:sz="1"/>
              <w:left w:val="single" w:color="CBD5E0" w:sz="1"/>
              <w:bottom w:val="single" w:color="CBD5E0" w:sz="1"/>
              <w:right w:val="single" w:color="CBD5E0" w:sz="1"/>
            </w:tcBorders>
            <w:shd w:fill="FFFFFF" w:val="clear"/>
            <w:tcMar>
              <w:top w:type="dxa" w:w="90"/>
              <w:left w:type="dxa" w:w="160"/>
              <w:bottom w:type="dxa" w:w="90"/>
              <w:right w:type="dxa" w:w="160"/>
            </w:tcMar>
          </w:tcPr>
          <w:p>
            <w:r>
              <w:rPr>
                <w:rFonts w:ascii="Arial" w:cs="Arial" w:eastAsia="Arial" w:hAnsi="Arial"/>
                <w:color w:val="2D3748"/>
                <w:sz w:val="20"/>
                <w:szCs w:val="20"/>
              </w:rPr>
              <w:t xml:space="preserve">Audit Coverage KPIs — checklist completeness; lab operational status; Category 3 — document upload compliance</w:t>
            </w:r>
          </w:p>
        </w:tc>
        <w:tc>
          <w:tcPr>
            <w:tcW w:type="dxa" w:w="3960"/>
            <w:tcBorders>
              <w:top w:val="single" w:color="CBD5E0" w:sz="1"/>
              <w:left w:val="single" w:color="CBD5E0" w:sz="1"/>
              <w:bottom w:val="single" w:color="CBD5E0" w:sz="1"/>
              <w:right w:val="single" w:color="CBD5E0" w:sz="1"/>
            </w:tcBorders>
            <w:shd w:fill="FFFFFF" w:val="clear"/>
            <w:tcMar>
              <w:top w:type="dxa" w:w="90"/>
              <w:left w:type="dxa" w:w="160"/>
              <w:bottom w:type="dxa" w:w="90"/>
              <w:right w:type="dxa" w:w="160"/>
            </w:tcMar>
          </w:tcPr>
          <w:p>
            <w:r>
              <w:rPr>
                <w:rFonts w:ascii="Arial" w:cs="Arial" w:eastAsia="Arial" w:hAnsi="Arial"/>
                <w:color w:val="4A5568"/>
                <w:sz w:val="20"/>
                <w:szCs w:val="20"/>
              </w:rPr>
              <w:t xml:space="preserve">Reallocate documentation tasks; escalate lab issues to Yousef Osama immediately</w:t>
            </w:r>
          </w:p>
        </w:tc>
      </w:tr>
      <w:tr>
        <w:tc>
          <w:tcPr>
            <w:tcW w:type="dxa" w:w="1600"/>
            <w:tcBorders>
              <w:top w:val="single" w:color="CBD5E0" w:sz="1"/>
              <w:left w:val="single" w:color="CBD5E0" w:sz="1"/>
              <w:bottom w:val="single" w:color="CBD5E0" w:sz="1"/>
              <w:right w:val="single" w:color="CBD5E0" w:sz="1"/>
            </w:tcBorders>
            <w:shd w:fill="F0F4FA" w:val="clear"/>
            <w:tcMar>
              <w:top w:type="dxa" w:w="90"/>
              <w:left w:type="dxa" w:w="160"/>
              <w:bottom w:type="dxa" w:w="90"/>
              <w:right w:type="dxa" w:w="160"/>
            </w:tcMar>
          </w:tcPr>
          <w:p>
            <w:r>
              <w:rPr>
                <w:rFonts w:ascii="Arial" w:cs="Arial" w:eastAsia="Arial" w:hAnsi="Arial"/>
                <w:b/>
                <w:bCs/>
                <w:color w:val="2E5FA3"/>
                <w:sz w:val="20"/>
                <w:szCs w:val="20"/>
              </w:rPr>
              <w:t xml:space="preserve">End of Week 2</w:t>
            </w:r>
          </w:p>
        </w:tc>
        <w:tc>
          <w:tcPr>
            <w:tcW w:type="dxa" w:w="3800"/>
            <w:tcBorders>
              <w:top w:val="single" w:color="CBD5E0" w:sz="1"/>
              <w:left w:val="single" w:color="CBD5E0" w:sz="1"/>
              <w:bottom w:val="single" w:color="CBD5E0" w:sz="1"/>
              <w:right w:val="single" w:color="CBD5E0" w:sz="1"/>
            </w:tcBorders>
            <w:shd w:fill="F0F4FA" w:val="clear"/>
            <w:tcMar>
              <w:top w:type="dxa" w:w="90"/>
              <w:left w:type="dxa" w:w="160"/>
              <w:bottom w:type="dxa" w:w="90"/>
              <w:right w:type="dxa" w:w="160"/>
            </w:tcMar>
          </w:tcPr>
          <w:p>
            <w:r>
              <w:rPr>
                <w:rFonts w:ascii="Arial" w:cs="Arial" w:eastAsia="Arial" w:hAnsi="Arial"/>
                <w:color w:val="2D3748"/>
                <w:sz w:val="20"/>
                <w:szCs w:val="20"/>
              </w:rPr>
              <w:t xml:space="preserve">Category 2 — all findings documented and rated; Audit Findings Report submitted to GitHub</w:t>
            </w:r>
          </w:p>
        </w:tc>
        <w:tc>
          <w:tcPr>
            <w:tcW w:type="dxa" w:w="3960"/>
            <w:tcBorders>
              <w:top w:val="single" w:color="CBD5E0" w:sz="1"/>
              <w:left w:val="single" w:color="CBD5E0" w:sz="1"/>
              <w:bottom w:val="single" w:color="CBD5E0" w:sz="1"/>
              <w:right w:val="single" w:color="CBD5E0" w:sz="1"/>
            </w:tcBorders>
            <w:shd w:fill="F0F4FA" w:val="clear"/>
            <w:tcMar>
              <w:top w:type="dxa" w:w="90"/>
              <w:left w:type="dxa" w:w="160"/>
              <w:bottom w:type="dxa" w:w="90"/>
              <w:right w:type="dxa" w:w="160"/>
            </w:tcMar>
          </w:tcPr>
          <w:p>
            <w:r>
              <w:rPr>
                <w:rFonts w:ascii="Arial" w:cs="Arial" w:eastAsia="Arial" w:hAnsi="Arial"/>
                <w:color w:val="4A5568"/>
                <w:sz w:val="20"/>
                <w:szCs w:val="20"/>
              </w:rPr>
              <w:t xml:space="preserve">Extend scanning session into first day of Week 3 if coverage is incomplete</w:t>
            </w:r>
          </w:p>
        </w:tc>
      </w:tr>
      <w:tr>
        <w:tc>
          <w:tcPr>
            <w:tcW w:type="dxa" w:w="1600"/>
            <w:tcBorders>
              <w:top w:val="single" w:color="CBD5E0" w:sz="1"/>
              <w:left w:val="single" w:color="CBD5E0" w:sz="1"/>
              <w:bottom w:val="single" w:color="CBD5E0" w:sz="1"/>
              <w:right w:val="single" w:color="CBD5E0" w:sz="1"/>
            </w:tcBorders>
            <w:shd w:fill="FFFFFF" w:val="clear"/>
            <w:tcMar>
              <w:top w:type="dxa" w:w="90"/>
              <w:left w:type="dxa" w:w="160"/>
              <w:bottom w:type="dxa" w:w="90"/>
              <w:right w:type="dxa" w:w="160"/>
            </w:tcMar>
          </w:tcPr>
          <w:p>
            <w:r>
              <w:rPr>
                <w:rFonts w:ascii="Arial" w:cs="Arial" w:eastAsia="Arial" w:hAnsi="Arial"/>
                <w:b/>
                <w:bCs/>
                <w:color w:val="2E5FA3"/>
                <w:sz w:val="20"/>
                <w:szCs w:val="20"/>
              </w:rPr>
              <w:t xml:space="preserve">End of Week 3</w:t>
            </w:r>
          </w:p>
        </w:tc>
        <w:tc>
          <w:tcPr>
            <w:tcW w:type="dxa" w:w="3800"/>
            <w:tcBorders>
              <w:top w:val="single" w:color="CBD5E0" w:sz="1"/>
              <w:left w:val="single" w:color="CBD5E0" w:sz="1"/>
              <w:bottom w:val="single" w:color="CBD5E0" w:sz="1"/>
              <w:right w:val="single" w:color="CBD5E0" w:sz="1"/>
            </w:tcBorders>
            <w:shd w:fill="FFFFFF" w:val="clear"/>
            <w:tcMar>
              <w:top w:type="dxa" w:w="90"/>
              <w:left w:type="dxa" w:w="160"/>
              <w:bottom w:type="dxa" w:w="90"/>
              <w:right w:type="dxa" w:w="160"/>
            </w:tcMar>
          </w:tcPr>
          <w:p>
            <w:r>
              <w:rPr>
                <w:rFonts w:ascii="Arial" w:cs="Arial" w:eastAsia="Arial" w:hAnsi="Arial"/>
                <w:color w:val="2D3748"/>
                <w:sz w:val="20"/>
                <w:szCs w:val="20"/>
              </w:rPr>
              <w:t xml:space="preserve">Remediation Effectiveness KPIs — all fixes applied; initial verification scan completed</w:t>
            </w:r>
          </w:p>
        </w:tc>
        <w:tc>
          <w:tcPr>
            <w:tcW w:type="dxa" w:w="3960"/>
            <w:tcBorders>
              <w:top w:val="single" w:color="CBD5E0" w:sz="1"/>
              <w:left w:val="single" w:color="CBD5E0" w:sz="1"/>
              <w:bottom w:val="single" w:color="CBD5E0" w:sz="1"/>
              <w:right w:val="single" w:color="CBD5E0" w:sz="1"/>
            </w:tcBorders>
            <w:shd w:fill="FFFFFF" w:val="clear"/>
            <w:tcMar>
              <w:top w:type="dxa" w:w="90"/>
              <w:left w:type="dxa" w:w="160"/>
              <w:bottom w:type="dxa" w:w="90"/>
              <w:right w:type="dxa" w:w="160"/>
            </w:tcMar>
          </w:tcPr>
          <w:p>
            <w:r>
              <w:rPr>
                <w:rFonts w:ascii="Arial" w:cs="Arial" w:eastAsia="Arial" w:hAnsi="Arial"/>
                <w:color w:val="4A5568"/>
                <w:sz w:val="20"/>
                <w:szCs w:val="20"/>
              </w:rPr>
              <w:t xml:space="preserve">Prioritise unresolved Critical and High findings; defer lower-severity items to Week 4 if necessary</w:t>
            </w:r>
          </w:p>
        </w:tc>
      </w:tr>
      <w:tr>
        <w:tc>
          <w:tcPr>
            <w:tcW w:type="dxa" w:w="1600"/>
            <w:tcBorders>
              <w:top w:val="single" w:color="CBD5E0" w:sz="1"/>
              <w:left w:val="single" w:color="CBD5E0" w:sz="1"/>
              <w:bottom w:val="single" w:color="CBD5E0" w:sz="1"/>
              <w:right w:val="single" w:color="CBD5E0" w:sz="1"/>
            </w:tcBorders>
            <w:shd w:fill="F0F4FA" w:val="clear"/>
            <w:tcMar>
              <w:top w:type="dxa" w:w="90"/>
              <w:left w:type="dxa" w:w="160"/>
              <w:bottom w:type="dxa" w:w="90"/>
              <w:right w:type="dxa" w:w="160"/>
            </w:tcMar>
          </w:tcPr>
          <w:p>
            <w:r>
              <w:rPr>
                <w:rFonts w:ascii="Arial" w:cs="Arial" w:eastAsia="Arial" w:hAnsi="Arial"/>
                <w:b/>
                <w:bCs/>
                <w:color w:val="2E5FA3"/>
                <w:sz w:val="20"/>
                <w:szCs w:val="20"/>
              </w:rPr>
              <w:t xml:space="preserve">End of Week 4</w:t>
            </w:r>
          </w:p>
        </w:tc>
        <w:tc>
          <w:tcPr>
            <w:tcW w:type="dxa" w:w="3800"/>
            <w:tcBorders>
              <w:top w:val="single" w:color="CBD5E0" w:sz="1"/>
              <w:left w:val="single" w:color="CBD5E0" w:sz="1"/>
              <w:bottom w:val="single" w:color="CBD5E0" w:sz="1"/>
              <w:right w:val="single" w:color="CBD5E0" w:sz="1"/>
            </w:tcBorders>
            <w:shd w:fill="F0F4FA" w:val="clear"/>
            <w:tcMar>
              <w:top w:type="dxa" w:w="90"/>
              <w:left w:type="dxa" w:w="160"/>
              <w:bottom w:type="dxa" w:w="90"/>
              <w:right w:type="dxa" w:w="160"/>
            </w:tcMar>
          </w:tcPr>
          <w:p>
            <w:r>
              <w:rPr>
                <w:rFonts w:ascii="Arial" w:cs="Arial" w:eastAsia="Arial" w:hAnsi="Arial"/>
                <w:color w:val="2D3748"/>
                <w:sz w:val="20"/>
                <w:szCs w:val="20"/>
              </w:rPr>
              <w:t xml:space="preserve">Final KPI review — all 26 documents submitted; verification 100%; presentation complete</w:t>
            </w:r>
          </w:p>
        </w:tc>
        <w:tc>
          <w:tcPr>
            <w:tcW w:type="dxa" w:w="3960"/>
            <w:tcBorders>
              <w:top w:val="single" w:color="CBD5E0" w:sz="1"/>
              <w:left w:val="single" w:color="CBD5E0" w:sz="1"/>
              <w:bottom w:val="single" w:color="CBD5E0" w:sz="1"/>
              <w:right w:val="single" w:color="CBD5E0" w:sz="1"/>
            </w:tcBorders>
            <w:shd w:fill="F0F4FA" w:val="clear"/>
            <w:tcMar>
              <w:top w:type="dxa" w:w="90"/>
              <w:left w:type="dxa" w:w="160"/>
              <w:bottom w:type="dxa" w:w="90"/>
              <w:right w:type="dxa" w:w="160"/>
            </w:tcMar>
          </w:tcPr>
          <w:p>
            <w:r>
              <w:rPr>
                <w:rFonts w:ascii="Arial" w:cs="Arial" w:eastAsia="Arial" w:hAnsi="Arial"/>
                <w:color w:val="4A5568"/>
                <w:sz w:val="20"/>
                <w:szCs w:val="20"/>
              </w:rPr>
              <w:t xml:space="preserve">Document any outstanding items in Final Project Report as known limitations; no deadline extensions assumed</w:t>
            </w:r>
          </w:p>
        </w:tc>
      </w:tr>
    </w:tbl>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2E5FA3" w:sz="8"/>
              <w:bottom w:val="single" w:color="CBD5E0" w:sz="1"/>
              <w:right w:val="single" w:color="CBD5E0" w:sz="1"/>
            </w:tcBorders>
            <w:shd w:fill="EBF0F7" w:val="clear"/>
            <w:tcMar>
              <w:top w:type="dxa" w:w="160"/>
              <w:left w:type="dxa" w:w="240"/>
              <w:bottom w:type="dxa" w:w="160"/>
              <w:right w:type="dxa" w:w="240"/>
            </w:tcMar>
          </w:tcPr>
          <w:p>
            <w:r>
              <w:rPr>
                <w:rFonts w:ascii="Arial" w:cs="Arial" w:eastAsia="Arial" w:hAnsi="Arial"/>
                <w:i/>
                <w:iCs/>
                <w:color w:val="4A5568"/>
                <w:sz w:val="21"/>
                <w:szCs w:val="21"/>
              </w:rPr>
              <w:t xml:space="preserve">A KPI that is not on track at any weekly review point should be escalated to the full team immediately. The project plan includes dedicated buffer capacity in Week 4 to absorb slippage from earlier phases. No KPI should be revised downward; if a target cannot be met, it must be documented as a project limitation in the Final Report.</w:t>
            </w:r>
          </w:p>
        </w:tc>
      </w:tr>
    </w:tbl>
    <w:p>
      <w:pPr>
        <w:spacing w:after="120" w:before="0"/>
      </w:pPr>
      <w:r>
        <w:t xml:space="preserve"/>
      </w:r>
    </w:p>
    <w:sectPr>
      <w:headerReference w:type="default" r:id="rId7"/>
      <w:footerReference w:type="default" r:id="rId8"/>
      <w:pgSz w:w="12240" w:h="15840" w:orient="portrait"/>
      <w:pgMar w:top="144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7200"/>
          <w:tcBorders>
            <w:top w:val="none" w:color="FFFFFF" w:sz="0"/>
            <w:left w:val="none" w:color="FFFFFF" w:sz="0"/>
            <w:bottom w:val="none" w:color="FFFFFF" w:sz="0"/>
            <w:right w:val="none" w:color="FFFFFF" w:sz="0"/>
          </w:tcBorders>
          <w:shd w:fill="1A2D4F" w:val="clear"/>
          <w:tcMar>
            <w:top w:type="dxa" w:w="220"/>
            <w:left w:type="dxa" w:w="360"/>
            <w:bottom w:type="dxa" w:w="220"/>
            <w:right w:type="dxa" w:w="200"/>
          </w:tcMar>
        </w:tcPr>
        <w:p>
          <w:pPr>
            <w:spacing w:after="50" w:before="0"/>
          </w:pPr>
          <w:r>
            <w:rPr>
              <w:rFonts w:ascii="Georgia" w:cs="Georgia" w:eastAsia="Georgia" w:hAnsi="Georgia"/>
              <w:b/>
              <w:bCs/>
              <w:color w:val="FFFFFF"/>
              <w:sz w:val="32"/>
              <w:szCs w:val="32"/>
            </w:rPr>
            <w:t xml:space="preserve">Key Performance Indicators</w:t>
          </w:r>
        </w:p>
        <w:p>
          <w:pPr>
            <w:spacing w:after="0" w:before="0"/>
          </w:pPr>
          <w:r>
            <w:rPr>
              <w:rFonts w:ascii="Arial" w:cs="Arial" w:eastAsia="Arial" w:hAnsi="Arial"/>
              <w:i/>
              <w:iCs/>
              <w:color w:val="A0BAD8"/>
              <w:sz w:val="18"/>
              <w:szCs w:val="18"/>
            </w:rPr>
            <w:t xml:space="preserve">PPM-005 — Project Planning &amp; Management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decimal"/>
      <w:lvlText w:val="%1."/>
      <w:lvlJc w:val="left"/>
      <w:pPr>
        <w:ind w:left="640" w:hanging="320"/>
      </w:pPr>
    </w:lvl>
  </w:abstractNum>
  <w:abstractNum w:abstractNumId="4" w15:restartNumberingAfterBreak="0">
    <w:multiLevelType w:val="hybridMultilevel"/>
    <w:lvl w:ilvl="0" w15:tentative="1">
      <w:start w:val="1"/>
      <w:numFmt w:val="lowerLetter"/>
      <w:lvlText w:val="%1."/>
      <w:lvlJc w:val="left"/>
      <w:pPr>
        <w:ind w:left="96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2026-05-10T16:27:59.224Z</dcterms:created>
  <dcterms:modified xsi:type="dcterms:W3CDTF">2026-05-10T16:27:59.224Z</dcterms:modified>
</cp:coreProperties>
</file>

<file path=docProps/custom.xml><?xml version="1.0" encoding="utf-8"?>
<Properties xmlns="http://schemas.openxmlformats.org/officeDocument/2006/custom-properties" xmlns:vt="http://schemas.openxmlformats.org/officeDocument/2006/docPropsVTypes"/>
</file>