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D4F" w:val="clear"/>
            <w:tcMar>
              <w:top w:type="dxa" w:w="400"/>
              <w:left w:type="dxa" w:w="400"/>
              <w:bottom w:type="dxa" w:w="400"/>
              <w:right w:type="dxa" w:w="400"/>
            </w:tcMar>
          </w:tcPr>
          <w:p>
            <w:pPr>
              <w:spacing w:after="80" w:before="0"/>
              <w:jc w:val="center"/>
            </w:pPr>
            <w:r>
              <w:rPr>
                <w:rFonts w:ascii="Georgia" w:cs="Georgia" w:eastAsia="Georgia" w:hAnsi="Georgia"/>
                <w:b/>
                <w:bCs/>
                <w:color w:val="FFFFFF"/>
                <w:sz w:val="28"/>
                <w:szCs w:val="28"/>
              </w:rPr>
              <w:t xml:space="preserve">SECURITY MISCONFIGURATION AUDIT AND REMEDIATION</w:t>
            </w:r>
          </w:p>
          <w:p>
            <w:pPr>
              <w:spacing w:after="0" w:before="0"/>
              <w:jc w:val="center"/>
            </w:pPr>
            <w:r>
              <w:rPr>
                <w:rFonts w:ascii="Arial" w:cs="Arial" w:eastAsia="Arial" w:hAnsi="Arial"/>
                <w:color w:val="3A5F8A"/>
                <w:sz w:val="22"/>
                <w:szCs w:val="22"/>
              </w:rPr>
              <w:t xml:space="preserv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2E5FA3" w:sz="12"/>
              <w:bottom w:val="single" w:color="CBD5E0" w:sz="1"/>
              <w:right w:val="single" w:color="CBD5E0" w:sz="1"/>
            </w:tcBorders>
            <w:shd w:fill="F7F9FC" w:val="clear"/>
            <w:tcMar>
              <w:top w:type="dxa" w:w="280"/>
              <w:left w:type="dxa" w:w="320"/>
              <w:bottom w:type="dxa" w:w="280"/>
              <w:right w:type="dxa" w:w="320"/>
            </w:tcMar>
          </w:tcPr>
          <w:p>
            <w:pPr>
              <w:spacing w:after="60" w:before="0"/>
            </w:pPr>
            <w:r>
              <w:rPr>
                <w:rFonts w:ascii="Arial" w:cs="Arial" w:eastAsia="Arial" w:hAnsi="Arial"/>
                <w:b/>
                <w:bCs/>
                <w:color w:val="2E5FA3"/>
                <w:sz w:val="20"/>
                <w:szCs w:val="20"/>
              </w:rPr>
              <w:t xml:space="preserve">LR-001</w:t>
            </w:r>
          </w:p>
          <w:p>
            <w:pPr>
              <w:spacing w:after="40" w:before="0"/>
            </w:pPr>
            <w:r>
              <w:rPr>
                <w:rFonts w:ascii="Georgia" w:cs="Georgia" w:eastAsia="Georgia" w:hAnsi="Georgia"/>
                <w:b/>
                <w:bCs/>
                <w:color w:val="1A2D4F"/>
                <w:sz w:val="40"/>
                <w:szCs w:val="40"/>
              </w:rPr>
              <w:t xml:space="preserve">Literature Review</w:t>
            </w:r>
          </w:p>
          <w:p>
            <w:pPr>
              <w:spacing w:after="0" w:before="0"/>
            </w:pPr>
            <w:r>
              <w:rPr>
                <w:rFonts w:ascii="Arial" w:cs="Arial" w:eastAsia="Arial" w:hAnsi="Arial"/>
                <w:i/>
                <w:iCs/>
                <w:color w:val="4A5568"/>
                <w:sz w:val="22"/>
                <w:szCs w:val="22"/>
              </w:rPr>
              <w:t xml:space="preserve">Security Misconfiguration — Research, Frameworks, and Industry Context</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Prepared By</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Ahmed Abdalrhman Ibrahim  |  Yousef Osama  |  Yousef Nasser</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Prepared For</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Internship Graduation Project — Security Engineering Program</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Date</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21 June 2026</w:t>
            </w:r>
          </w:p>
        </w:tc>
      </w:tr>
    </w:tbl>
    <w:p>
      <w:pPr>
        <w:spacing w:after="120" w:before="0"/>
      </w:pPr>
      <w:r>
        <w:t xml:space="preserve"/>
      </w:r>
    </w:p>
    <w:p>
      <w:pPr>
        <w:spacing w:after="120" w:before="360"/>
      </w:pPr>
      <w:r>
        <w:rPr>
          <w:rFonts w:ascii="Georgia" w:cs="Georgia" w:eastAsia="Georgia" w:hAnsi="Georgia"/>
          <w:b/>
          <w:bCs/>
          <w:color w:val="1A2D4F"/>
          <w:sz w:val="30"/>
          <w:szCs w:val="30"/>
        </w:rPr>
        <w:t xml:space="preserve">1.  Introduction</w:t>
      </w:r>
    </w:p>
    <w:p>
      <w:pPr>
        <w:pBdr>
          <w:bottom w:val="single" w:color="2E5FA3" w:sz="4" w:space="1"/>
        </w:pBdr>
        <w:spacing w:after="160" w:before="180"/>
      </w:pPr>
      <w:r>
        <w:t xml:space="preserve"/>
      </w:r>
    </w:p>
    <w:p>
      <w:pPr>
        <w:spacing w:after="100" w:before="60"/>
      </w:pPr>
      <w:r>
        <w:rPr>
          <w:rFonts w:ascii="Arial" w:cs="Arial" w:eastAsia="Arial" w:hAnsi="Arial"/>
          <w:color w:val="2D3748"/>
          <w:sz w:val="22"/>
          <w:szCs w:val="22"/>
        </w:rPr>
        <w:t xml:space="preserve">Security misconfiguration represents one of the most pervasive and consistently exploited vulnerability classes in contemporary IT environments. Despite being well-documented in industry frameworks for over a decade, it continues to be a leading cause of successful cyberattacks across organisations of all sizes and sectors. This literature review examines the theoretical foundations, established frameworks, and empirical research underpinning the field of security misconfiguration assessment and remediation.</w:t>
      </w:r>
    </w:p>
    <w:p>
      <w:pPr>
        <w:spacing w:after="60" w:before="0"/>
      </w:pPr>
      <w:r>
        <w:t xml:space="preserve"/>
      </w:r>
    </w:p>
    <w:p>
      <w:pPr>
        <w:spacing w:after="100" w:before="60"/>
      </w:pPr>
      <w:r>
        <w:rPr>
          <w:rFonts w:ascii="Arial" w:cs="Arial" w:eastAsia="Arial" w:hAnsi="Arial"/>
          <w:color w:val="2D3748"/>
          <w:sz w:val="22"/>
          <w:szCs w:val="22"/>
        </w:rPr>
        <w:t xml:space="preserve">The review is structured to provide the academic and professional context for the audit methodology applied in this project. It covers: the definition and classification of security misconfigurations; key industry frameworks and standards; documented real-world incidents attributable to misconfiguration; the tools and techniques employed in professional security assessments; and existing research on remediation effectiveness. The review concludes by identifying the gap this project addresses and the contribution it makes to practical security engineering practice.</w:t>
      </w:r>
    </w:p>
    <w:p>
      <w:pPr>
        <w:spacing w:after="100" w:before="0"/>
      </w:pPr>
      <w:r>
        <w:t xml:space="preserve"/>
      </w:r>
    </w:p>
    <w:p>
      <w:pPr>
        <w:spacing w:after="120" w:before="360"/>
      </w:pPr>
      <w:r>
        <w:rPr>
          <w:rFonts w:ascii="Georgia" w:cs="Georgia" w:eastAsia="Georgia" w:hAnsi="Georgia"/>
          <w:b/>
          <w:bCs/>
          <w:color w:val="1A2D4F"/>
          <w:sz w:val="30"/>
          <w:szCs w:val="30"/>
        </w:rPr>
        <w:t xml:space="preserve">2.  Defining Security Misconfiguration</w:t>
      </w:r>
    </w:p>
    <w:p>
      <w:pPr>
        <w:pBdr>
          <w:bottom w:val="single" w:color="2E5FA3" w:sz="4" w:space="1"/>
        </w:pBdr>
        <w:spacing w:after="160" w:before="180"/>
      </w:pPr>
      <w:r>
        <w:t xml:space="preserve"/>
      </w:r>
    </w:p>
    <w:p>
      <w:pPr>
        <w:spacing w:after="100" w:before="60"/>
      </w:pPr>
      <w:r>
        <w:rPr>
          <w:rFonts w:ascii="Arial" w:cs="Arial" w:eastAsia="Arial" w:hAnsi="Arial"/>
          <w:color w:val="2D3748"/>
          <w:sz w:val="22"/>
          <w:szCs w:val="22"/>
        </w:rPr>
        <w:t xml:space="preserve">Security misconfiguration is broadly defined as the failure to implement or maintain secure configuration settings across any component of an IT system — including network services, operating systems, application frameworks, databases, web servers, and cloud infrastructure. Unlike software vulnerabilities such as buffer overflows or injection flaws, which arise from defects in code, misconfigurations arise from how existing, functional software is deployed, configured, and maintained.</w:t>
      </w:r>
    </w:p>
    <w:p>
      <w:pPr>
        <w:spacing w:after="60" w:before="0"/>
      </w:pPr>
      <w:r>
        <w:t xml:space="preserve"/>
      </w:r>
    </w:p>
    <w:p>
      <w:pPr>
        <w:spacing w:after="100" w:before="60"/>
      </w:pPr>
      <w:r>
        <w:rPr>
          <w:rFonts w:ascii="Arial" w:cs="Arial" w:eastAsia="Arial" w:hAnsi="Arial"/>
          <w:color w:val="2D3748"/>
          <w:sz w:val="22"/>
          <w:szCs w:val="22"/>
        </w:rPr>
        <w:t xml:space="preserve">The National Institute of Standards and Technology (NIST) defines configuration management as a foundational security control in its Special Publication 800-53, emphasising that maintaining known-good configuration baselines is essential to reducing an organisation's exploitable attack surface. The Centre for Internet Security (CIS) operationalises this through its CIS Benchmarks — a comprehensive set of secure configuration guidelines covering over 100 technology platforms.</w:t>
      </w:r>
    </w:p>
    <w:p>
      <w:pPr>
        <w:spacing w:after="60" w:before="0"/>
      </w:pPr>
      <w:r>
        <w:t xml:space="preserve"/>
      </w:r>
    </w:p>
    <w:p>
      <w:pPr>
        <w:spacing w:after="100" w:before="60"/>
      </w:pPr>
      <w:r>
        <w:rPr>
          <w:rFonts w:ascii="Arial" w:cs="Arial" w:eastAsia="Arial" w:hAnsi="Arial"/>
          <w:color w:val="2D3748"/>
          <w:sz w:val="22"/>
          <w:szCs w:val="22"/>
        </w:rPr>
        <w:t xml:space="preserve">Key characteristics that distinguish misconfiguration from other vulnerability types include:</w:t>
      </w:r>
    </w:p>
    <w:p>
      <w:pPr>
        <w:pStyle w:val="ListParagraph"/>
        <w:numPr>
          <w:ilvl w:val="0"/>
          <w:numId w:val="2"/>
        </w:numPr>
        <w:spacing w:after="60" w:before="60"/>
      </w:pPr>
      <w:r>
        <w:rPr>
          <w:rFonts w:ascii="Arial" w:cs="Arial" w:eastAsia="Arial" w:hAnsi="Arial"/>
          <w:color w:val="2D3748"/>
          <w:sz w:val="22"/>
          <w:szCs w:val="22"/>
        </w:rPr>
        <w:t xml:space="preserve">Misconfigurations are typically introduced during deployment or maintenance, not during development — meaning they often escape code-review processes.</w:t>
      </w:r>
    </w:p>
    <w:p>
      <w:pPr>
        <w:pStyle w:val="ListParagraph"/>
        <w:numPr>
          <w:ilvl w:val="0"/>
          <w:numId w:val="2"/>
        </w:numPr>
        <w:spacing w:after="60" w:before="60"/>
      </w:pPr>
      <w:r>
        <w:rPr>
          <w:rFonts w:ascii="Arial" w:cs="Arial" w:eastAsia="Arial" w:hAnsi="Arial"/>
          <w:color w:val="2D3748"/>
          <w:sz w:val="22"/>
          <w:szCs w:val="22"/>
        </w:rPr>
        <w:t xml:space="preserve">They are frequently the result of convenience decisions — default settings left unchanged, services left running, permissions set too broadly — rather than technical errors.</w:t>
      </w:r>
    </w:p>
    <w:p>
      <w:pPr>
        <w:pStyle w:val="ListParagraph"/>
        <w:numPr>
          <w:ilvl w:val="0"/>
          <w:numId w:val="2"/>
        </w:numPr>
        <w:spacing w:after="60" w:before="60"/>
      </w:pPr>
      <w:r>
        <w:rPr>
          <w:rFonts w:ascii="Arial" w:cs="Arial" w:eastAsia="Arial" w:hAnsi="Arial"/>
          <w:color w:val="2D3748"/>
          <w:sz w:val="22"/>
          <w:szCs w:val="22"/>
        </w:rPr>
        <w:t xml:space="preserve">They can exist for extended periods without detection, particularly in organisations without active configuration monitoring or regular security assessments.</w:t>
      </w:r>
    </w:p>
    <w:p>
      <w:pPr>
        <w:pStyle w:val="ListParagraph"/>
        <w:numPr>
          <w:ilvl w:val="0"/>
          <w:numId w:val="2"/>
        </w:numPr>
        <w:spacing w:after="60" w:before="60"/>
      </w:pPr>
      <w:r>
        <w:rPr>
          <w:rFonts w:ascii="Arial" w:cs="Arial" w:eastAsia="Arial" w:hAnsi="Arial"/>
          <w:color w:val="2D3748"/>
          <w:sz w:val="22"/>
          <w:szCs w:val="22"/>
        </w:rPr>
        <w:t xml:space="preserve">They are generally straightforward to remediate once identified, requiring configuration changes rather than software patches.</w:t>
      </w:r>
    </w:p>
    <w:p>
      <w:pPr>
        <w:spacing w:after="100" w:before="0"/>
      </w:pPr>
      <w:r>
        <w:t xml:space="preserve"/>
      </w:r>
    </w:p>
    <w:p>
      <w:pPr>
        <w:spacing w:after="120" w:before="360"/>
      </w:pPr>
      <w:r>
        <w:rPr>
          <w:rFonts w:ascii="Georgia" w:cs="Georgia" w:eastAsia="Georgia" w:hAnsi="Georgia"/>
          <w:b/>
          <w:bCs/>
          <w:color w:val="1A2D4F"/>
          <w:sz w:val="30"/>
          <w:szCs w:val="30"/>
        </w:rPr>
        <w:t xml:space="preserve">3.  Relevant Industry Frameworks and Standards</w:t>
      </w:r>
    </w:p>
    <w:p>
      <w:pPr>
        <w:pBdr>
          <w:bottom w:val="single" w:color="2E5FA3" w:sz="4" w:space="1"/>
        </w:pBdr>
        <w:spacing w:after="160" w:before="180"/>
      </w:pPr>
      <w:r>
        <w:t xml:space="preserve"/>
      </w:r>
    </w:p>
    <w:p>
      <w:pPr>
        <w:spacing w:after="100" w:before="260"/>
      </w:pPr>
      <w:r>
        <w:rPr>
          <w:rFonts w:ascii="Arial" w:cs="Arial" w:eastAsia="Arial" w:hAnsi="Arial"/>
          <w:b/>
          <w:bCs/>
          <w:color w:val="2E5FA3"/>
          <w:sz w:val="25"/>
          <w:szCs w:val="25"/>
        </w:rPr>
        <w:t xml:space="preserve">3.1  OWASP Top 10</w:t>
      </w:r>
    </w:p>
    <w:p>
      <w:pPr>
        <w:spacing w:after="100" w:before="60"/>
      </w:pPr>
      <w:r>
        <w:rPr>
          <w:rFonts w:ascii="Arial" w:cs="Arial" w:eastAsia="Arial" w:hAnsi="Arial"/>
          <w:color w:val="2D3748"/>
          <w:sz w:val="22"/>
          <w:szCs w:val="22"/>
        </w:rPr>
        <w:t xml:space="preserve">The Open Web Application Security Project (OWASP) has included Security Misconfiguration in its Top 10 list of critical web application security risks since 2010. In the 2021 edition, it is ranked A05 and described as encompassing missing security hardening, unnecessary features enabled, default accounts active, overly informative error messages, and missing or misconfigured security headers. The OWASP framework is the most widely referenced standard in web application security and directly informs the scope of the web-layer audit conducted in this project.</w:t>
      </w:r>
    </w:p>
    <w:p>
      <w:pPr>
        <w:spacing w:after="80" w:before="0"/>
      </w:pPr>
      <w:r>
        <w:t xml:space="preserve"/>
      </w:r>
    </w:p>
    <w:p>
      <w:pPr>
        <w:spacing w:after="100" w:before="260"/>
      </w:pPr>
      <w:r>
        <w:rPr>
          <w:rFonts w:ascii="Arial" w:cs="Arial" w:eastAsia="Arial" w:hAnsi="Arial"/>
          <w:b/>
          <w:bCs/>
          <w:color w:val="2E5FA3"/>
          <w:sz w:val="25"/>
          <w:szCs w:val="25"/>
        </w:rPr>
        <w:t xml:space="preserve">3.2  NIST Special Publications</w:t>
      </w:r>
    </w:p>
    <w:p>
      <w:pPr>
        <w:spacing w:after="100" w:before="60"/>
      </w:pPr>
      <w:r>
        <w:rPr>
          <w:rFonts w:ascii="Arial" w:cs="Arial" w:eastAsia="Arial" w:hAnsi="Arial"/>
          <w:color w:val="2D3748"/>
          <w:sz w:val="22"/>
          <w:szCs w:val="22"/>
        </w:rPr>
        <w:t xml:space="preserve">NIST SP 800-53 (Security and Privacy Controls for Information Systems) and NIST SP 800-123 (Guide to General Server Security) provide the foundational control frameworks for secure configuration management in US federal systems and, by extension, in global industry practice. NIST SP 800-123 specifically addresses server hardening — disabling unnecessary services, removing default accounts, applying least-privilege principles — which forms the basis of the remediation methodology applied in this project.</w:t>
      </w:r>
    </w:p>
    <w:p>
      <w:pPr>
        <w:spacing w:after="80" w:before="0"/>
      </w:pPr>
      <w:r>
        <w:t xml:space="preserve"/>
      </w:r>
    </w:p>
    <w:p>
      <w:pPr>
        <w:spacing w:after="100" w:before="260"/>
      </w:pPr>
      <w:r>
        <w:rPr>
          <w:rFonts w:ascii="Arial" w:cs="Arial" w:eastAsia="Arial" w:hAnsi="Arial"/>
          <w:b/>
          <w:bCs/>
          <w:color w:val="2E5FA3"/>
          <w:sz w:val="25"/>
          <w:szCs w:val="25"/>
        </w:rPr>
        <w:t xml:space="preserve">3.3  CIS Benchmarks</w:t>
      </w:r>
    </w:p>
    <w:p>
      <w:pPr>
        <w:spacing w:after="100" w:before="60"/>
      </w:pPr>
      <w:r>
        <w:rPr>
          <w:rFonts w:ascii="Arial" w:cs="Arial" w:eastAsia="Arial" w:hAnsi="Arial"/>
          <w:color w:val="2D3748"/>
          <w:sz w:val="22"/>
          <w:szCs w:val="22"/>
        </w:rPr>
        <w:t xml:space="preserve">The Center for Internet Security (CIS) publishes detailed, consensus-based secure configuration guidelines for specific technology platforms. CIS Benchmarks exist for Linux distributions, Apache, MySQL, PostgreSQL, SSH, and other services present on the Metasploitable2 target. Each benchmark defines specific configuration parameters, the rationale for the recommended setting, and the remediation procedure. These benchmarks serve as the primary authoritative reference for evaluating findings and developing remediation steps in this project.</w:t>
      </w:r>
    </w:p>
    <w:p>
      <w:pPr>
        <w:spacing w:after="80" w:before="0"/>
      </w:pPr>
      <w:r>
        <w:t xml:space="preserve"/>
      </w:r>
    </w:p>
    <w:p>
      <w:pPr>
        <w:spacing w:after="100" w:before="260"/>
      </w:pPr>
      <w:r>
        <w:rPr>
          <w:rFonts w:ascii="Arial" w:cs="Arial" w:eastAsia="Arial" w:hAnsi="Arial"/>
          <w:b/>
          <w:bCs/>
          <w:color w:val="2E5FA3"/>
          <w:sz w:val="25"/>
          <w:szCs w:val="25"/>
        </w:rPr>
        <w:t xml:space="preserve">3.4  PTES — Penetration Testing Execution Standard</w:t>
      </w:r>
    </w:p>
    <w:p>
      <w:pPr>
        <w:spacing w:after="100" w:before="60"/>
      </w:pPr>
      <w:r>
        <w:rPr>
          <w:rFonts w:ascii="Arial" w:cs="Arial" w:eastAsia="Arial" w:hAnsi="Arial"/>
          <w:color w:val="2D3748"/>
          <w:sz w:val="22"/>
          <w:szCs w:val="22"/>
        </w:rPr>
        <w:t xml:space="preserve">The Penetration Testing Execution Standard (PTES) defines a structured methodology for professional security assessments, comprising pre-engagement, intelligence gathering, threat modelling, vulnerability analysis, exploitation, post-exploitation, and reporting phases. This project's four-phase lifecycle — planning, audit, remediation, and verification — is directly aligned with the PTES model, adapted for a remediation-focused audit rather than a pure penetration test.</w:t>
      </w:r>
    </w:p>
    <w:p>
      <w:pPr>
        <w:spacing w:after="80" w:before="0"/>
      </w:pPr>
      <w:r>
        <w:t xml:space="preserve"/>
      </w:r>
    </w:p>
    <w:p>
      <w:pPr>
        <w:spacing w:after="100" w:before="260"/>
      </w:pPr>
      <w:r>
        <w:rPr>
          <w:rFonts w:ascii="Arial" w:cs="Arial" w:eastAsia="Arial" w:hAnsi="Arial"/>
          <w:b/>
          <w:bCs/>
          <w:color w:val="2E5FA3"/>
          <w:sz w:val="25"/>
          <w:szCs w:val="25"/>
        </w:rPr>
        <w:t xml:space="preserve">3.5  CVE and CVSS</w:t>
      </w:r>
    </w:p>
    <w:p>
      <w:pPr>
        <w:spacing w:after="100" w:before="60"/>
      </w:pPr>
      <w:r>
        <w:rPr>
          <w:rFonts w:ascii="Arial" w:cs="Arial" w:eastAsia="Arial" w:hAnsi="Arial"/>
          <w:color w:val="2D3748"/>
          <w:sz w:val="22"/>
          <w:szCs w:val="22"/>
        </w:rPr>
        <w:t xml:space="preserve">The Common Vulnerabilities and Exposures (CVE) system, maintained by MITRE, provides a standardised reference catalogue for publicly known security vulnerabilities. The Common Vulnerability Scoring System (CVSS), maintained by FIRST, provides a standardised numerical framework for rating vulnerability severity on a 0–10 scale across three metric groups: Base, Temporal, and Environmental. The four-tier severity classification (Critical / High / Medium / Low) used in this project's findings documentation is derived from standard CVSS score ranges and is consistent with industry reporting practice.</w:t>
      </w:r>
    </w:p>
    <w:p>
      <w:pPr>
        <w:spacing w:after="100" w:before="0"/>
      </w:pPr>
      <w:r>
        <w:t xml:space="preserve"/>
      </w:r>
    </w:p>
    <w:p>
      <w:pPr>
        <w:spacing w:after="120" w:before="360"/>
      </w:pPr>
      <w:r>
        <w:rPr>
          <w:rFonts w:ascii="Georgia" w:cs="Georgia" w:eastAsia="Georgia" w:hAnsi="Georgia"/>
          <w:b/>
          <w:bCs/>
          <w:color w:val="1A2D4F"/>
          <w:sz w:val="30"/>
          <w:szCs w:val="30"/>
        </w:rPr>
        <w:t xml:space="preserve">4.  Documented Real-World Misconfiguration Incidents</w:t>
      </w:r>
    </w:p>
    <w:p>
      <w:pPr>
        <w:pBdr>
          <w:bottom w:val="single" w:color="2E5FA3" w:sz="4" w:space="1"/>
        </w:pBdr>
        <w:spacing w:after="160" w:before="180"/>
      </w:pPr>
      <w:r>
        <w:t xml:space="preserve"/>
      </w:r>
    </w:p>
    <w:p>
      <w:pPr>
        <w:spacing w:after="100" w:before="60"/>
      </w:pPr>
      <w:r>
        <w:rPr>
          <w:rFonts w:ascii="Arial" w:cs="Arial" w:eastAsia="Arial" w:hAnsi="Arial"/>
          <w:color w:val="2D3748"/>
          <w:sz w:val="22"/>
          <w:szCs w:val="22"/>
        </w:rPr>
        <w:t xml:space="preserve">The practical significance of security misconfiguration is substantiated by a broad body of documented real-world incidents. The following examples are drawn from public breach reports and security research, and they illustrate the categories of misconfiguration directly relevant to this project's audit scope:</w:t>
      </w:r>
    </w:p>
    <w:p>
      <w:pPr>
        <w:spacing w:after="60" w:before="0"/>
      </w:pPr>
      <w:r>
        <w:t xml:space="preserve"/>
      </w:r>
    </w:p>
    <w:p>
      <w:pPr>
        <w:spacing w:after="80" w:before="180"/>
      </w:pPr>
      <w:r>
        <w:rPr>
          <w:rFonts w:ascii="Arial" w:cs="Arial" w:eastAsia="Arial" w:hAnsi="Arial"/>
          <w:b/>
          <w:bCs/>
          <w:color w:val="4A5568"/>
          <w:sz w:val="22"/>
          <w:szCs w:val="22"/>
        </w:rPr>
        <w:t xml:space="preserve">4.1  Default Credentials</w:t>
      </w:r>
    </w:p>
    <w:p>
      <w:pPr>
        <w:spacing w:after="100" w:before="60"/>
      </w:pPr>
      <w:r>
        <w:rPr>
          <w:rFonts w:ascii="Arial" w:cs="Arial" w:eastAsia="Arial" w:hAnsi="Arial"/>
          <w:color w:val="2D3748"/>
          <w:sz w:val="22"/>
          <w:szCs w:val="22"/>
        </w:rPr>
        <w:t xml:space="preserve">Multiple high-profile breaches have been attributed to the failure to change default administrative credentials. The Mirai botnet (2016), which caused significant disruption to internet infrastructure, exploited default credentials on IoT devices to compromise over 600,000 systems. In enterprise environments, unchanged default credentials on database management systems and web application servers represent a persistent and easily exploitable attack vector — directly reflected in findings such as MySQL root with no password and Tomcat manager with default credentials in this project's target environment.</w:t>
      </w:r>
    </w:p>
    <w:p>
      <w:pPr>
        <w:spacing w:after="80" w:before="0"/>
      </w:pPr>
      <w:r>
        <w:t xml:space="preserve"/>
      </w:r>
    </w:p>
    <w:p>
      <w:pPr>
        <w:spacing w:after="80" w:before="180"/>
      </w:pPr>
      <w:r>
        <w:rPr>
          <w:rFonts w:ascii="Arial" w:cs="Arial" w:eastAsia="Arial" w:hAnsi="Arial"/>
          <w:b/>
          <w:bCs/>
          <w:color w:val="4A5568"/>
          <w:sz w:val="22"/>
          <w:szCs w:val="22"/>
        </w:rPr>
        <w:t xml:space="preserve">4.2  Exposed Administrative Interfaces</w:t>
      </w:r>
    </w:p>
    <w:p>
      <w:pPr>
        <w:spacing w:after="100" w:before="60"/>
      </w:pPr>
      <w:r>
        <w:rPr>
          <w:rFonts w:ascii="Arial" w:cs="Arial" w:eastAsia="Arial" w:hAnsi="Arial"/>
          <w:color w:val="2D3748"/>
          <w:sz w:val="22"/>
          <w:szCs w:val="22"/>
        </w:rPr>
        <w:t xml:space="preserve">Unrestricted access to administrative interfaces — such as database management consoles, application server managers, and remote administration tools — has been implicated in numerous data breaches. Research published by Shodan and other internet-scanning platforms consistently identifies hundreds of thousands of publicly exposed administrative interfaces at any given time. The Tomcat manager interface and PostgreSQL remote access exposure on Metasploitable2 are representative of this class of misconfiguration.</w:t>
      </w:r>
    </w:p>
    <w:p>
      <w:pPr>
        <w:spacing w:after="80" w:before="0"/>
      </w:pPr>
      <w:r>
        <w:t xml:space="preserve"/>
      </w:r>
    </w:p>
    <w:p>
      <w:pPr>
        <w:spacing w:after="80" w:before="180"/>
      </w:pPr>
      <w:r>
        <w:rPr>
          <w:rFonts w:ascii="Arial" w:cs="Arial" w:eastAsia="Arial" w:hAnsi="Arial"/>
          <w:b/>
          <w:bCs/>
          <w:color w:val="4A5568"/>
          <w:sz w:val="22"/>
          <w:szCs w:val="22"/>
        </w:rPr>
        <w:t xml:space="preserve">4.3  Unnecessary Service Exposure</w:t>
      </w:r>
    </w:p>
    <w:p>
      <w:pPr>
        <w:spacing w:after="100" w:before="60"/>
      </w:pPr>
      <w:r>
        <w:rPr>
          <w:rFonts w:ascii="Arial" w:cs="Arial" w:eastAsia="Arial" w:hAnsi="Arial"/>
          <w:color w:val="2D3748"/>
          <w:sz w:val="22"/>
          <w:szCs w:val="22"/>
        </w:rPr>
        <w:t xml:space="preserve">The principle of least functionality — running only the services required for a system's intended purpose — is a foundational hardening principle. Studies by the SANS Institute and Verizon's Data Breach Investigations Report (DBIR) consistently demonstrate that unnecessary open ports and running services significantly expand the attack surface and are frequently exploited as entry points. On Metasploitable2, services including Telnet, Distcc, UnrealIRCd, and rpcbind represent textbook examples of unnecessary service exposure.</w:t>
      </w:r>
    </w:p>
    <w:p>
      <w:pPr>
        <w:spacing w:after="80" w:before="0"/>
      </w:pPr>
      <w:r>
        <w:t xml:space="preserve"/>
      </w:r>
    </w:p>
    <w:p>
      <w:pPr>
        <w:spacing w:after="80" w:before="180"/>
      </w:pPr>
      <w:r>
        <w:rPr>
          <w:rFonts w:ascii="Arial" w:cs="Arial" w:eastAsia="Arial" w:hAnsi="Arial"/>
          <w:b/>
          <w:bCs/>
          <w:color w:val="4A5568"/>
          <w:sz w:val="22"/>
          <w:szCs w:val="22"/>
        </w:rPr>
        <w:t xml:space="preserve">4.4  Unpatched and Outdated Software</w:t>
      </w:r>
    </w:p>
    <w:p>
      <w:pPr>
        <w:spacing w:after="100" w:before="60"/>
      </w:pPr>
      <w:r>
        <w:rPr>
          <w:rFonts w:ascii="Arial" w:cs="Arial" w:eastAsia="Arial" w:hAnsi="Arial"/>
          <w:color w:val="2D3748"/>
          <w:sz w:val="22"/>
          <w:szCs w:val="22"/>
        </w:rPr>
        <w:t xml:space="preserve">Running outdated software versions — particularly those with publicly known CVEs — is one of the most reliably exploitable misconfiguration categories. The OpenSSH 4.7 and vsftpd 2.3.4 versions present on Metasploitable2 are associated with multiple publicly documented vulnerabilities, including the vsftpd backdoor (CVE-2011-2523), which allows unauthenticated remote code execution. The 2017 Equifax breach, attributed to an unpatched Apache Struts vulnerability, remains the canonical example of the consequences of deferred patching.</w:t>
      </w:r>
    </w:p>
    <w:p>
      <w:pPr>
        <w:spacing w:after="100" w:before="0"/>
      </w:pPr>
      <w:r>
        <w:t xml:space="preserve"/>
      </w:r>
    </w:p>
    <w:p>
      <w:pPr>
        <w:spacing w:after="120" w:before="360"/>
      </w:pPr>
      <w:r>
        <w:rPr>
          <w:rFonts w:ascii="Georgia" w:cs="Georgia" w:eastAsia="Georgia" w:hAnsi="Georgia"/>
          <w:b/>
          <w:bCs/>
          <w:color w:val="1A2D4F"/>
          <w:sz w:val="30"/>
          <w:szCs w:val="30"/>
        </w:rPr>
        <w:t xml:space="preserve">5.  Security Audit Tools — Research and Comparative Analysis</w:t>
      </w:r>
    </w:p>
    <w:p>
      <w:pPr>
        <w:pBdr>
          <w:bottom w:val="single" w:color="2E5FA3" w:sz="4" w:space="1"/>
        </w:pBdr>
        <w:spacing w:after="160" w:before="180"/>
      </w:pPr>
      <w:r>
        <w:t xml:space="preserve"/>
      </w:r>
    </w:p>
    <w:p>
      <w:pPr>
        <w:spacing w:after="100" w:before="60"/>
      </w:pPr>
      <w:r>
        <w:rPr>
          <w:rFonts w:ascii="Arial" w:cs="Arial" w:eastAsia="Arial" w:hAnsi="Arial"/>
          <w:color w:val="2D3748"/>
          <w:sz w:val="22"/>
          <w:szCs w:val="22"/>
        </w:rPr>
        <w:t xml:space="preserve">A substantial body of academic and industry research addresses the comparative effectiveness of security scanning tools. The following analysis reviews the tools employed in this project in the context of published research findings: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360"/>
        <w:gridCol w:w="2600"/>
      </w:tblGrid>
      <w:tr>
        <w:tc>
          <w:tcPr>
            <w:tcW w:type="dxa" w:w="1800"/>
            <w:tcBorders>
              <w:top w:val="single" w:color="CBD5E0" w:sz="1"/>
              <w:left w:val="single" w:color="CBD5E0" w:sz="1"/>
              <w:bottom w:val="single" w:color="CBD5E0" w:sz="1"/>
              <w:right w:val="single" w:color="CBD5E0" w:sz="1"/>
            </w:tcBorders>
            <w:shd w:fill="1A2D4F" w:val="clear"/>
            <w:tcMar>
              <w:top w:type="dxa" w:w="100"/>
              <w:left w:type="dxa" w:w="140"/>
              <w:bottom w:type="dxa" w:w="100"/>
              <w:right w:type="dxa" w:w="140"/>
            </w:tcMar>
          </w:tcPr>
          <w:p>
            <w:r>
              <w:rPr>
                <w:rFonts w:ascii="Arial" w:cs="Arial" w:eastAsia="Arial" w:hAnsi="Arial"/>
                <w:b/>
                <w:bCs/>
                <w:color w:val="FFFFFF"/>
                <w:sz w:val="20"/>
                <w:szCs w:val="20"/>
              </w:rPr>
              <w:t xml:space="preserve">Tool</w:t>
            </w:r>
          </w:p>
        </w:tc>
        <w:tc>
          <w:tcPr>
            <w:tcW w:type="dxa" w:w="2600"/>
            <w:tcBorders>
              <w:top w:val="single" w:color="CBD5E0" w:sz="1"/>
              <w:left w:val="single" w:color="CBD5E0" w:sz="1"/>
              <w:bottom w:val="single" w:color="CBD5E0" w:sz="1"/>
              <w:right w:val="single" w:color="CBD5E0" w:sz="1"/>
            </w:tcBorders>
            <w:shd w:fill="1A2D4F" w:val="clear"/>
            <w:tcMar>
              <w:top w:type="dxa" w:w="100"/>
              <w:left w:type="dxa" w:w="140"/>
              <w:bottom w:type="dxa" w:w="100"/>
              <w:right w:type="dxa" w:w="140"/>
            </w:tcMar>
          </w:tcPr>
          <w:p>
            <w:r>
              <w:rPr>
                <w:rFonts w:ascii="Arial" w:cs="Arial" w:eastAsia="Arial" w:hAnsi="Arial"/>
                <w:b/>
                <w:bCs/>
                <w:color w:val="FFFFFF"/>
                <w:sz w:val="20"/>
                <w:szCs w:val="20"/>
              </w:rPr>
              <w:t xml:space="preserve">Primary Function</w:t>
            </w:r>
          </w:p>
        </w:tc>
        <w:tc>
          <w:tcPr>
            <w:tcW w:type="dxa" w:w="2360"/>
            <w:tcBorders>
              <w:top w:val="single" w:color="CBD5E0" w:sz="1"/>
              <w:left w:val="single" w:color="CBD5E0" w:sz="1"/>
              <w:bottom w:val="single" w:color="CBD5E0" w:sz="1"/>
              <w:right w:val="single" w:color="CBD5E0" w:sz="1"/>
            </w:tcBorders>
            <w:shd w:fill="1A2D4F" w:val="clear"/>
            <w:tcMar>
              <w:top w:type="dxa" w:w="100"/>
              <w:left w:type="dxa" w:w="140"/>
              <w:bottom w:type="dxa" w:w="100"/>
              <w:right w:type="dxa" w:w="140"/>
            </w:tcMar>
          </w:tcPr>
          <w:p>
            <w:r>
              <w:rPr>
                <w:rFonts w:ascii="Arial" w:cs="Arial" w:eastAsia="Arial" w:hAnsi="Arial"/>
                <w:b/>
                <w:bCs/>
                <w:color w:val="FFFFFF"/>
                <w:sz w:val="20"/>
                <w:szCs w:val="20"/>
              </w:rPr>
              <w:t xml:space="preserve">Research Basis</w:t>
            </w:r>
          </w:p>
        </w:tc>
        <w:tc>
          <w:tcPr>
            <w:tcW w:type="dxa" w:w="2600"/>
            <w:tcBorders>
              <w:top w:val="single" w:color="CBD5E0" w:sz="1"/>
              <w:left w:val="single" w:color="CBD5E0" w:sz="1"/>
              <w:bottom w:val="single" w:color="CBD5E0" w:sz="1"/>
              <w:right w:val="single" w:color="CBD5E0" w:sz="1"/>
            </w:tcBorders>
            <w:shd w:fill="1A2D4F" w:val="clear"/>
            <w:tcMar>
              <w:top w:type="dxa" w:w="100"/>
              <w:left w:type="dxa" w:w="140"/>
              <w:bottom w:type="dxa" w:w="100"/>
              <w:right w:type="dxa" w:w="140"/>
            </w:tcMar>
          </w:tcPr>
          <w:p>
            <w:r>
              <w:rPr>
                <w:rFonts w:ascii="Arial" w:cs="Arial" w:eastAsia="Arial" w:hAnsi="Arial"/>
                <w:b/>
                <w:bCs/>
                <w:color w:val="FFFFFF"/>
                <w:sz w:val="20"/>
                <w:szCs w:val="20"/>
              </w:rPr>
              <w:t xml:space="preserve">Application in This Project</w:t>
            </w:r>
          </w:p>
        </w:tc>
      </w:tr>
      <w:tr>
        <w:tc>
          <w:tcPr>
            <w:tcW w:type="dxa" w:w="180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b/>
                <w:bCs/>
                <w:color w:val="2E5FA3"/>
                <w:sz w:val="19"/>
                <w:szCs w:val="19"/>
              </w:rPr>
              <w:t xml:space="preserve">Nmap</w:t>
            </w:r>
          </w:p>
        </w:tc>
        <w:tc>
          <w:tcPr>
            <w:tcW w:type="dxa" w:w="260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color w:val="2D3748"/>
                <w:sz w:val="19"/>
                <w:szCs w:val="19"/>
              </w:rPr>
              <w:t xml:space="preserve">Network enumeration — port scanning, service detection, OS fingerprinting</w:t>
            </w:r>
          </w:p>
        </w:tc>
        <w:tc>
          <w:tcPr>
            <w:tcW w:type="dxa" w:w="236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i/>
                <w:iCs/>
                <w:color w:val="4A5568"/>
                <w:sz w:val="19"/>
                <w:szCs w:val="19"/>
              </w:rPr>
              <w:t xml:space="preserve">Gordon Lyon (2009), Nmap Network Scanning — the authoritative reference for network discovery methodology</w:t>
            </w:r>
          </w:p>
        </w:tc>
        <w:tc>
          <w:tcPr>
            <w:tcW w:type="dxa" w:w="260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color w:val="2D3748"/>
                <w:sz w:val="19"/>
                <w:szCs w:val="19"/>
              </w:rPr>
              <w:t xml:space="preserve">Full-range port scan, service version detection, NSE vulnerability scripts</w:t>
            </w:r>
          </w:p>
        </w:tc>
      </w:tr>
      <w:tr>
        <w:tc>
          <w:tcPr>
            <w:tcW w:type="dxa" w:w="1800"/>
            <w:tcBorders>
              <w:top w:val="single" w:color="CBD5E0" w:sz="1"/>
              <w:left w:val="single" w:color="CBD5E0" w:sz="1"/>
              <w:bottom w:val="single" w:color="CBD5E0" w:sz="1"/>
              <w:right w:val="single" w:color="CBD5E0" w:sz="1"/>
            </w:tcBorders>
            <w:shd w:fill="F0F4FA" w:val="clear"/>
            <w:tcMar>
              <w:top w:type="dxa" w:w="85"/>
              <w:left w:type="dxa" w:w="140"/>
              <w:bottom w:type="dxa" w:w="85"/>
              <w:right w:type="dxa" w:w="140"/>
            </w:tcMar>
          </w:tcPr>
          <w:p>
            <w:r>
              <w:rPr>
                <w:rFonts w:ascii="Arial" w:cs="Arial" w:eastAsia="Arial" w:hAnsi="Arial"/>
                <w:b/>
                <w:bCs/>
                <w:color w:val="2E5FA3"/>
                <w:sz w:val="19"/>
                <w:szCs w:val="19"/>
              </w:rPr>
              <w:t xml:space="preserve">Nikto</w:t>
            </w:r>
          </w:p>
        </w:tc>
        <w:tc>
          <w:tcPr>
            <w:tcW w:type="dxa" w:w="2600"/>
            <w:tcBorders>
              <w:top w:val="single" w:color="CBD5E0" w:sz="1"/>
              <w:left w:val="single" w:color="CBD5E0" w:sz="1"/>
              <w:bottom w:val="single" w:color="CBD5E0" w:sz="1"/>
              <w:right w:val="single" w:color="CBD5E0" w:sz="1"/>
            </w:tcBorders>
            <w:shd w:fill="F0F4FA" w:val="clear"/>
            <w:tcMar>
              <w:top w:type="dxa" w:w="85"/>
              <w:left w:type="dxa" w:w="140"/>
              <w:bottom w:type="dxa" w:w="85"/>
              <w:right w:type="dxa" w:w="140"/>
            </w:tcMar>
          </w:tcPr>
          <w:p>
            <w:r>
              <w:rPr>
                <w:rFonts w:ascii="Arial" w:cs="Arial" w:eastAsia="Arial" w:hAnsi="Arial"/>
                <w:color w:val="2D3748"/>
                <w:sz w:val="19"/>
                <w:szCs w:val="19"/>
              </w:rPr>
              <w:t xml:space="preserve">Web server misconfiguration scanning</w:t>
            </w:r>
          </w:p>
        </w:tc>
        <w:tc>
          <w:tcPr>
            <w:tcW w:type="dxa" w:w="2360"/>
            <w:tcBorders>
              <w:top w:val="single" w:color="CBD5E0" w:sz="1"/>
              <w:left w:val="single" w:color="CBD5E0" w:sz="1"/>
              <w:bottom w:val="single" w:color="CBD5E0" w:sz="1"/>
              <w:right w:val="single" w:color="CBD5E0" w:sz="1"/>
            </w:tcBorders>
            <w:shd w:fill="F0F4FA" w:val="clear"/>
            <w:tcMar>
              <w:top w:type="dxa" w:w="85"/>
              <w:left w:type="dxa" w:w="140"/>
              <w:bottom w:type="dxa" w:w="85"/>
              <w:right w:type="dxa" w:w="140"/>
            </w:tcMar>
          </w:tcPr>
          <w:p>
            <w:r>
              <w:rPr>
                <w:rFonts w:ascii="Arial" w:cs="Arial" w:eastAsia="Arial" w:hAnsi="Arial"/>
                <w:i/>
                <w:iCs/>
                <w:color w:val="4A5568"/>
                <w:sz w:val="19"/>
                <w:szCs w:val="19"/>
              </w:rPr>
              <w:t xml:space="preserve">Widely referenced in OWASP testing guides and academic web security literature as a standard first-pass web assessment tool</w:t>
            </w:r>
          </w:p>
        </w:tc>
        <w:tc>
          <w:tcPr>
            <w:tcW w:type="dxa" w:w="2600"/>
            <w:tcBorders>
              <w:top w:val="single" w:color="CBD5E0" w:sz="1"/>
              <w:left w:val="single" w:color="CBD5E0" w:sz="1"/>
              <w:bottom w:val="single" w:color="CBD5E0" w:sz="1"/>
              <w:right w:val="single" w:color="CBD5E0" w:sz="1"/>
            </w:tcBorders>
            <w:shd w:fill="F0F4FA" w:val="clear"/>
            <w:tcMar>
              <w:top w:type="dxa" w:w="85"/>
              <w:left w:type="dxa" w:w="140"/>
              <w:bottom w:type="dxa" w:w="85"/>
              <w:right w:type="dxa" w:w="140"/>
            </w:tcMar>
          </w:tcPr>
          <w:p>
            <w:r>
              <w:rPr>
                <w:rFonts w:ascii="Arial" w:cs="Arial" w:eastAsia="Arial" w:hAnsi="Arial"/>
                <w:color w:val="2D3748"/>
                <w:sz w:val="19"/>
                <w:szCs w:val="19"/>
              </w:rPr>
              <w:t xml:space="preserve">HTTP service assessment, security header verification, directory listing detection</w:t>
            </w:r>
          </w:p>
        </w:tc>
      </w:tr>
      <w:tr>
        <w:tc>
          <w:tcPr>
            <w:tcW w:type="dxa" w:w="180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b/>
                <w:bCs/>
                <w:color w:val="2E5FA3"/>
                <w:sz w:val="19"/>
                <w:szCs w:val="19"/>
              </w:rPr>
              <w:t xml:space="preserve">Metasploit Framework</w:t>
            </w:r>
          </w:p>
        </w:tc>
        <w:tc>
          <w:tcPr>
            <w:tcW w:type="dxa" w:w="260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color w:val="2D3748"/>
                <w:sz w:val="19"/>
                <w:szCs w:val="19"/>
              </w:rPr>
              <w:t xml:space="preserve">Exploitation framework for vulnerability confirmation</w:t>
            </w:r>
          </w:p>
        </w:tc>
        <w:tc>
          <w:tcPr>
            <w:tcW w:type="dxa" w:w="236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i/>
                <w:iCs/>
                <w:color w:val="4A5568"/>
                <w:sz w:val="19"/>
                <w:szCs w:val="19"/>
              </w:rPr>
              <w:t xml:space="preserve">Rapid7 research platform; extensively documented in academic penetration testing curricula</w:t>
            </w:r>
          </w:p>
        </w:tc>
        <w:tc>
          <w:tcPr>
            <w:tcW w:type="dxa" w:w="260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color w:val="2D3748"/>
                <w:sz w:val="19"/>
                <w:szCs w:val="19"/>
              </w:rPr>
              <w:t xml:space="preserve">Selective use to confirm exploitability of Critical-severity findings</w:t>
            </w:r>
          </w:p>
        </w:tc>
      </w:tr>
      <w:tr>
        <w:tc>
          <w:tcPr>
            <w:tcW w:type="dxa" w:w="1800"/>
            <w:tcBorders>
              <w:top w:val="single" w:color="CBD5E0" w:sz="1"/>
              <w:left w:val="single" w:color="CBD5E0" w:sz="1"/>
              <w:bottom w:val="single" w:color="CBD5E0" w:sz="1"/>
              <w:right w:val="single" w:color="CBD5E0" w:sz="1"/>
            </w:tcBorders>
            <w:shd w:fill="F0F4FA" w:val="clear"/>
            <w:tcMar>
              <w:top w:type="dxa" w:w="85"/>
              <w:left w:type="dxa" w:w="140"/>
              <w:bottom w:type="dxa" w:w="85"/>
              <w:right w:type="dxa" w:w="140"/>
            </w:tcMar>
          </w:tcPr>
          <w:p>
            <w:r>
              <w:rPr>
                <w:rFonts w:ascii="Arial" w:cs="Arial" w:eastAsia="Arial" w:hAnsi="Arial"/>
                <w:b/>
                <w:bCs/>
                <w:color w:val="2E5FA3"/>
                <w:sz w:val="19"/>
                <w:szCs w:val="19"/>
              </w:rPr>
              <w:t xml:space="preserve">Hydra</w:t>
            </w:r>
          </w:p>
        </w:tc>
        <w:tc>
          <w:tcPr>
            <w:tcW w:type="dxa" w:w="2600"/>
            <w:tcBorders>
              <w:top w:val="single" w:color="CBD5E0" w:sz="1"/>
              <w:left w:val="single" w:color="CBD5E0" w:sz="1"/>
              <w:bottom w:val="single" w:color="CBD5E0" w:sz="1"/>
              <w:right w:val="single" w:color="CBD5E0" w:sz="1"/>
            </w:tcBorders>
            <w:shd w:fill="F0F4FA" w:val="clear"/>
            <w:tcMar>
              <w:top w:type="dxa" w:w="85"/>
              <w:left w:type="dxa" w:w="140"/>
              <w:bottom w:type="dxa" w:w="85"/>
              <w:right w:type="dxa" w:w="140"/>
            </w:tcMar>
          </w:tcPr>
          <w:p>
            <w:r>
              <w:rPr>
                <w:rFonts w:ascii="Arial" w:cs="Arial" w:eastAsia="Arial" w:hAnsi="Arial"/>
                <w:color w:val="2D3748"/>
                <w:sz w:val="19"/>
                <w:szCs w:val="19"/>
              </w:rPr>
              <w:t xml:space="preserve">Automated credential testing</w:t>
            </w:r>
          </w:p>
        </w:tc>
        <w:tc>
          <w:tcPr>
            <w:tcW w:type="dxa" w:w="2360"/>
            <w:tcBorders>
              <w:top w:val="single" w:color="CBD5E0" w:sz="1"/>
              <w:left w:val="single" w:color="CBD5E0" w:sz="1"/>
              <w:bottom w:val="single" w:color="CBD5E0" w:sz="1"/>
              <w:right w:val="single" w:color="CBD5E0" w:sz="1"/>
            </w:tcBorders>
            <w:shd w:fill="F0F4FA" w:val="clear"/>
            <w:tcMar>
              <w:top w:type="dxa" w:w="85"/>
              <w:left w:type="dxa" w:w="140"/>
              <w:bottom w:type="dxa" w:w="85"/>
              <w:right w:type="dxa" w:w="140"/>
            </w:tcMar>
          </w:tcPr>
          <w:p>
            <w:r>
              <w:rPr>
                <w:rFonts w:ascii="Arial" w:cs="Arial" w:eastAsia="Arial" w:hAnsi="Arial"/>
                <w:i/>
                <w:iCs/>
                <w:color w:val="4A5568"/>
                <w:sz w:val="19"/>
                <w:szCs w:val="19"/>
              </w:rPr>
              <w:t xml:space="preserve">Referenced in PTES documentation as a standard tool for authentication testing</w:t>
            </w:r>
          </w:p>
        </w:tc>
        <w:tc>
          <w:tcPr>
            <w:tcW w:type="dxa" w:w="2600"/>
            <w:tcBorders>
              <w:top w:val="single" w:color="CBD5E0" w:sz="1"/>
              <w:left w:val="single" w:color="CBD5E0" w:sz="1"/>
              <w:bottom w:val="single" w:color="CBD5E0" w:sz="1"/>
              <w:right w:val="single" w:color="CBD5E0" w:sz="1"/>
            </w:tcBorders>
            <w:shd w:fill="F0F4FA" w:val="clear"/>
            <w:tcMar>
              <w:top w:type="dxa" w:w="85"/>
              <w:left w:type="dxa" w:w="140"/>
              <w:bottom w:type="dxa" w:w="85"/>
              <w:right w:type="dxa" w:w="140"/>
            </w:tcMar>
          </w:tcPr>
          <w:p>
            <w:r>
              <w:rPr>
                <w:rFonts w:ascii="Arial" w:cs="Arial" w:eastAsia="Arial" w:hAnsi="Arial"/>
                <w:color w:val="2D3748"/>
                <w:sz w:val="19"/>
                <w:szCs w:val="19"/>
              </w:rPr>
              <w:t xml:space="preserve">Verification of default and weak credential vulnerabilities across FTP, SSH, Telnet, and database services</w:t>
            </w:r>
          </w:p>
        </w:tc>
      </w:tr>
      <w:tr>
        <w:tc>
          <w:tcPr>
            <w:tcW w:type="dxa" w:w="180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b/>
                <w:bCs/>
                <w:color w:val="2E5FA3"/>
                <w:sz w:val="19"/>
                <w:szCs w:val="19"/>
              </w:rPr>
              <w:t xml:space="preserve">OpenVAS / GVM</w:t>
            </w:r>
          </w:p>
        </w:tc>
        <w:tc>
          <w:tcPr>
            <w:tcW w:type="dxa" w:w="260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color w:val="2D3748"/>
                <w:sz w:val="19"/>
                <w:szCs w:val="19"/>
              </w:rPr>
              <w:t xml:space="preserve">Comprehensive vulnerability scanning</w:t>
            </w:r>
          </w:p>
        </w:tc>
        <w:tc>
          <w:tcPr>
            <w:tcW w:type="dxa" w:w="236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i/>
                <w:iCs/>
                <w:color w:val="4A5568"/>
                <w:sz w:val="19"/>
                <w:szCs w:val="19"/>
              </w:rPr>
              <w:t xml:space="preserve">Greenbone Networks; widely used in academic and enterprise vulnerability management research</w:t>
            </w:r>
          </w:p>
        </w:tc>
        <w:tc>
          <w:tcPr>
            <w:tcW w:type="dxa" w:w="2600"/>
            <w:tcBorders>
              <w:top w:val="single" w:color="CBD5E0" w:sz="1"/>
              <w:left w:val="single" w:color="CBD5E0" w:sz="1"/>
              <w:bottom w:val="single" w:color="CBD5E0" w:sz="1"/>
              <w:right w:val="single" w:color="CBD5E0" w:sz="1"/>
            </w:tcBorders>
            <w:shd w:fill="FFFFFF" w:val="clear"/>
            <w:tcMar>
              <w:top w:type="dxa" w:w="85"/>
              <w:left w:type="dxa" w:w="140"/>
              <w:bottom w:type="dxa" w:w="85"/>
              <w:right w:type="dxa" w:w="140"/>
            </w:tcMar>
          </w:tcPr>
          <w:p>
            <w:r>
              <w:rPr>
                <w:rFonts w:ascii="Arial" w:cs="Arial" w:eastAsia="Arial" w:hAnsi="Arial"/>
                <w:color w:val="2D3748"/>
                <w:sz w:val="19"/>
                <w:szCs w:val="19"/>
              </w:rPr>
              <w:t xml:space="preserve">Supplementary automated assessment providing CVE-correlated vulnerability data</w:t>
            </w:r>
          </w:p>
        </w:tc>
      </w:tr>
    </w:tbl>
    <w:p>
      <w:pPr>
        <w:spacing w:after="100" w:before="0"/>
      </w:pPr>
      <w:r>
        <w:t xml:space="preserve"/>
      </w:r>
    </w:p>
    <w:p>
      <w:pPr>
        <w:spacing w:after="120" w:before="360"/>
      </w:pPr>
      <w:r>
        <w:rPr>
          <w:rFonts w:ascii="Georgia" w:cs="Georgia" w:eastAsia="Georgia" w:hAnsi="Georgia"/>
          <w:b/>
          <w:bCs/>
          <w:color w:val="1A2D4F"/>
          <w:sz w:val="30"/>
          <w:szCs w:val="30"/>
        </w:rPr>
        <w:t xml:space="preserve">6.  Research Gap and Project Contribution</w:t>
      </w:r>
    </w:p>
    <w:p>
      <w:pPr>
        <w:pBdr>
          <w:bottom w:val="single" w:color="2E5FA3" w:sz="4" w:space="1"/>
        </w:pBdr>
        <w:spacing w:after="160" w:before="180"/>
      </w:pPr>
      <w:r>
        <w:t xml:space="preserve"/>
      </w:r>
    </w:p>
    <w:p>
      <w:pPr>
        <w:spacing w:after="100" w:before="60"/>
      </w:pPr>
      <w:r>
        <w:rPr>
          <w:rFonts w:ascii="Arial" w:cs="Arial" w:eastAsia="Arial" w:hAnsi="Arial"/>
          <w:color w:val="2D3748"/>
          <w:sz w:val="22"/>
          <w:szCs w:val="22"/>
        </w:rPr>
        <w:t xml:space="preserve">The existing literature on security misconfiguration is extensive in terms of vulnerability identification and detection tooling. However, several gaps are consistently noted across the research base:</w:t>
      </w:r>
    </w:p>
    <w:p>
      <w:pPr>
        <w:spacing w:after="60" w:before="0"/>
      </w:pPr>
      <w:r>
        <w:t xml:space="preserve"/>
      </w:r>
    </w:p>
    <w:p>
      <w:pPr>
        <w:pStyle w:val="ListParagraph"/>
        <w:numPr>
          <w:ilvl w:val="0"/>
          <w:numId w:val="2"/>
        </w:numPr>
        <w:spacing w:after="60" w:before="60"/>
      </w:pPr>
      <w:r>
        <w:rPr>
          <w:rFonts w:ascii="Arial" w:cs="Arial" w:eastAsia="Arial" w:hAnsi="Arial"/>
          <w:color w:val="2D3748"/>
          <w:sz w:val="22"/>
          <w:szCs w:val="22"/>
        </w:rPr>
        <w:t xml:space="preserve">Most academic studies focus on either detection or disclosure, with limited attention to the complete audit-to-remediation lifecycle as a documented, reproducible process.</w:t>
      </w:r>
    </w:p>
    <w:p>
      <w:pPr>
        <w:pStyle w:val="ListParagraph"/>
        <w:numPr>
          <w:ilvl w:val="0"/>
          <w:numId w:val="2"/>
        </w:numPr>
        <w:spacing w:after="60" w:before="60"/>
      </w:pPr>
      <w:r>
        <w:rPr>
          <w:rFonts w:ascii="Arial" w:cs="Arial" w:eastAsia="Arial" w:hAnsi="Arial"/>
          <w:color w:val="2D3748"/>
          <w:sz w:val="22"/>
          <w:szCs w:val="22"/>
        </w:rPr>
        <w:t xml:space="preserve">Published remediation guidance is frequently tool-specific or platform-specific, with few sources addressing multi-service remediation within a unified audit framework.</w:t>
      </w:r>
    </w:p>
    <w:p>
      <w:pPr>
        <w:pStyle w:val="ListParagraph"/>
        <w:numPr>
          <w:ilvl w:val="0"/>
          <w:numId w:val="2"/>
        </w:numPr>
        <w:spacing w:after="60" w:before="60"/>
      </w:pPr>
      <w:r>
        <w:rPr>
          <w:rFonts w:ascii="Arial" w:cs="Arial" w:eastAsia="Arial" w:hAnsi="Arial"/>
          <w:color w:val="2D3748"/>
          <w:sz w:val="22"/>
          <w:szCs w:val="22"/>
        </w:rPr>
        <w:t xml:space="preserve">Verification methodology — the process of confirming that applied fixes are effective and have not introduced new issues — is underrepresented in existing literature relative to the initial assessment phase.</w:t>
      </w:r>
    </w:p>
    <w:p>
      <w:pPr>
        <w:spacing w:after="60" w:before="0"/>
      </w:pPr>
      <w:r>
        <w:t xml:space="preserve"/>
      </w:r>
    </w:p>
    <w:p>
      <w:pPr>
        <w:spacing w:after="100" w:before="60"/>
      </w:pPr>
      <w:r>
        <w:rPr>
          <w:rFonts w:ascii="Arial" w:cs="Arial" w:eastAsia="Arial" w:hAnsi="Arial"/>
          <w:color w:val="2D3748"/>
          <w:sz w:val="22"/>
          <w:szCs w:val="22"/>
        </w:rPr>
        <w:t xml:space="preserve">This project addresses all three gaps. By executing and documenting a complete four-phase engagement — from initial enumeration through verified remediation — across twelve distinct services on a single target, it produces a replicable audit record that demonstrates the full lifecycle of a professional security misconfiguration assessment. The documentation set produced (27 documents across seven categories) provides a structured template applicable to real-world security assessment engagements.</w:t>
      </w:r>
    </w:p>
    <w:p>
      <w:pPr>
        <w:spacing w:after="100" w:before="0"/>
      </w:pPr>
      <w:r>
        <w:t xml:space="preserve"/>
      </w:r>
    </w:p>
    <w:p>
      <w:pPr>
        <w:spacing w:after="120" w:before="360"/>
      </w:pPr>
      <w:r>
        <w:rPr>
          <w:rFonts w:ascii="Georgia" w:cs="Georgia" w:eastAsia="Georgia" w:hAnsi="Georgia"/>
          <w:b/>
          <w:bCs/>
          <w:color w:val="1A2D4F"/>
          <w:sz w:val="30"/>
          <w:szCs w:val="30"/>
        </w:rPr>
        <w:t xml:space="preserve">7.  Literature Review Summary</w:t>
      </w:r>
    </w:p>
    <w:p>
      <w:pPr>
        <w:pBdr>
          <w:bottom w:val="single" w:color="2E5FA3" w:sz="4" w:space="1"/>
        </w:pBdr>
        <w:spacing w:after="160" w:before="180"/>
      </w:pPr>
      <w:r>
        <w:t xml:space="preserve"/>
      </w:r>
    </w:p>
    <w:p>
      <w:pPr>
        <w:spacing w:after="100" w:before="60"/>
      </w:pPr>
      <w:r>
        <w:rPr>
          <w:rFonts w:ascii="Arial" w:cs="Arial" w:eastAsia="Arial" w:hAnsi="Arial"/>
          <w:color w:val="2D3748"/>
          <w:sz w:val="22"/>
          <w:szCs w:val="22"/>
        </w:rPr>
        <w:t xml:space="preserve">The research reviewed in this document establishes a clear and well-supported foundation for the methodology applied in this project. The following conclusions are drawn:</w:t>
      </w:r>
    </w:p>
    <w:p>
      <w:pPr>
        <w:spacing w:after="40" w:before="0"/>
      </w:pPr>
      <w:r>
        <w:t xml:space="preserve"/>
      </w:r>
    </w:p>
    <w:p>
      <w:pPr>
        <w:spacing w:after="90" w:before="90"/>
        <w:ind w:left="200"/>
      </w:pPr>
      <w:r>
        <w:rPr>
          <w:rFonts w:ascii="Arial" w:cs="Arial" w:eastAsia="Arial" w:hAnsi="Arial"/>
          <w:b/>
          <w:bCs/>
          <w:color w:val="2E5FA3"/>
          <w:sz w:val="22"/>
          <w:szCs w:val="22"/>
        </w:rPr>
        <w:t xml:space="preserve">Security misconfiguration is a critical and persistent risk class,  </w:t>
      </w:r>
      <w:r>
        <w:rPr>
          <w:rFonts w:ascii="Arial" w:cs="Arial" w:eastAsia="Arial" w:hAnsi="Arial"/>
          <w:color w:val="2D3748"/>
          <w:sz w:val="22"/>
          <w:szCs w:val="22"/>
        </w:rPr>
        <w:t xml:space="preserve">consistently ranked in the top five vulnerability categories by OWASP, NIST, and Verizon DBIR.</w:t>
      </w:r>
    </w:p>
    <w:p>
      <w:pPr>
        <w:spacing w:after="90" w:before="90"/>
        <w:ind w:left="200"/>
      </w:pPr>
      <w:r>
        <w:rPr>
          <w:rFonts w:ascii="Arial" w:cs="Arial" w:eastAsia="Arial" w:hAnsi="Arial"/>
          <w:b/>
          <w:bCs/>
          <w:color w:val="2E5FA3"/>
          <w:sz w:val="22"/>
          <w:szCs w:val="22"/>
        </w:rPr>
        <w:t xml:space="preserve">Established frameworks provide authoritative guidance,  </w:t>
      </w:r>
      <w:r>
        <w:rPr>
          <w:rFonts w:ascii="Arial" w:cs="Arial" w:eastAsia="Arial" w:hAnsi="Arial"/>
          <w:color w:val="2D3748"/>
          <w:sz w:val="22"/>
          <w:szCs w:val="22"/>
        </w:rPr>
        <w:t xml:space="preserve">including OWASP Top 10, NIST SP 800-53/800-123, CIS Benchmarks, CVSS, and PTES, all of which inform this project's methodology.</w:t>
      </w:r>
    </w:p>
    <w:p>
      <w:pPr>
        <w:spacing w:after="90" w:before="90"/>
        <w:ind w:left="200"/>
      </w:pPr>
      <w:r>
        <w:rPr>
          <w:rFonts w:ascii="Arial" w:cs="Arial" w:eastAsia="Arial" w:hAnsi="Arial"/>
          <w:b/>
          <w:bCs/>
          <w:color w:val="2E5FA3"/>
          <w:sz w:val="22"/>
          <w:szCs w:val="22"/>
        </w:rPr>
        <w:t xml:space="preserve">Real-world incidents confirm the practical impact,  </w:t>
      </w:r>
      <w:r>
        <w:rPr>
          <w:rFonts w:ascii="Arial" w:cs="Arial" w:eastAsia="Arial" w:hAnsi="Arial"/>
          <w:color w:val="2D3748"/>
          <w:sz w:val="22"/>
          <w:szCs w:val="22"/>
        </w:rPr>
        <w:t xml:space="preserve">with documented breaches attributable to default credentials, unnecessary services, exposed interfaces, and unpatched software — all categories present on the audit target.</w:t>
      </w:r>
    </w:p>
    <w:p>
      <w:pPr>
        <w:spacing w:after="90" w:before="90"/>
        <w:ind w:left="200"/>
      </w:pPr>
      <w:r>
        <w:rPr>
          <w:rFonts w:ascii="Arial" w:cs="Arial" w:eastAsia="Arial" w:hAnsi="Arial"/>
          <w:b/>
          <w:bCs/>
          <w:color w:val="2E5FA3"/>
          <w:sz w:val="22"/>
          <w:szCs w:val="22"/>
        </w:rPr>
        <w:t xml:space="preserve">The selected audit tools are well-validated,  </w:t>
      </w:r>
      <w:r>
        <w:rPr>
          <w:rFonts w:ascii="Arial" w:cs="Arial" w:eastAsia="Arial" w:hAnsi="Arial"/>
          <w:color w:val="2D3748"/>
          <w:sz w:val="22"/>
          <w:szCs w:val="22"/>
        </w:rPr>
        <w:t xml:space="preserve">with Nmap, Nikto, Metasploit, and Hydra widely referenced in both academic literature and professional security practice.</w:t>
      </w:r>
    </w:p>
    <w:p>
      <w:pPr>
        <w:spacing w:after="90" w:before="90"/>
        <w:ind w:left="200"/>
      </w:pPr>
      <w:r>
        <w:rPr>
          <w:rFonts w:ascii="Arial" w:cs="Arial" w:eastAsia="Arial" w:hAnsi="Arial"/>
          <w:b/>
          <w:bCs/>
          <w:color w:val="2E5FA3"/>
          <w:sz w:val="22"/>
          <w:szCs w:val="22"/>
        </w:rPr>
        <w:t xml:space="preserve">The project addresses a documented gap,  </w:t>
      </w:r>
      <w:r>
        <w:rPr>
          <w:rFonts w:ascii="Arial" w:cs="Arial" w:eastAsia="Arial" w:hAnsi="Arial"/>
          <w:color w:val="2D3748"/>
          <w:sz w:val="22"/>
          <w:szCs w:val="22"/>
        </w:rPr>
        <w:t xml:space="preserve">by producing a complete, documented audit-to-remediation lifecycle rather than focusing solely on detection or disclosure.</w:t>
      </w:r>
    </w:p>
    <w:p>
      <w:pPr>
        <w:spacing w:after="100" w:before="0"/>
      </w:pPr>
      <w:r>
        <w:t xml:space="preserve"/>
      </w:r>
    </w:p>
    <w:p>
      <w:pPr>
        <w:spacing w:after="120" w:before="360"/>
      </w:pPr>
      <w:r>
        <w:rPr>
          <w:rFonts w:ascii="Georgia" w:cs="Georgia" w:eastAsia="Georgia" w:hAnsi="Georgia"/>
          <w:b/>
          <w:bCs/>
          <w:color w:val="1A2D4F"/>
          <w:sz w:val="30"/>
          <w:szCs w:val="30"/>
        </w:rPr>
        <w:t xml:space="preserve">8.  Feedback and Evaluation</w:t>
      </w:r>
    </w:p>
    <w:p>
      <w:pPr>
        <w:pBdr>
          <w:bottom w:val="single" w:color="2E5FA3" w:sz="4" w:space="1"/>
        </w:pBdr>
        <w:spacing w:after="160" w:before="180"/>
      </w:pPr>
      <w:r>
        <w:t xml:space="preserve"/>
      </w:r>
    </w:p>
    <w:p>
      <w:pPr>
        <w:spacing w:after="100" w:before="60"/>
      </w:pPr>
      <w:r>
        <w:rPr>
          <w:rFonts w:ascii="Arial" w:cs="Arial" w:eastAsia="Arial" w:hAnsi="Arial"/>
          <w:color w:val="2D3748"/>
          <w:sz w:val="22"/>
          <w:szCs w:val="22"/>
        </w:rPr>
        <w:t xml:space="preserve">This section is reserved for the lecturer's formal assessment of the project. It will be completed following the project presentation and submission review.</w:t>
      </w:r>
    </w:p>
    <w:p>
      <w:pPr>
        <w:spacing w:after="60" w:before="0"/>
      </w:pPr>
      <w:r>
        <w:t xml:space="preserve"/>
      </w:r>
    </w:p>
    <w:p>
      <w:pPr>
        <w:spacing w:after="100" w:before="260"/>
      </w:pPr>
      <w:r>
        <w:rPr>
          <w:rFonts w:ascii="Arial" w:cs="Arial" w:eastAsia="Arial" w:hAnsi="Arial"/>
          <w:b/>
          <w:bCs/>
          <w:color w:val="2E5FA3"/>
          <w:sz w:val="25"/>
          <w:szCs w:val="25"/>
        </w:rPr>
        <w:t xml:space="preserve">8.1  Overall Project Assessment</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975A16" w:sz="6"/>
              <w:bottom w:val="single" w:color="CBD5E0" w:sz="1"/>
              <w:right w:val="single" w:color="CBD5E0" w:sz="1"/>
            </w:tcBorders>
            <w:shd w:fill="FFFFF0" w:val="clear"/>
            <w:tcMar>
              <w:top w:type="dxa" w:w="200"/>
              <w:left w:type="dxa" w:w="240"/>
              <w:bottom w:type="dxa" w:w="200"/>
              <w:right w:type="dxa" w:w="240"/>
            </w:tcMar>
          </w:tcPr>
          <w:p>
            <w:pPr>
              <w:spacing w:after="60" w:before="0"/>
            </w:pPr>
            <w:r>
              <w:rPr>
                <w:rFonts w:ascii="Arial" w:cs="Arial" w:eastAsia="Arial" w:hAnsi="Arial"/>
                <w:b/>
                <w:bCs/>
                <w:color w:val="975A16"/>
                <w:sz w:val="20"/>
                <w:szCs w:val="20"/>
              </w:rPr>
              <w:t xml:space="preserve">[ TO BE COMPLETED BY LECTURER ]</w:t>
            </w:r>
          </w:p>
          <w:p>
            <w:pPr>
              <w:spacing w:after="0" w:before="0"/>
            </w:pPr>
            <w:r>
              <w:rPr>
                <w:rFonts w:ascii="Arial" w:cs="Arial" w:eastAsia="Arial" w:hAnsi="Arial"/>
                <w:i/>
                <w:iCs/>
                <w:color w:val="4A5568"/>
                <w:sz w:val="21"/>
                <w:szCs w:val="21"/>
              </w:rPr>
              <w:t xml:space="preserve">Provide an overall assessment of the project's quality, depth, and alignment with the stated objectives.</w:t>
            </w:r>
          </w:p>
        </w:tc>
      </w:tr>
    </w:tbl>
    <w:p>
      <w:pPr>
        <w:spacing w:after="80" w:before="0"/>
      </w:pPr>
      <w:r>
        <w:t xml:space="preserve"/>
      </w:r>
    </w:p>
    <w:p>
      <w:pPr>
        <w:spacing w:after="100" w:before="260"/>
      </w:pPr>
      <w:r>
        <w:rPr>
          <w:rFonts w:ascii="Arial" w:cs="Arial" w:eastAsia="Arial" w:hAnsi="Arial"/>
          <w:b/>
          <w:bCs/>
          <w:color w:val="2E5FA3"/>
          <w:sz w:val="25"/>
          <w:szCs w:val="25"/>
        </w:rPr>
        <w:t xml:space="preserve">8.2  Strengths Identified</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975A16" w:sz="6"/>
              <w:bottom w:val="single" w:color="CBD5E0" w:sz="1"/>
              <w:right w:val="single" w:color="CBD5E0" w:sz="1"/>
            </w:tcBorders>
            <w:shd w:fill="FFFFF0" w:val="clear"/>
            <w:tcMar>
              <w:top w:type="dxa" w:w="200"/>
              <w:left w:type="dxa" w:w="240"/>
              <w:bottom w:type="dxa" w:w="200"/>
              <w:right w:type="dxa" w:w="240"/>
            </w:tcMar>
          </w:tcPr>
          <w:p>
            <w:pPr>
              <w:spacing w:after="60" w:before="0"/>
            </w:pPr>
            <w:r>
              <w:rPr>
                <w:rFonts w:ascii="Arial" w:cs="Arial" w:eastAsia="Arial" w:hAnsi="Arial"/>
                <w:b/>
                <w:bCs/>
                <w:color w:val="975A16"/>
                <w:sz w:val="20"/>
                <w:szCs w:val="20"/>
              </w:rPr>
              <w:t xml:space="preserve">[ TO BE COMPLETED BY LECTURER ]</w:t>
            </w:r>
          </w:p>
          <w:p>
            <w:pPr>
              <w:spacing w:after="0" w:before="0"/>
            </w:pPr>
            <w:r>
              <w:rPr>
                <w:rFonts w:ascii="Arial" w:cs="Arial" w:eastAsia="Arial" w:hAnsi="Arial"/>
                <w:i/>
                <w:iCs/>
                <w:color w:val="4A5568"/>
                <w:sz w:val="21"/>
                <w:szCs w:val="21"/>
              </w:rPr>
              <w:t xml:space="preserve">List the key strengths observed in the project's execution, documentation, and technical approach.</w:t>
            </w:r>
          </w:p>
        </w:tc>
      </w:tr>
    </w:tbl>
    <w:p>
      <w:pPr>
        <w:spacing w:after="80" w:before="0"/>
      </w:pPr>
      <w:r>
        <w:t xml:space="preserve"/>
      </w:r>
    </w:p>
    <w:p>
      <w:pPr>
        <w:spacing w:after="100" w:before="260"/>
      </w:pPr>
      <w:r>
        <w:rPr>
          <w:rFonts w:ascii="Arial" w:cs="Arial" w:eastAsia="Arial" w:hAnsi="Arial"/>
          <w:b/>
          <w:bCs/>
          <w:color w:val="2E5FA3"/>
          <w:sz w:val="25"/>
          <w:szCs w:val="25"/>
        </w:rPr>
        <w:t xml:space="preserve">8.3  Suggested Improvements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975A16" w:sz="6"/>
              <w:bottom w:val="single" w:color="CBD5E0" w:sz="1"/>
              <w:right w:val="single" w:color="CBD5E0" w:sz="1"/>
            </w:tcBorders>
            <w:shd w:fill="FFFFF0" w:val="clear"/>
            <w:tcMar>
              <w:top w:type="dxa" w:w="200"/>
              <w:left w:type="dxa" w:w="240"/>
              <w:bottom w:type="dxa" w:w="200"/>
              <w:right w:type="dxa" w:w="240"/>
            </w:tcMar>
          </w:tcPr>
          <w:p>
            <w:pPr>
              <w:spacing w:after="60" w:before="0"/>
            </w:pPr>
            <w:r>
              <w:rPr>
                <w:rFonts w:ascii="Arial" w:cs="Arial" w:eastAsia="Arial" w:hAnsi="Arial"/>
                <w:b/>
                <w:bCs/>
                <w:color w:val="975A16"/>
                <w:sz w:val="20"/>
                <w:szCs w:val="20"/>
              </w:rPr>
              <w:t xml:space="preserve">[ TO BE COMPLETED BY LECTURER ]</w:t>
            </w:r>
          </w:p>
          <w:p>
            <w:pPr>
              <w:spacing w:after="0" w:before="0"/>
            </w:pPr>
            <w:r>
              <w:rPr>
                <w:rFonts w:ascii="Arial" w:cs="Arial" w:eastAsia="Arial" w:hAnsi="Arial"/>
                <w:i/>
                <w:iCs/>
                <w:color w:val="4A5568"/>
                <w:sz w:val="21"/>
                <w:szCs w:val="21"/>
              </w:rPr>
              <w:t xml:space="preserve">Identify specific areas where the project could be enhanced in terms of technical depth, documentation quality, methodology, or scope coverage.</w:t>
            </w:r>
          </w:p>
        </w:tc>
      </w:tr>
    </w:tbl>
    <w:p>
      <w:pPr>
        <w:spacing w:after="80" w:before="0"/>
      </w:pPr>
      <w:r>
        <w:t xml:space="preserve"/>
      </w:r>
    </w:p>
    <w:p>
      <w:pPr>
        <w:spacing w:after="100" w:before="260"/>
      </w:pPr>
      <w:r>
        <w:rPr>
          <w:rFonts w:ascii="Arial" w:cs="Arial" w:eastAsia="Arial" w:hAnsi="Arial"/>
          <w:b/>
          <w:bCs/>
          <w:color w:val="2E5FA3"/>
          <w:sz w:val="25"/>
          <w:szCs w:val="25"/>
        </w:rPr>
        <w:t xml:space="preserve">8.4  Additional Recommendations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975A16" w:sz="6"/>
              <w:bottom w:val="single" w:color="CBD5E0" w:sz="1"/>
              <w:right w:val="single" w:color="CBD5E0" w:sz="1"/>
            </w:tcBorders>
            <w:shd w:fill="FFFFF0" w:val="clear"/>
            <w:tcMar>
              <w:top w:type="dxa" w:w="200"/>
              <w:left w:type="dxa" w:w="240"/>
              <w:bottom w:type="dxa" w:w="200"/>
              <w:right w:type="dxa" w:w="240"/>
            </w:tcMar>
          </w:tcPr>
          <w:p>
            <w:pPr>
              <w:spacing w:after="60" w:before="0"/>
            </w:pPr>
            <w:r>
              <w:rPr>
                <w:rFonts w:ascii="Arial" w:cs="Arial" w:eastAsia="Arial" w:hAnsi="Arial"/>
                <w:b/>
                <w:bCs/>
                <w:color w:val="975A16"/>
                <w:sz w:val="20"/>
                <w:szCs w:val="20"/>
              </w:rPr>
              <w:t xml:space="preserve">[ TO BE COMPLETED BY LECTURER ]</w:t>
            </w:r>
          </w:p>
          <w:p>
            <w:pPr>
              <w:spacing w:after="0" w:before="0"/>
            </w:pPr>
            <w:r>
              <w:rPr>
                <w:rFonts w:ascii="Arial" w:cs="Arial" w:eastAsia="Arial" w:hAnsi="Arial"/>
                <w:i/>
                <w:iCs/>
                <w:color w:val="4A5568"/>
                <w:sz w:val="21"/>
                <w:szCs w:val="21"/>
              </w:rPr>
              <w:t xml:space="preserve">Provide any additional recommendations for the team regarding professional development, further study, or follow-on project work.</w:t>
            </w:r>
          </w:p>
        </w:tc>
      </w:tr>
    </w:tbl>
    <w:p>
      <w:pPr>
        <w:spacing w:after="100" w:before="0"/>
      </w:pPr>
      <w:r>
        <w:t xml:space="preserve"/>
      </w:r>
    </w:p>
    <w:p>
      <w:pPr>
        <w:spacing w:after="120" w:before="360"/>
      </w:pPr>
      <w:r>
        <w:rPr>
          <w:rFonts w:ascii="Georgia" w:cs="Georgia" w:eastAsia="Georgia" w:hAnsi="Georgia"/>
          <w:b/>
          <w:bCs/>
          <w:color w:val="1A2D4F"/>
          <w:sz w:val="30"/>
          <w:szCs w:val="30"/>
        </w:rPr>
        <w:t xml:space="preserve">9.  Final Grading Criteria</w:t>
      </w:r>
    </w:p>
    <w:p>
      <w:pPr>
        <w:pBdr>
          <w:bottom w:val="single" w:color="2E5FA3" w:sz="4" w:space="1"/>
        </w:pBdr>
        <w:spacing w:after="160" w:before="180"/>
      </w:pPr>
      <w:r>
        <w:t xml:space="preserve"/>
      </w:r>
    </w:p>
    <w:p>
      <w:pPr>
        <w:spacing w:after="100" w:before="60"/>
      </w:pPr>
      <w:r>
        <w:rPr>
          <w:rFonts w:ascii="Arial" w:cs="Arial" w:eastAsia="Arial" w:hAnsi="Arial"/>
          <w:color w:val="2D3748"/>
          <w:sz w:val="22"/>
          <w:szCs w:val="22"/>
        </w:rPr>
        <w:t xml:space="preserve">The table below presents the grading breakdown applicable to this project. Weights reflect the relative importance of each component as defined in the internship programme's assessment guidelines. The Score column is to be completed by the assessing lecturer.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3760"/>
        <w:gridCol w:w="2000"/>
      </w:tblGrid>
      <w:tr>
        <w:tc>
          <w:tcPr>
            <w:tcW w:type="dxa" w:w="2400"/>
            <w:tcBorders>
              <w:top w:val="single" w:color="CBD5E0" w:sz="1"/>
              <w:left w:val="single" w:color="CBD5E0" w:sz="1"/>
              <w:bottom w:val="single" w:color="CBD5E0" w:sz="1"/>
              <w:right w:val="single" w:color="CBD5E0" w:sz="1"/>
            </w:tcBorders>
            <w:shd w:fill="1A2D4F" w:val="clear"/>
            <w:tcMar>
              <w:top w:type="dxa" w:w="100"/>
              <w:left w:type="dxa" w:w="160"/>
              <w:bottom w:type="dxa" w:w="100"/>
              <w:right w:type="dxa" w:w="160"/>
            </w:tcMar>
          </w:tcPr>
          <w:p>
            <w:r>
              <w:rPr>
                <w:rFonts w:ascii="Arial" w:cs="Arial" w:eastAsia="Arial" w:hAnsi="Arial"/>
                <w:b/>
                <w:bCs/>
                <w:color w:val="FFFFFF"/>
                <w:sz w:val="21"/>
                <w:szCs w:val="21"/>
              </w:rPr>
              <w:t xml:space="preserve">Assessment Component</w:t>
            </w:r>
          </w:p>
        </w:tc>
        <w:tc>
          <w:tcPr>
            <w:tcW w:type="dxa" w:w="1200"/>
            <w:tcBorders>
              <w:top w:val="single" w:color="CBD5E0" w:sz="1"/>
              <w:left w:val="single" w:color="CBD5E0" w:sz="1"/>
              <w:bottom w:val="single" w:color="CBD5E0" w:sz="1"/>
              <w:right w:val="single" w:color="CBD5E0" w:sz="1"/>
            </w:tcBorders>
            <w:shd w:fill="1A2D4F" w:val="clear"/>
            <w:tcMar>
              <w:top w:type="dxa" w:w="100"/>
              <w:left w:type="dxa" w:w="160"/>
              <w:bottom w:type="dxa" w:w="100"/>
              <w:right w:type="dxa" w:w="160"/>
            </w:tcMar>
          </w:tcPr>
          <w:p>
            <w:r>
              <w:rPr>
                <w:rFonts w:ascii="Arial" w:cs="Arial" w:eastAsia="Arial" w:hAnsi="Arial"/>
                <w:b/>
                <w:bCs/>
                <w:color w:val="FFFFFF"/>
                <w:sz w:val="21"/>
                <w:szCs w:val="21"/>
              </w:rPr>
              <w:t xml:space="preserve">Weight</w:t>
            </w:r>
          </w:p>
        </w:tc>
        <w:tc>
          <w:tcPr>
            <w:tcW w:type="dxa" w:w="3760"/>
            <w:tcBorders>
              <w:top w:val="single" w:color="CBD5E0" w:sz="1"/>
              <w:left w:val="single" w:color="CBD5E0" w:sz="1"/>
              <w:bottom w:val="single" w:color="CBD5E0" w:sz="1"/>
              <w:right w:val="single" w:color="CBD5E0" w:sz="1"/>
            </w:tcBorders>
            <w:shd w:fill="1A2D4F" w:val="clear"/>
            <w:tcMar>
              <w:top w:type="dxa" w:w="100"/>
              <w:left w:type="dxa" w:w="160"/>
              <w:bottom w:type="dxa" w:w="100"/>
              <w:right w:type="dxa" w:w="160"/>
            </w:tcMar>
          </w:tcPr>
          <w:p>
            <w:r>
              <w:rPr>
                <w:rFonts w:ascii="Arial" w:cs="Arial" w:eastAsia="Arial" w:hAnsi="Arial"/>
                <w:b/>
                <w:bCs/>
                <w:color w:val="FFFFFF"/>
                <w:sz w:val="21"/>
                <w:szCs w:val="21"/>
              </w:rPr>
              <w:t xml:space="preserve">Evaluation Criteria</w:t>
            </w:r>
          </w:p>
        </w:tc>
        <w:tc>
          <w:tcPr>
            <w:tcW w:type="dxa" w:w="2000"/>
            <w:tcBorders>
              <w:top w:val="single" w:color="CBD5E0" w:sz="1"/>
              <w:left w:val="single" w:color="CBD5E0" w:sz="1"/>
              <w:bottom w:val="single" w:color="CBD5E0" w:sz="1"/>
              <w:right w:val="single" w:color="CBD5E0" w:sz="1"/>
            </w:tcBorders>
            <w:shd w:fill="1A2D4F" w:val="clear"/>
            <w:tcMar>
              <w:top w:type="dxa" w:w="100"/>
              <w:left w:type="dxa" w:w="160"/>
              <w:bottom w:type="dxa" w:w="100"/>
              <w:right w:type="dxa" w:w="160"/>
            </w:tcMar>
          </w:tcPr>
          <w:p>
            <w:r>
              <w:rPr>
                <w:rFonts w:ascii="Arial" w:cs="Arial" w:eastAsia="Arial" w:hAnsi="Arial"/>
                <w:b/>
                <w:bCs/>
                <w:color w:val="FFFFFF"/>
                <w:sz w:val="21"/>
                <w:szCs w:val="21"/>
              </w:rPr>
              <w:t xml:space="preserve">Score (Lecturer)</w:t>
            </w:r>
          </w:p>
        </w:tc>
      </w:tr>
      <w:tr>
        <w:tc>
          <w:tcPr>
            <w:tcW w:type="dxa" w:w="2400"/>
            <w:tcBorders>
              <w:top w:val="single" w:color="CBD5E0" w:sz="1"/>
              <w:left w:val="single" w:color="CBD5E0" w:sz="1"/>
              <w:bottom w:val="single" w:color="CBD5E0" w:sz="1"/>
              <w:right w:val="single" w:color="CBD5E0" w:sz="1"/>
            </w:tcBorders>
            <w:shd w:fill="EBF0F7" w:val="clear"/>
            <w:tcMar>
              <w:top w:type="dxa" w:w="100"/>
              <w:left w:type="dxa" w:w="160"/>
              <w:bottom w:type="dxa" w:w="100"/>
              <w:right w:type="dxa" w:w="160"/>
            </w:tcMar>
          </w:tcPr>
          <w:p>
            <w:r>
              <w:rPr>
                <w:rFonts w:ascii="Arial" w:cs="Arial" w:eastAsia="Arial" w:hAnsi="Arial"/>
                <w:b/>
                <w:bCs/>
                <w:color w:val="1A2D4F"/>
                <w:sz w:val="21"/>
                <w:szCs w:val="21"/>
              </w:rPr>
              <w:t xml:space="preserve">Documentation Quality</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jc w:val="center"/>
            </w:pPr>
            <w:r>
              <w:rPr>
                <w:rFonts w:ascii="Arial" w:cs="Arial" w:eastAsia="Arial" w:hAnsi="Arial"/>
                <w:b/>
                <w:bCs/>
                <w:color w:val="2E5FA3"/>
                <w:sz w:val="21"/>
                <w:szCs w:val="21"/>
              </w:rPr>
              <w:t xml:space="preserve">25%</w:t>
            </w:r>
          </w:p>
        </w:tc>
        <w:tc>
          <w:tcPr>
            <w:tcW w:type="dxa" w:w="376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color w:val="2D3748"/>
                <w:sz w:val="20"/>
                <w:szCs w:val="20"/>
              </w:rPr>
              <w:t xml:space="preserve">Completeness, structure, clarity, and professional standard of all submitted documents. Consistency of terminology and cross-document accuracy.</w:t>
            </w:r>
          </w:p>
        </w:tc>
        <w:tc>
          <w:tcPr>
            <w:tcW w:type="dxa" w:w="2000"/>
            <w:tcBorders>
              <w:top w:val="single" w:color="CBD5E0" w:sz="1"/>
              <w:left w:val="single" w:color="CBD5E0" w:sz="1"/>
              <w:bottom w:val="single" w:color="CBD5E0" w:sz="1"/>
              <w:right w:val="single" w:color="CBD5E0" w:sz="1"/>
            </w:tcBorders>
            <w:shd w:fill="FFFFF0" w:val="clear"/>
            <w:tcMar>
              <w:top w:type="dxa" w:w="100"/>
              <w:left w:type="dxa" w:w="160"/>
              <w:bottom w:type="dxa" w:w="100"/>
              <w:right w:type="dxa" w:w="160"/>
            </w:tcMar>
          </w:tcPr>
          <w:p>
            <w:pPr>
              <w:jc w:val="center"/>
            </w:pPr>
            <w:r>
              <w:rPr>
                <w:rFonts w:ascii="Arial" w:cs="Arial" w:eastAsia="Arial" w:hAnsi="Arial"/>
                <w:i/>
                <w:iCs/>
                <w:color w:val="718096"/>
                <w:sz w:val="20"/>
                <w:szCs w:val="20"/>
              </w:rPr>
              <w:t xml:space="preserve">[ Lecturer ]</w:t>
            </w:r>
          </w:p>
        </w:tc>
      </w:tr>
      <w:tr>
        <w:tc>
          <w:tcPr>
            <w:tcW w:type="dxa" w:w="2400"/>
            <w:tcBorders>
              <w:top w:val="single" w:color="CBD5E0" w:sz="1"/>
              <w:left w:val="single" w:color="CBD5E0" w:sz="1"/>
              <w:bottom w:val="single" w:color="CBD5E0" w:sz="1"/>
              <w:right w:val="single" w:color="CBD5E0" w:sz="1"/>
            </w:tcBorders>
            <w:shd w:fill="EBF0F7" w:val="clear"/>
            <w:tcMar>
              <w:top w:type="dxa" w:w="100"/>
              <w:left w:type="dxa" w:w="160"/>
              <w:bottom w:type="dxa" w:w="100"/>
              <w:right w:type="dxa" w:w="160"/>
            </w:tcMar>
          </w:tcPr>
          <w:p>
            <w:r>
              <w:rPr>
                <w:rFonts w:ascii="Arial" w:cs="Arial" w:eastAsia="Arial" w:hAnsi="Arial"/>
                <w:b/>
                <w:bCs/>
                <w:color w:val="1A2D4F"/>
                <w:sz w:val="21"/>
                <w:szCs w:val="21"/>
              </w:rPr>
              <w:t xml:space="preserve">Technical Implementation</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jc w:val="center"/>
            </w:pPr>
            <w:r>
              <w:rPr>
                <w:rFonts w:ascii="Arial" w:cs="Arial" w:eastAsia="Arial" w:hAnsi="Arial"/>
                <w:b/>
                <w:bCs/>
                <w:color w:val="2E5FA3"/>
                <w:sz w:val="21"/>
                <w:szCs w:val="21"/>
              </w:rPr>
              <w:t xml:space="preserve">30%</w:t>
            </w:r>
          </w:p>
        </w:tc>
        <w:tc>
          <w:tcPr>
            <w:tcW w:type="dxa" w:w="376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color w:val="2D3748"/>
                <w:sz w:val="20"/>
                <w:szCs w:val="20"/>
              </w:rPr>
              <w:t xml:space="preserve">Thoroughness of the audit — coverage of all in-scope services, accuracy of severity ratings, quality of findings documentation, and evidence of tool usage.</w:t>
            </w:r>
          </w:p>
        </w:tc>
        <w:tc>
          <w:tcPr>
            <w:tcW w:type="dxa" w:w="2000"/>
            <w:tcBorders>
              <w:top w:val="single" w:color="CBD5E0" w:sz="1"/>
              <w:left w:val="single" w:color="CBD5E0" w:sz="1"/>
              <w:bottom w:val="single" w:color="CBD5E0" w:sz="1"/>
              <w:right w:val="single" w:color="CBD5E0" w:sz="1"/>
            </w:tcBorders>
            <w:shd w:fill="FFFFF0" w:val="clear"/>
            <w:tcMar>
              <w:top w:type="dxa" w:w="100"/>
              <w:left w:type="dxa" w:w="160"/>
              <w:bottom w:type="dxa" w:w="100"/>
              <w:right w:type="dxa" w:w="160"/>
            </w:tcMar>
          </w:tcPr>
          <w:p>
            <w:pPr>
              <w:jc w:val="center"/>
            </w:pPr>
            <w:r>
              <w:rPr>
                <w:rFonts w:ascii="Arial" w:cs="Arial" w:eastAsia="Arial" w:hAnsi="Arial"/>
                <w:i/>
                <w:iCs/>
                <w:color w:val="718096"/>
                <w:sz w:val="20"/>
                <w:szCs w:val="20"/>
              </w:rPr>
              <w:t xml:space="preserve">[ Lecturer ]</w:t>
            </w:r>
          </w:p>
        </w:tc>
      </w:tr>
      <w:tr>
        <w:tc>
          <w:tcPr>
            <w:tcW w:type="dxa" w:w="2400"/>
            <w:tcBorders>
              <w:top w:val="single" w:color="CBD5E0" w:sz="1"/>
              <w:left w:val="single" w:color="CBD5E0" w:sz="1"/>
              <w:bottom w:val="single" w:color="CBD5E0" w:sz="1"/>
              <w:right w:val="single" w:color="CBD5E0" w:sz="1"/>
            </w:tcBorders>
            <w:shd w:fill="EBF0F7" w:val="clear"/>
            <w:tcMar>
              <w:top w:type="dxa" w:w="100"/>
              <w:left w:type="dxa" w:w="160"/>
              <w:bottom w:type="dxa" w:w="100"/>
              <w:right w:type="dxa" w:w="160"/>
            </w:tcMar>
          </w:tcPr>
          <w:p>
            <w:r>
              <w:rPr>
                <w:rFonts w:ascii="Arial" w:cs="Arial" w:eastAsia="Arial" w:hAnsi="Arial"/>
                <w:b/>
                <w:bCs/>
                <w:color w:val="1A2D4F"/>
                <w:sz w:val="21"/>
                <w:szCs w:val="21"/>
              </w:rPr>
              <w:t xml:space="preserve">Remediation Effectiveness</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jc w:val="center"/>
            </w:pPr>
            <w:r>
              <w:rPr>
                <w:rFonts w:ascii="Arial" w:cs="Arial" w:eastAsia="Arial" w:hAnsi="Arial"/>
                <w:b/>
                <w:bCs/>
                <w:color w:val="2E5FA3"/>
                <w:sz w:val="21"/>
                <w:szCs w:val="21"/>
              </w:rPr>
              <w:t xml:space="preserve">20%</w:t>
            </w:r>
          </w:p>
        </w:tc>
        <w:tc>
          <w:tcPr>
            <w:tcW w:type="dxa" w:w="376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color w:val="2D3748"/>
                <w:sz w:val="20"/>
                <w:szCs w:val="20"/>
              </w:rPr>
              <w:t xml:space="preserve">Completeness of remediation — all identified issues addressed, remediation steps technically sound, evidence of fix implementation.</w:t>
            </w:r>
          </w:p>
        </w:tc>
        <w:tc>
          <w:tcPr>
            <w:tcW w:type="dxa" w:w="2000"/>
            <w:tcBorders>
              <w:top w:val="single" w:color="CBD5E0" w:sz="1"/>
              <w:left w:val="single" w:color="CBD5E0" w:sz="1"/>
              <w:bottom w:val="single" w:color="CBD5E0" w:sz="1"/>
              <w:right w:val="single" w:color="CBD5E0" w:sz="1"/>
            </w:tcBorders>
            <w:shd w:fill="FFFFF0" w:val="clear"/>
            <w:tcMar>
              <w:top w:type="dxa" w:w="100"/>
              <w:left w:type="dxa" w:w="160"/>
              <w:bottom w:type="dxa" w:w="100"/>
              <w:right w:type="dxa" w:w="160"/>
            </w:tcMar>
          </w:tcPr>
          <w:p>
            <w:pPr>
              <w:jc w:val="center"/>
            </w:pPr>
            <w:r>
              <w:rPr>
                <w:rFonts w:ascii="Arial" w:cs="Arial" w:eastAsia="Arial" w:hAnsi="Arial"/>
                <w:i/>
                <w:iCs/>
                <w:color w:val="718096"/>
                <w:sz w:val="20"/>
                <w:szCs w:val="20"/>
              </w:rPr>
              <w:t xml:space="preserve">[ Lecturer ]</w:t>
            </w:r>
          </w:p>
        </w:tc>
      </w:tr>
      <w:tr>
        <w:tc>
          <w:tcPr>
            <w:tcW w:type="dxa" w:w="2400"/>
            <w:tcBorders>
              <w:top w:val="single" w:color="CBD5E0" w:sz="1"/>
              <w:left w:val="single" w:color="CBD5E0" w:sz="1"/>
              <w:bottom w:val="single" w:color="CBD5E0" w:sz="1"/>
              <w:right w:val="single" w:color="CBD5E0" w:sz="1"/>
            </w:tcBorders>
            <w:shd w:fill="EBF0F7" w:val="clear"/>
            <w:tcMar>
              <w:top w:type="dxa" w:w="100"/>
              <w:left w:type="dxa" w:w="160"/>
              <w:bottom w:type="dxa" w:w="100"/>
              <w:right w:type="dxa" w:w="160"/>
            </w:tcMar>
          </w:tcPr>
          <w:p>
            <w:r>
              <w:rPr>
                <w:rFonts w:ascii="Arial" w:cs="Arial" w:eastAsia="Arial" w:hAnsi="Arial"/>
                <w:b/>
                <w:bCs/>
                <w:color w:val="1A2D4F"/>
                <w:sz w:val="21"/>
                <w:szCs w:val="21"/>
              </w:rPr>
              <w:t xml:space="preserve">Testing and Verification</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jc w:val="center"/>
            </w:pPr>
            <w:r>
              <w:rPr>
                <w:rFonts w:ascii="Arial" w:cs="Arial" w:eastAsia="Arial" w:hAnsi="Arial"/>
                <w:b/>
                <w:bCs/>
                <w:color w:val="2E5FA3"/>
                <w:sz w:val="21"/>
                <w:szCs w:val="21"/>
              </w:rPr>
              <w:t xml:space="preserve">15%</w:t>
            </w:r>
          </w:p>
        </w:tc>
        <w:tc>
          <w:tcPr>
            <w:tcW w:type="dxa" w:w="376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color w:val="2D3748"/>
                <w:sz w:val="20"/>
                <w:szCs w:val="20"/>
              </w:rPr>
              <w:t xml:space="preserve">Quality of verification methodology — re-scan coverage, confirmation of fix effectiveness, zero-regression confirmation, test case completeness.</w:t>
            </w:r>
          </w:p>
        </w:tc>
        <w:tc>
          <w:tcPr>
            <w:tcW w:type="dxa" w:w="2000"/>
            <w:tcBorders>
              <w:top w:val="single" w:color="CBD5E0" w:sz="1"/>
              <w:left w:val="single" w:color="CBD5E0" w:sz="1"/>
              <w:bottom w:val="single" w:color="CBD5E0" w:sz="1"/>
              <w:right w:val="single" w:color="CBD5E0" w:sz="1"/>
            </w:tcBorders>
            <w:shd w:fill="FFFFF0" w:val="clear"/>
            <w:tcMar>
              <w:top w:type="dxa" w:w="100"/>
              <w:left w:type="dxa" w:w="160"/>
              <w:bottom w:type="dxa" w:w="100"/>
              <w:right w:type="dxa" w:w="160"/>
            </w:tcMar>
          </w:tcPr>
          <w:p>
            <w:pPr>
              <w:jc w:val="center"/>
            </w:pPr>
            <w:r>
              <w:rPr>
                <w:rFonts w:ascii="Arial" w:cs="Arial" w:eastAsia="Arial" w:hAnsi="Arial"/>
                <w:i/>
                <w:iCs/>
                <w:color w:val="718096"/>
                <w:sz w:val="20"/>
                <w:szCs w:val="20"/>
              </w:rPr>
              <w:t xml:space="preserve">[ Lecturer ]</w:t>
            </w:r>
          </w:p>
        </w:tc>
      </w:tr>
      <w:tr>
        <w:tc>
          <w:tcPr>
            <w:tcW w:type="dxa" w:w="2400"/>
            <w:tcBorders>
              <w:top w:val="single" w:color="CBD5E0" w:sz="1"/>
              <w:left w:val="single" w:color="CBD5E0" w:sz="1"/>
              <w:bottom w:val="single" w:color="CBD5E0" w:sz="1"/>
              <w:right w:val="single" w:color="CBD5E0" w:sz="1"/>
            </w:tcBorders>
            <w:shd w:fill="EBF0F7" w:val="clear"/>
            <w:tcMar>
              <w:top w:type="dxa" w:w="100"/>
              <w:left w:type="dxa" w:w="160"/>
              <w:bottom w:type="dxa" w:w="100"/>
              <w:right w:type="dxa" w:w="160"/>
            </w:tcMar>
          </w:tcPr>
          <w:p>
            <w:r>
              <w:rPr>
                <w:rFonts w:ascii="Arial" w:cs="Arial" w:eastAsia="Arial" w:hAnsi="Arial"/>
                <w:b/>
                <w:bCs/>
                <w:color w:val="1A2D4F"/>
                <w:sz w:val="21"/>
                <w:szCs w:val="21"/>
              </w:rPr>
              <w:t xml:space="preserve">Presentation</w:t>
            </w:r>
          </w:p>
        </w:tc>
        <w:tc>
          <w:tcPr>
            <w:tcW w:type="dxa" w:w="120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jc w:val="center"/>
            </w:pPr>
            <w:r>
              <w:rPr>
                <w:rFonts w:ascii="Arial" w:cs="Arial" w:eastAsia="Arial" w:hAnsi="Arial"/>
                <w:b/>
                <w:bCs/>
                <w:color w:val="2E5FA3"/>
                <w:sz w:val="21"/>
                <w:szCs w:val="21"/>
              </w:rPr>
              <w:t xml:space="preserve">10%</w:t>
            </w:r>
          </w:p>
        </w:tc>
        <w:tc>
          <w:tcPr>
            <w:tcW w:type="dxa" w:w="376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color w:val="2D3748"/>
                <w:sz w:val="20"/>
                <w:szCs w:val="20"/>
              </w:rPr>
              <w:t xml:space="preserve">Clarity and professionalism of the final presentation — accurate reflection of documented findings, quality of delivery, and ability to answer technical questions.</w:t>
            </w:r>
          </w:p>
        </w:tc>
        <w:tc>
          <w:tcPr>
            <w:tcW w:type="dxa" w:w="2000"/>
            <w:tcBorders>
              <w:top w:val="single" w:color="CBD5E0" w:sz="1"/>
              <w:left w:val="single" w:color="CBD5E0" w:sz="1"/>
              <w:bottom w:val="single" w:color="CBD5E0" w:sz="1"/>
              <w:right w:val="single" w:color="CBD5E0" w:sz="1"/>
            </w:tcBorders>
            <w:shd w:fill="FFFFF0" w:val="clear"/>
            <w:tcMar>
              <w:top w:type="dxa" w:w="100"/>
              <w:left w:type="dxa" w:w="160"/>
              <w:bottom w:type="dxa" w:w="100"/>
              <w:right w:type="dxa" w:w="160"/>
            </w:tcMar>
          </w:tcPr>
          <w:p>
            <w:pPr>
              <w:jc w:val="center"/>
            </w:pPr>
            <w:r>
              <w:rPr>
                <w:rFonts w:ascii="Arial" w:cs="Arial" w:eastAsia="Arial" w:hAnsi="Arial"/>
                <w:i/>
                <w:iCs/>
                <w:color w:val="718096"/>
                <w:sz w:val="20"/>
                <w:szCs w:val="20"/>
              </w:rPr>
              <w:t xml:space="preserve">[ Lecturer ]</w:t>
            </w:r>
          </w:p>
        </w:tc>
      </w:tr>
      <w:tr>
        <w:tc>
          <w:tcPr>
            <w:tcW w:type="dxa" w:w="2400"/>
            <w:tcBorders>
              <w:top w:val="single" w:color="CBD5E0" w:sz="1"/>
              <w:left w:val="single" w:color="CBD5E0" w:sz="1"/>
              <w:bottom w:val="single" w:color="CBD5E0" w:sz="1"/>
              <w:right w:val="single" w:color="CBD5E0" w:sz="1"/>
            </w:tcBorders>
            <w:shd w:fill="1A2D4F" w:val="clear"/>
            <w:tcMar>
              <w:top w:type="dxa" w:w="100"/>
              <w:left w:type="dxa" w:w="160"/>
              <w:bottom w:type="dxa" w:w="100"/>
              <w:right w:type="dxa" w:w="160"/>
            </w:tcMar>
          </w:tcPr>
          <w:p>
            <w:r>
              <w:rPr>
                <w:rFonts w:ascii="Arial" w:cs="Arial" w:eastAsia="Arial" w:hAnsi="Arial"/>
                <w:b/>
                <w:bCs/>
                <w:color w:val="FFFFFF"/>
                <w:sz w:val="21"/>
                <w:szCs w:val="21"/>
              </w:rPr>
              <w:t xml:space="preserve">TOTAL</w:t>
            </w:r>
          </w:p>
        </w:tc>
        <w:tc>
          <w:tcPr>
            <w:tcW w:type="dxa" w:w="1200"/>
            <w:tcBorders>
              <w:top w:val="single" w:color="CBD5E0" w:sz="1"/>
              <w:left w:val="single" w:color="CBD5E0" w:sz="1"/>
              <w:bottom w:val="single" w:color="CBD5E0" w:sz="1"/>
              <w:right w:val="single" w:color="CBD5E0" w:sz="1"/>
            </w:tcBorders>
            <w:shd w:fill="1A2D4F" w:val="clear"/>
            <w:tcMar>
              <w:top w:type="dxa" w:w="100"/>
              <w:left w:type="dxa" w:w="160"/>
              <w:bottom w:type="dxa" w:w="100"/>
              <w:right w:type="dxa" w:w="160"/>
            </w:tcMar>
          </w:tcPr>
          <w:p>
            <w:pPr>
              <w:jc w:val="center"/>
            </w:pPr>
            <w:r>
              <w:rPr>
                <w:rFonts w:ascii="Arial" w:cs="Arial" w:eastAsia="Arial" w:hAnsi="Arial"/>
                <w:b/>
                <w:bCs/>
                <w:color w:val="FFFFFF"/>
                <w:sz w:val="21"/>
                <w:szCs w:val="21"/>
              </w:rPr>
              <w:t xml:space="preserve">100%</w:t>
            </w:r>
          </w:p>
        </w:tc>
        <w:tc>
          <w:tcPr>
            <w:tcW w:type="dxa" w:w="3760"/>
            <w:tcBorders>
              <w:top w:val="single" w:color="CBD5E0" w:sz="1"/>
              <w:left w:val="single" w:color="CBD5E0" w:sz="1"/>
              <w:bottom w:val="single" w:color="CBD5E0" w:sz="1"/>
              <w:right w:val="single" w:color="CBD5E0" w:sz="1"/>
            </w:tcBorders>
            <w:shd w:fill="1A2D4F" w:val="clear"/>
            <w:tcMar>
              <w:top w:type="dxa" w:w="100"/>
              <w:left w:type="dxa" w:w="160"/>
              <w:bottom w:type="dxa" w:w="100"/>
              <w:right w:type="dxa" w:w="160"/>
            </w:tcMar>
          </w:tcPr>
          <w:p>
            <w:r>
              <w:rPr>
                <w:rFonts w:ascii="Arial" w:cs="Arial" w:eastAsia="Arial" w:hAnsi="Arial"/>
                <w:color w:val="FFFFFF"/>
                <w:sz w:val="21"/>
                <w:szCs w:val="21"/>
              </w:rPr>
              <w:t xml:space="preserve"/>
            </w:r>
          </w:p>
        </w:tc>
        <w:tc>
          <w:tcPr>
            <w:tcW w:type="dxa" w:w="2000"/>
            <w:tcBorders>
              <w:top w:val="single" w:color="CBD5E0" w:sz="1"/>
              <w:left w:val="single" w:color="CBD5E0" w:sz="1"/>
              <w:bottom w:val="single" w:color="CBD5E0" w:sz="1"/>
              <w:right w:val="single" w:color="CBD5E0" w:sz="1"/>
            </w:tcBorders>
            <w:shd w:fill="FFFFF0" w:val="clear"/>
            <w:tcMar>
              <w:top w:type="dxa" w:w="100"/>
              <w:left w:type="dxa" w:w="160"/>
              <w:bottom w:type="dxa" w:w="100"/>
              <w:right w:type="dxa" w:w="160"/>
            </w:tcMar>
          </w:tcPr>
          <w:p>
            <w:pPr>
              <w:jc w:val="center"/>
            </w:pPr>
            <w:r>
              <w:rPr>
                <w:rFonts w:ascii="Arial" w:cs="Arial" w:eastAsia="Arial" w:hAnsi="Arial"/>
                <w:b/>
                <w:bCs/>
                <w:color w:val="975A16"/>
                <w:sz w:val="21"/>
                <w:szCs w:val="21"/>
              </w:rPr>
              <w:t xml:space="preserve">[ Lecturer ]</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975A16" w:sz="8"/>
              <w:bottom w:val="single" w:color="CBD5E0" w:sz="1"/>
              <w:right w:val="single" w:color="CBD5E0" w:sz="1"/>
            </w:tcBorders>
            <w:shd w:fill="FFFFF0" w:val="clear"/>
            <w:tcMar>
              <w:top w:type="dxa" w:w="160"/>
              <w:left w:type="dxa" w:w="240"/>
              <w:bottom w:type="dxa" w:w="160"/>
              <w:right w:type="dxa" w:w="240"/>
            </w:tcMar>
          </w:tcPr>
          <w:p>
            <w:r>
              <w:rPr>
                <w:rFonts w:ascii="Arial" w:cs="Arial" w:eastAsia="Arial" w:hAnsi="Arial"/>
                <w:i/>
                <w:iCs/>
                <w:color w:val="4A5568"/>
                <w:sz w:val="21"/>
                <w:szCs w:val="21"/>
              </w:rPr>
              <w:t xml:space="preserve">Sections 8 and 9 of this document are reserved for completion by the assessing lecturer following project submission. The team has provided all required project documentation and technical deliverables as specified in the assessment guidelines.</w:t>
            </w:r>
          </w:p>
        </w:tc>
      </w:tr>
    </w:tbl>
    <w:p>
      <w:pPr>
        <w:spacing w:after="120" w:before="0"/>
      </w:pPr>
      <w:r>
        <w:t xml:space="preserve"/>
      </w:r>
    </w:p>
    <w:sectPr>
      <w:headerReference w:type="default" r:id="rId7"/>
      <w:footerReference w:type="default" r:id="rId8"/>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D4F" w:val="clear"/>
          <w:tcMar>
            <w:top w:type="dxa" w:w="220"/>
            <w:left w:type="dxa" w:w="360"/>
            <w:bottom w:type="dxa" w:w="220"/>
            <w:right w:type="dxa" w:w="360"/>
          </w:tcMar>
        </w:tcPr>
        <w:p>
          <w:pPr>
            <w:spacing w:after="50" w:before="0"/>
          </w:pPr>
          <w:r>
            <w:rPr>
              <w:rFonts w:ascii="Georgia" w:cs="Georgia" w:eastAsia="Georgia" w:hAnsi="Georgia"/>
              <w:b/>
              <w:bCs/>
              <w:color w:val="FFFFFF"/>
              <w:sz w:val="34"/>
              <w:szCs w:val="34"/>
            </w:rPr>
            <w:t xml:space="preserve">Literature Review</w:t>
          </w:r>
        </w:p>
        <w:p>
          <w:pPr>
            <w:spacing w:after="0" w:before="0"/>
          </w:pPr>
          <w:r>
            <w:rPr>
              <w:rFonts w:ascii="Arial" w:cs="Arial" w:eastAsia="Arial" w:hAnsi="Arial"/>
              <w:i/>
              <w:iCs/>
              <w:color w:val="A0BAD8"/>
              <w:sz w:val="19"/>
              <w:szCs w:val="19"/>
            </w:rPr>
            <w:t xml:space="preserve">Security Misconfiguration Audit and Remediation</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abstractNum w:abstractNumId="4" w15:restartNumberingAfterBreak="0">
    <w:multiLevelType w:val="hybridMultilevel"/>
    <w:lvl w:ilvl="0" w15:tentative="1">
      <w:start w:val="1"/>
      <w:numFmt w:val="bullet"/>
      <w:lvlText w:val="–"/>
      <w:lvlJc w:val="left"/>
      <w:pPr>
        <w:ind w:left="96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2026-06-21T16:00:24.981Z</dcterms:created>
  <dcterms:modified xsi:type="dcterms:W3CDTF">2026-06-21T16:00:24.982Z</dcterms:modified>
</cp:coreProperties>
</file>

<file path=docProps/custom.xml><?xml version="1.0" encoding="utf-8"?>
<Properties xmlns="http://schemas.openxmlformats.org/officeDocument/2006/custom-properties" xmlns:vt="http://schemas.openxmlformats.org/officeDocument/2006/docPropsVTypes"/>
</file>