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5611C" w14:textId="30E83299" w:rsidR="00504E29" w:rsidRDefault="00504E29" w:rsidP="00504E29">
      <w:pPr>
        <w:spacing w:line="480" w:lineRule="auto"/>
        <w:jc w:val="center"/>
        <w:rPr>
          <w:b/>
          <w:bCs/>
          <w:sz w:val="24"/>
          <w:szCs w:val="24"/>
        </w:rPr>
      </w:pPr>
      <w:r>
        <w:rPr>
          <w:b/>
          <w:bCs/>
          <w:sz w:val="24"/>
          <w:szCs w:val="24"/>
        </w:rPr>
        <w:t>Manual of the Chinese Gen-Z Health Behavior Survey 2022-23</w:t>
      </w:r>
    </w:p>
    <w:p w14:paraId="02EC90BA" w14:textId="484E62E9" w:rsidR="00D65C2F" w:rsidRPr="00714902" w:rsidRDefault="008468D8" w:rsidP="003121B1">
      <w:pPr>
        <w:spacing w:line="480" w:lineRule="auto"/>
        <w:rPr>
          <w:b/>
          <w:bCs/>
          <w:sz w:val="24"/>
          <w:szCs w:val="24"/>
        </w:rPr>
      </w:pPr>
      <w:r w:rsidRPr="00714902">
        <w:rPr>
          <w:b/>
          <w:bCs/>
          <w:sz w:val="24"/>
          <w:szCs w:val="24"/>
        </w:rPr>
        <w:t>Sample Design and Sampling</w:t>
      </w:r>
    </w:p>
    <w:p w14:paraId="6D7E39C6" w14:textId="0A9BC565" w:rsidR="0017621D" w:rsidRPr="00714902" w:rsidRDefault="0017621D" w:rsidP="003121B1">
      <w:pPr>
        <w:spacing w:line="480" w:lineRule="auto"/>
        <w:rPr>
          <w:i/>
          <w:iCs/>
          <w:sz w:val="24"/>
          <w:szCs w:val="24"/>
        </w:rPr>
      </w:pPr>
      <w:r w:rsidRPr="00714902">
        <w:rPr>
          <w:i/>
          <w:iCs/>
          <w:sz w:val="24"/>
          <w:szCs w:val="24"/>
        </w:rPr>
        <w:t xml:space="preserve">Selection of </w:t>
      </w:r>
      <w:r w:rsidR="00373FE4" w:rsidRPr="00714902">
        <w:rPr>
          <w:i/>
          <w:iCs/>
          <w:sz w:val="24"/>
          <w:szCs w:val="24"/>
        </w:rPr>
        <w:t>ideal typical regions</w:t>
      </w:r>
    </w:p>
    <w:p w14:paraId="5F90B209" w14:textId="6D07AB06" w:rsidR="00D52282" w:rsidRPr="00714902" w:rsidRDefault="00F25D69" w:rsidP="003121B1">
      <w:pPr>
        <w:spacing w:line="480" w:lineRule="auto"/>
        <w:rPr>
          <w:sz w:val="24"/>
          <w:szCs w:val="24"/>
        </w:rPr>
      </w:pPr>
      <w:r>
        <w:rPr>
          <w:sz w:val="24"/>
          <w:szCs w:val="24"/>
        </w:rPr>
        <w:t xml:space="preserve">The Chinese </w:t>
      </w:r>
      <w:r w:rsidR="001817C4" w:rsidRPr="00714902">
        <w:rPr>
          <w:rFonts w:hint="eastAsia"/>
          <w:sz w:val="24"/>
          <w:szCs w:val="24"/>
        </w:rPr>
        <w:t>Gen</w:t>
      </w:r>
      <w:r>
        <w:rPr>
          <w:sz w:val="24"/>
          <w:szCs w:val="24"/>
        </w:rPr>
        <w:t>-</w:t>
      </w:r>
      <w:r w:rsidR="001817C4" w:rsidRPr="00714902">
        <w:rPr>
          <w:rFonts w:hint="eastAsia"/>
          <w:sz w:val="24"/>
          <w:szCs w:val="24"/>
        </w:rPr>
        <w:t>Z</w:t>
      </w:r>
      <w:r w:rsidR="008468D8" w:rsidRPr="00714902">
        <w:rPr>
          <w:sz w:val="24"/>
          <w:szCs w:val="24"/>
        </w:rPr>
        <w:t xml:space="preserve"> </w:t>
      </w:r>
      <w:r w:rsidR="00B32967" w:rsidRPr="00714902">
        <w:rPr>
          <w:sz w:val="24"/>
          <w:szCs w:val="24"/>
        </w:rPr>
        <w:t>Health Behavior</w:t>
      </w:r>
      <w:r w:rsidR="00306649">
        <w:rPr>
          <w:sz w:val="24"/>
          <w:szCs w:val="24"/>
        </w:rPr>
        <w:t xml:space="preserve"> Survey</w:t>
      </w:r>
      <w:r w:rsidR="008468D8" w:rsidRPr="00714902">
        <w:rPr>
          <w:sz w:val="24"/>
          <w:szCs w:val="24"/>
        </w:rPr>
        <w:t xml:space="preserve"> 2022-23 (hereafter referred to as the survey) </w:t>
      </w:r>
      <w:r w:rsidR="00650C20" w:rsidRPr="00714902">
        <w:rPr>
          <w:sz w:val="24"/>
          <w:szCs w:val="24"/>
        </w:rPr>
        <w:t xml:space="preserve">adopted </w:t>
      </w:r>
      <w:r w:rsidR="008468D8" w:rsidRPr="00714902">
        <w:rPr>
          <w:sz w:val="24"/>
          <w:szCs w:val="24"/>
        </w:rPr>
        <w:t>a multiple stage complex s</w:t>
      </w:r>
      <w:r w:rsidR="00650C20" w:rsidRPr="00714902">
        <w:rPr>
          <w:sz w:val="24"/>
          <w:szCs w:val="24"/>
        </w:rPr>
        <w:t>ampling</w:t>
      </w:r>
      <w:r w:rsidR="008468D8" w:rsidRPr="00714902">
        <w:rPr>
          <w:sz w:val="24"/>
          <w:szCs w:val="24"/>
        </w:rPr>
        <w:t xml:space="preserve"> combining quota sampling and cluster sampling at the SSU-level. The largest sampling frame of China was divided into four compartments with an intent to qualitatively saturate the ideal types of Chinese regions. This consideration was motivated the insights into the cultural diversity</w:t>
      </w:r>
      <w:r w:rsidR="002377AB" w:rsidRPr="00714902">
        <w:rPr>
          <w:sz w:val="24"/>
          <w:szCs w:val="24"/>
        </w:rPr>
        <w:t xml:space="preserve"> and homogeneity</w:t>
      </w:r>
      <w:r w:rsidR="008468D8" w:rsidRPr="00714902">
        <w:rPr>
          <w:sz w:val="24"/>
          <w:szCs w:val="24"/>
        </w:rPr>
        <w:t xml:space="preserve"> of the country and the epidemic status of electronic cigarette use. </w:t>
      </w:r>
      <w:r w:rsidR="00407914" w:rsidRPr="00714902">
        <w:rPr>
          <w:sz w:val="24"/>
          <w:szCs w:val="24"/>
        </w:rPr>
        <w:t xml:space="preserve">The survey intentionally left </w:t>
      </w:r>
      <w:r w:rsidR="00A510E2" w:rsidRPr="00714902">
        <w:rPr>
          <w:sz w:val="24"/>
          <w:szCs w:val="24"/>
        </w:rPr>
        <w:t>aside</w:t>
      </w:r>
      <w:r w:rsidR="00407914" w:rsidRPr="00714902">
        <w:rPr>
          <w:sz w:val="24"/>
          <w:szCs w:val="24"/>
        </w:rPr>
        <w:t xml:space="preserve"> the regions that are culturally heterogenous with </w:t>
      </w:r>
      <w:r w:rsidR="00A41BE5" w:rsidRPr="00714902">
        <w:rPr>
          <w:sz w:val="24"/>
          <w:szCs w:val="24"/>
        </w:rPr>
        <w:t xml:space="preserve">a </w:t>
      </w:r>
      <w:r w:rsidR="00407914" w:rsidRPr="00714902">
        <w:rPr>
          <w:sz w:val="24"/>
          <w:szCs w:val="24"/>
        </w:rPr>
        <w:t>non-Sinitic heritage</w:t>
      </w:r>
      <w:r w:rsidR="00A41BE5" w:rsidRPr="00714902">
        <w:rPr>
          <w:sz w:val="24"/>
          <w:szCs w:val="24"/>
        </w:rPr>
        <w:t>, including Tibet, Xinjiang,</w:t>
      </w:r>
      <w:r w:rsidR="00A11C34" w:rsidRPr="00714902">
        <w:rPr>
          <w:sz w:val="24"/>
          <w:szCs w:val="24"/>
        </w:rPr>
        <w:t xml:space="preserve"> Manchuria,</w:t>
      </w:r>
      <w:r w:rsidR="00A41BE5" w:rsidRPr="00714902">
        <w:rPr>
          <w:sz w:val="24"/>
          <w:szCs w:val="24"/>
        </w:rPr>
        <w:t xml:space="preserve"> </w:t>
      </w:r>
      <w:r w:rsidR="00AD0BCC" w:rsidRPr="00714902">
        <w:rPr>
          <w:sz w:val="24"/>
          <w:szCs w:val="24"/>
        </w:rPr>
        <w:t>Inner Mongolia, and the Muslim belt</w:t>
      </w:r>
      <w:r w:rsidR="00CE24FB" w:rsidRPr="00714902">
        <w:rPr>
          <w:sz w:val="24"/>
          <w:szCs w:val="24"/>
        </w:rPr>
        <w:t xml:space="preserve"> of northwestern China</w:t>
      </w:r>
      <w:r w:rsidR="00A41BE5" w:rsidRPr="00714902">
        <w:rPr>
          <w:sz w:val="24"/>
          <w:szCs w:val="24"/>
        </w:rPr>
        <w:t xml:space="preserve">. </w:t>
      </w:r>
    </w:p>
    <w:p w14:paraId="6051F90A" w14:textId="52C50B86" w:rsidR="00C45A0B" w:rsidRPr="00714902" w:rsidRDefault="007C15C2" w:rsidP="003121B1">
      <w:pPr>
        <w:spacing w:line="480" w:lineRule="auto"/>
        <w:rPr>
          <w:sz w:val="24"/>
          <w:szCs w:val="24"/>
        </w:rPr>
      </w:pPr>
      <w:r w:rsidRPr="00714902">
        <w:rPr>
          <w:sz w:val="24"/>
          <w:szCs w:val="24"/>
        </w:rPr>
        <w:t xml:space="preserve">As a result, the survey selected four ideal typical regions: the Yangtze Delta, the Pearl Delta, northern inland, and southern inland. These four regions constitute the contour of China proper east to the Hu Line, where over 90% of the population reside. </w:t>
      </w:r>
      <w:r w:rsidR="0057087F" w:rsidRPr="00714902">
        <w:rPr>
          <w:sz w:val="24"/>
          <w:szCs w:val="24"/>
        </w:rPr>
        <w:t xml:space="preserve">The two Deltas were chosen </w:t>
      </w:r>
      <w:r w:rsidR="00997F46" w:rsidRPr="00714902">
        <w:rPr>
          <w:sz w:val="24"/>
          <w:szCs w:val="24"/>
        </w:rPr>
        <w:t>and over-sampled</w:t>
      </w:r>
      <w:r w:rsidR="00D96C29" w:rsidRPr="00714902">
        <w:rPr>
          <w:sz w:val="24"/>
          <w:szCs w:val="24"/>
        </w:rPr>
        <w:t xml:space="preserve"> </w:t>
      </w:r>
      <w:r w:rsidR="00997F46" w:rsidRPr="00714902">
        <w:rPr>
          <w:sz w:val="24"/>
          <w:szCs w:val="24"/>
        </w:rPr>
        <w:t>because</w:t>
      </w:r>
      <w:r w:rsidR="0057087F" w:rsidRPr="00714902">
        <w:rPr>
          <w:sz w:val="24"/>
          <w:szCs w:val="24"/>
        </w:rPr>
        <w:t xml:space="preserve"> e-cigarette use and its market share in China first penetrate into major metropolis and the more developed coastal urban areas. </w:t>
      </w:r>
      <w:r w:rsidR="00D96C29" w:rsidRPr="00714902">
        <w:rPr>
          <w:sz w:val="24"/>
          <w:szCs w:val="24"/>
        </w:rPr>
        <w:t>The two Deltas are the most developed and modernized regions of China sitting on eastern and southern coasts. The indigenous population of Yangtze Delta speak Wu and follow the distinct Wu-</w:t>
      </w:r>
      <w:proofErr w:type="spellStart"/>
      <w:r w:rsidR="00D96C29" w:rsidRPr="00714902">
        <w:rPr>
          <w:sz w:val="24"/>
          <w:szCs w:val="24"/>
        </w:rPr>
        <w:t>yue</w:t>
      </w:r>
      <w:proofErr w:type="spellEnd"/>
      <w:r w:rsidR="00D96C29" w:rsidRPr="00714902">
        <w:rPr>
          <w:sz w:val="24"/>
          <w:szCs w:val="24"/>
        </w:rPr>
        <w:t xml:space="preserve"> cultur</w:t>
      </w:r>
      <w:r w:rsidR="00C45A0B" w:rsidRPr="00714902">
        <w:rPr>
          <w:sz w:val="24"/>
          <w:szCs w:val="24"/>
        </w:rPr>
        <w:t>e</w:t>
      </w:r>
      <w:r w:rsidR="00D96C29" w:rsidRPr="00714902">
        <w:rPr>
          <w:sz w:val="24"/>
          <w:szCs w:val="24"/>
        </w:rPr>
        <w:t>. The indigenous population of Pearl Delta are culturally Nam-</w:t>
      </w:r>
      <w:proofErr w:type="spellStart"/>
      <w:r w:rsidR="00D96C29" w:rsidRPr="00714902">
        <w:rPr>
          <w:sz w:val="24"/>
          <w:szCs w:val="24"/>
        </w:rPr>
        <w:t>yue</w:t>
      </w:r>
      <w:proofErr w:type="spellEnd"/>
      <w:r w:rsidR="00D96C29" w:rsidRPr="00714902">
        <w:rPr>
          <w:sz w:val="24"/>
          <w:szCs w:val="24"/>
        </w:rPr>
        <w:t xml:space="preserve"> residents who speak Cantonese. </w:t>
      </w:r>
      <w:r w:rsidR="000E6CBD" w:rsidRPr="00714902">
        <w:rPr>
          <w:sz w:val="24"/>
          <w:szCs w:val="24"/>
        </w:rPr>
        <w:t>Meanwhile, i</w:t>
      </w:r>
      <w:r w:rsidR="00D96C29" w:rsidRPr="00714902">
        <w:rPr>
          <w:sz w:val="24"/>
          <w:szCs w:val="24"/>
        </w:rPr>
        <w:t xml:space="preserve">nland China has a relatively lower level of socioeconomic development and more traditional organization of social structure. The sample from northern inland </w:t>
      </w:r>
      <w:r w:rsidR="00C45A0B" w:rsidRPr="00714902">
        <w:rPr>
          <w:sz w:val="24"/>
          <w:szCs w:val="24"/>
        </w:rPr>
        <w:t>draws from</w:t>
      </w:r>
      <w:r w:rsidR="00D96C29" w:rsidRPr="00714902">
        <w:rPr>
          <w:sz w:val="24"/>
          <w:szCs w:val="24"/>
        </w:rPr>
        <w:t xml:space="preserve"> the </w:t>
      </w:r>
      <w:r w:rsidR="00D96C29" w:rsidRPr="00714902">
        <w:rPr>
          <w:sz w:val="24"/>
          <w:szCs w:val="24"/>
        </w:rPr>
        <w:lastRenderedPageBreak/>
        <w:t xml:space="preserve">Mandarin-speaking population, whereas the sample from southern inland </w:t>
      </w:r>
      <w:r w:rsidR="00615D99">
        <w:rPr>
          <w:sz w:val="24"/>
          <w:szCs w:val="24"/>
        </w:rPr>
        <w:t xml:space="preserve">mainly </w:t>
      </w:r>
      <w:r w:rsidR="00C45A0B" w:rsidRPr="00714902">
        <w:rPr>
          <w:sz w:val="24"/>
          <w:szCs w:val="24"/>
        </w:rPr>
        <w:t>targets</w:t>
      </w:r>
      <w:r w:rsidR="00D96C29" w:rsidRPr="00714902">
        <w:rPr>
          <w:sz w:val="24"/>
          <w:szCs w:val="24"/>
        </w:rPr>
        <w:t xml:space="preserve"> the speakers of Southwestern Mandarin. </w:t>
      </w:r>
      <w:r w:rsidR="008D70C3" w:rsidRPr="00714902">
        <w:rPr>
          <w:sz w:val="24"/>
          <w:szCs w:val="24"/>
        </w:rPr>
        <w:t>One should note that a significant number of respondents were from migrant families or were out-of-state students, hence the survey use</w:t>
      </w:r>
      <w:r w:rsidR="000E6CBD" w:rsidRPr="00714902">
        <w:rPr>
          <w:sz w:val="24"/>
          <w:szCs w:val="24"/>
        </w:rPr>
        <w:t>d</w:t>
      </w:r>
      <w:r w:rsidR="008D70C3" w:rsidRPr="00714902">
        <w:rPr>
          <w:sz w:val="24"/>
          <w:szCs w:val="24"/>
        </w:rPr>
        <w:t xml:space="preserve"> cultural ideal</w:t>
      </w:r>
      <w:r w:rsidR="006B7AFE" w:rsidRPr="00714902">
        <w:rPr>
          <w:sz w:val="24"/>
          <w:szCs w:val="24"/>
        </w:rPr>
        <w:t xml:space="preserve"> types</w:t>
      </w:r>
      <w:r w:rsidR="008D70C3" w:rsidRPr="00714902">
        <w:rPr>
          <w:sz w:val="24"/>
          <w:szCs w:val="24"/>
        </w:rPr>
        <w:t xml:space="preserve"> to characterize the sampled region</w:t>
      </w:r>
      <w:r w:rsidR="006B7AFE" w:rsidRPr="00714902">
        <w:rPr>
          <w:sz w:val="24"/>
          <w:szCs w:val="24"/>
        </w:rPr>
        <w:t>s</w:t>
      </w:r>
      <w:r w:rsidR="008D70C3" w:rsidRPr="00714902">
        <w:rPr>
          <w:sz w:val="24"/>
          <w:szCs w:val="24"/>
        </w:rPr>
        <w:t>, not the individual respondents.</w:t>
      </w:r>
    </w:p>
    <w:p w14:paraId="43CBF1B0" w14:textId="7CB87163" w:rsidR="008468D8" w:rsidRPr="00714902" w:rsidRDefault="008D70C3" w:rsidP="003121B1">
      <w:pPr>
        <w:spacing w:line="480" w:lineRule="auto"/>
        <w:rPr>
          <w:sz w:val="24"/>
          <w:szCs w:val="24"/>
        </w:rPr>
      </w:pPr>
      <w:r w:rsidRPr="00714902">
        <w:rPr>
          <w:sz w:val="24"/>
          <w:szCs w:val="24"/>
        </w:rPr>
        <w:t xml:space="preserve">Because each region is an ideal type of </w:t>
      </w:r>
      <w:r w:rsidR="00204D22" w:rsidRPr="00714902">
        <w:rPr>
          <w:sz w:val="24"/>
          <w:szCs w:val="24"/>
        </w:rPr>
        <w:t>a distinct</w:t>
      </w:r>
      <w:r w:rsidRPr="00714902">
        <w:rPr>
          <w:sz w:val="24"/>
          <w:szCs w:val="24"/>
        </w:rPr>
        <w:t xml:space="preserve"> Sinitic culture, in order to minimize the internal variance within each region, t</w:t>
      </w:r>
      <w:r w:rsidR="00C45A0B" w:rsidRPr="00714902">
        <w:rPr>
          <w:sz w:val="24"/>
          <w:szCs w:val="24"/>
        </w:rPr>
        <w:t xml:space="preserve">he choice of municipals in each region </w:t>
      </w:r>
      <w:r w:rsidRPr="00714902">
        <w:rPr>
          <w:sz w:val="24"/>
          <w:szCs w:val="24"/>
        </w:rPr>
        <w:t>was</w:t>
      </w:r>
      <w:r w:rsidR="00C45A0B" w:rsidRPr="00714902">
        <w:rPr>
          <w:sz w:val="24"/>
          <w:szCs w:val="24"/>
        </w:rPr>
        <w:t xml:space="preserve"> also motivated by their classical cultural ideal-typicality rather than a probability-based frame</w:t>
      </w:r>
      <w:r w:rsidRPr="00714902">
        <w:rPr>
          <w:sz w:val="24"/>
          <w:szCs w:val="24"/>
        </w:rPr>
        <w:t>.</w:t>
      </w:r>
      <w:r w:rsidR="00C45A0B" w:rsidRPr="00714902">
        <w:rPr>
          <w:sz w:val="24"/>
          <w:szCs w:val="24"/>
        </w:rPr>
        <w:t xml:space="preserve"> </w:t>
      </w:r>
      <w:r w:rsidR="00204D22" w:rsidRPr="00714902">
        <w:rPr>
          <w:sz w:val="24"/>
          <w:szCs w:val="24"/>
        </w:rPr>
        <w:t>However</w:t>
      </w:r>
      <w:r w:rsidRPr="00714902">
        <w:rPr>
          <w:sz w:val="24"/>
          <w:szCs w:val="24"/>
        </w:rPr>
        <w:t>,</w:t>
      </w:r>
      <w:r w:rsidR="00C45A0B" w:rsidRPr="00714902">
        <w:rPr>
          <w:sz w:val="24"/>
          <w:szCs w:val="24"/>
        </w:rPr>
        <w:t xml:space="preserve"> the survey imposed a quota</w:t>
      </w:r>
      <w:r w:rsidR="00752860" w:rsidRPr="00714902">
        <w:rPr>
          <w:sz w:val="24"/>
          <w:szCs w:val="24"/>
        </w:rPr>
        <w:t xml:space="preserve"> in each region</w:t>
      </w:r>
      <w:r w:rsidR="00C45A0B" w:rsidRPr="00714902">
        <w:rPr>
          <w:sz w:val="24"/>
          <w:szCs w:val="24"/>
        </w:rPr>
        <w:t xml:space="preserve"> </w:t>
      </w:r>
      <w:r w:rsidR="00752860" w:rsidRPr="00714902">
        <w:rPr>
          <w:sz w:val="24"/>
          <w:szCs w:val="24"/>
        </w:rPr>
        <w:t>that</w:t>
      </w:r>
      <w:r w:rsidR="00C45A0B" w:rsidRPr="00714902">
        <w:rPr>
          <w:sz w:val="24"/>
          <w:szCs w:val="24"/>
        </w:rPr>
        <w:t xml:space="preserve"> require</w:t>
      </w:r>
      <w:r w:rsidR="00752860" w:rsidRPr="00714902">
        <w:rPr>
          <w:sz w:val="24"/>
          <w:szCs w:val="24"/>
        </w:rPr>
        <w:t>s</w:t>
      </w:r>
      <w:r w:rsidR="00C45A0B" w:rsidRPr="00714902">
        <w:rPr>
          <w:sz w:val="24"/>
          <w:szCs w:val="24"/>
        </w:rPr>
        <w:t xml:space="preserve"> at least one municipality to </w:t>
      </w:r>
      <w:r w:rsidR="00535E86" w:rsidRPr="00714902">
        <w:rPr>
          <w:sz w:val="24"/>
          <w:szCs w:val="24"/>
        </w:rPr>
        <w:t>sample</w:t>
      </w:r>
      <w:r w:rsidR="00253E42" w:rsidRPr="00714902">
        <w:rPr>
          <w:sz w:val="24"/>
          <w:szCs w:val="24"/>
        </w:rPr>
        <w:t xml:space="preserve"> rural districts exclusively</w:t>
      </w:r>
      <w:r w:rsidR="00C45A0B" w:rsidRPr="00714902">
        <w:rPr>
          <w:sz w:val="24"/>
          <w:szCs w:val="24"/>
        </w:rPr>
        <w:t xml:space="preserve">. In Yangtze Delta, </w:t>
      </w:r>
      <w:r w:rsidR="002967FC" w:rsidRPr="00714902">
        <w:rPr>
          <w:sz w:val="24"/>
          <w:szCs w:val="24"/>
        </w:rPr>
        <w:t>four</w:t>
      </w:r>
      <w:r w:rsidR="00C45A0B" w:rsidRPr="00714902">
        <w:rPr>
          <w:sz w:val="24"/>
          <w:szCs w:val="24"/>
        </w:rPr>
        <w:t xml:space="preserve"> municipalities within the </w:t>
      </w:r>
      <w:r w:rsidR="00066669" w:rsidRPr="00714902">
        <w:rPr>
          <w:sz w:val="24"/>
          <w:szCs w:val="24"/>
        </w:rPr>
        <w:t>koine</w:t>
      </w:r>
      <w:r w:rsidR="00C45A0B" w:rsidRPr="00714902">
        <w:rPr>
          <w:sz w:val="24"/>
          <w:szCs w:val="24"/>
        </w:rPr>
        <w:t xml:space="preserve"> </w:t>
      </w:r>
      <w:proofErr w:type="spellStart"/>
      <w:r w:rsidR="00C45A0B" w:rsidRPr="00714902">
        <w:rPr>
          <w:sz w:val="24"/>
          <w:szCs w:val="24"/>
        </w:rPr>
        <w:t>Taihu</w:t>
      </w:r>
      <w:proofErr w:type="spellEnd"/>
      <w:r w:rsidR="00C45A0B" w:rsidRPr="00714902">
        <w:rPr>
          <w:sz w:val="24"/>
          <w:szCs w:val="24"/>
        </w:rPr>
        <w:t xml:space="preserve"> Wu cultural sphere </w:t>
      </w:r>
      <w:r w:rsidRPr="00714902">
        <w:rPr>
          <w:sz w:val="24"/>
          <w:szCs w:val="24"/>
        </w:rPr>
        <w:t>were</w:t>
      </w:r>
      <w:r w:rsidR="00C45A0B" w:rsidRPr="00714902">
        <w:rPr>
          <w:sz w:val="24"/>
          <w:szCs w:val="24"/>
        </w:rPr>
        <w:t xml:space="preserve"> selected: Shanghai (urban), </w:t>
      </w:r>
      <w:r w:rsidR="00D9063D" w:rsidRPr="00714902">
        <w:rPr>
          <w:sz w:val="24"/>
          <w:szCs w:val="24"/>
        </w:rPr>
        <w:t>Suzhou</w:t>
      </w:r>
      <w:r w:rsidR="00C45A0B" w:rsidRPr="00714902">
        <w:rPr>
          <w:sz w:val="24"/>
          <w:szCs w:val="24"/>
        </w:rPr>
        <w:t xml:space="preserve"> (urban), Hangzhou (urban</w:t>
      </w:r>
      <w:r w:rsidR="002967FC" w:rsidRPr="00714902">
        <w:rPr>
          <w:sz w:val="24"/>
          <w:szCs w:val="24"/>
        </w:rPr>
        <w:t xml:space="preserve"> and rural</w:t>
      </w:r>
      <w:r w:rsidR="00C45A0B" w:rsidRPr="00714902">
        <w:rPr>
          <w:sz w:val="24"/>
          <w:szCs w:val="24"/>
        </w:rPr>
        <w:t xml:space="preserve">), </w:t>
      </w:r>
      <w:proofErr w:type="spellStart"/>
      <w:r w:rsidR="00C45A0B" w:rsidRPr="00714902">
        <w:rPr>
          <w:sz w:val="24"/>
          <w:szCs w:val="24"/>
        </w:rPr>
        <w:t>Yuyao</w:t>
      </w:r>
      <w:proofErr w:type="spellEnd"/>
      <w:r w:rsidR="00C45A0B" w:rsidRPr="00714902">
        <w:rPr>
          <w:sz w:val="24"/>
          <w:szCs w:val="24"/>
        </w:rPr>
        <w:t xml:space="preserve"> (rural). In Pearl Delta, three municipalities that traditionally speak the standard </w:t>
      </w:r>
      <w:proofErr w:type="spellStart"/>
      <w:r w:rsidRPr="00714902">
        <w:rPr>
          <w:sz w:val="24"/>
          <w:szCs w:val="24"/>
        </w:rPr>
        <w:t>G</w:t>
      </w:r>
      <w:r w:rsidRPr="00714902">
        <w:rPr>
          <w:rFonts w:hint="eastAsia"/>
          <w:sz w:val="24"/>
          <w:szCs w:val="24"/>
        </w:rPr>
        <w:t>wongfu</w:t>
      </w:r>
      <w:proofErr w:type="spellEnd"/>
      <w:r w:rsidRPr="00714902">
        <w:rPr>
          <w:sz w:val="24"/>
          <w:szCs w:val="24"/>
        </w:rPr>
        <w:t xml:space="preserve"> Cantonese were selected: </w:t>
      </w:r>
      <w:r w:rsidR="00D9063D" w:rsidRPr="00714902">
        <w:rPr>
          <w:sz w:val="24"/>
          <w:szCs w:val="24"/>
        </w:rPr>
        <w:t>Guangzhou</w:t>
      </w:r>
      <w:r w:rsidRPr="00714902">
        <w:rPr>
          <w:sz w:val="24"/>
          <w:szCs w:val="24"/>
        </w:rPr>
        <w:t xml:space="preserve"> (urban), Shenzhen (urban), Zhongshan (rural). In southern inland, three municipalities were selected: Chongqing (urban), Chengdu (urban and rural), </w:t>
      </w:r>
      <w:r w:rsidR="007A4732">
        <w:rPr>
          <w:sz w:val="24"/>
          <w:szCs w:val="24"/>
        </w:rPr>
        <w:t>Kunming</w:t>
      </w:r>
      <w:r w:rsidRPr="00714902">
        <w:rPr>
          <w:sz w:val="24"/>
          <w:szCs w:val="24"/>
        </w:rPr>
        <w:t xml:space="preserve"> (rural). In northern inland, three municipalities were selected: Beijing (urban), Taiyuan (urban), </w:t>
      </w:r>
      <w:proofErr w:type="spellStart"/>
      <w:r w:rsidRPr="00714902">
        <w:rPr>
          <w:sz w:val="24"/>
          <w:szCs w:val="24"/>
        </w:rPr>
        <w:t>Longkow</w:t>
      </w:r>
      <w:proofErr w:type="spellEnd"/>
      <w:r w:rsidRPr="00714902">
        <w:rPr>
          <w:sz w:val="24"/>
          <w:szCs w:val="24"/>
        </w:rPr>
        <w:t xml:space="preserve"> (rural). </w:t>
      </w:r>
    </w:p>
    <w:p w14:paraId="396DD738" w14:textId="26ED3DDA" w:rsidR="002229F8" w:rsidRPr="00714902" w:rsidRDefault="00C84937" w:rsidP="003121B1">
      <w:pPr>
        <w:spacing w:line="480" w:lineRule="auto"/>
        <w:rPr>
          <w:i/>
          <w:iCs/>
          <w:sz w:val="24"/>
          <w:szCs w:val="24"/>
        </w:rPr>
      </w:pPr>
      <w:r w:rsidRPr="00714902">
        <w:rPr>
          <w:i/>
          <w:iCs/>
          <w:sz w:val="24"/>
          <w:szCs w:val="24"/>
        </w:rPr>
        <w:t>Selection of schools and classes</w:t>
      </w:r>
    </w:p>
    <w:p w14:paraId="24C8E71F" w14:textId="77777777" w:rsidR="00C84937" w:rsidRPr="00714902" w:rsidRDefault="00C84937" w:rsidP="003121B1">
      <w:pPr>
        <w:spacing w:line="480" w:lineRule="auto"/>
        <w:rPr>
          <w:sz w:val="24"/>
          <w:szCs w:val="24"/>
        </w:rPr>
      </w:pPr>
      <w:r w:rsidRPr="00714902">
        <w:rPr>
          <w:sz w:val="24"/>
          <w:szCs w:val="24"/>
        </w:rPr>
        <w:t xml:space="preserve">Because the four regions were selected based on cultural ideal types instead of a probability-based frame, so we may not consider the four regions or the chosen municipalities therein as PSUs. Instead, the sub-municipal districts were treated as the PSUs for probability-based cluster sampling. Within each PSU, the SSUs were schools. The survey imposed a minimum quota so that each region will sample each of the four types of SSU: high school, vocational high school, </w:t>
      </w:r>
      <w:r w:rsidRPr="00714902">
        <w:rPr>
          <w:sz w:val="24"/>
          <w:szCs w:val="24"/>
        </w:rPr>
        <w:lastRenderedPageBreak/>
        <w:t xml:space="preserve">college, vocational college. Next, within each SSU, about two classes of similar sizes were sampled as tertiary sampling units. This is determined by </w:t>
      </w:r>
      <m:oMath>
        <m:r>
          <w:rPr>
            <w:rFonts w:ascii="Cambria Math" w:hAnsi="Cambria Math"/>
            <w:sz w:val="24"/>
            <w:szCs w:val="24"/>
          </w:rPr>
          <m:t>n</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a</m:t>
            </m:r>
            <m:r>
              <m:rPr>
                <m:sty m:val="p"/>
              </m:rPr>
              <w:rPr>
                <w:rFonts w:ascii="Cambria Math" w:hAnsi="Cambria Math"/>
                <w:sz w:val="24"/>
                <w:szCs w:val="24"/>
              </w:rPr>
              <m:t>/2</m:t>
            </m:r>
          </m:sub>
          <m:sup>
            <m:r>
              <m:rPr>
                <m:sty m:val="p"/>
              </m:rPr>
              <w:rPr>
                <w:rFonts w:ascii="Cambria Math" w:hAnsi="Cambria Math"/>
                <w:sz w:val="24"/>
                <w:szCs w:val="24"/>
              </w:rPr>
              <m:t>2</m:t>
            </m:r>
          </m:sup>
        </m:sSubSup>
        <m:r>
          <w:rPr>
            <w:rFonts w:ascii="Cambria Math" w:hAnsi="Cambria Math"/>
            <w:sz w:val="24"/>
            <w:szCs w:val="24"/>
          </w:rPr>
          <m:t>v</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sz w:val="24"/>
                <w:szCs w:val="24"/>
              </w:rPr>
              <m:t>2</m:t>
            </m:r>
          </m:sup>
        </m:sSup>
      </m:oMath>
      <w:r w:rsidRPr="00714902">
        <w:rPr>
          <w:sz w:val="24"/>
          <w:szCs w:val="24"/>
        </w:rPr>
        <w:t xml:space="preserve"> to achieve a desired CI of 95%, with variance=0.2, </w:t>
      </w:r>
      <m:oMath>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sz w:val="24"/>
                <w:szCs w:val="24"/>
              </w:rPr>
              <m:t>2</m:t>
            </m:r>
          </m:sup>
        </m:sSup>
      </m:oMath>
      <w:r w:rsidRPr="00714902">
        <w:rPr>
          <w:sz w:val="24"/>
          <w:szCs w:val="24"/>
        </w:rPr>
        <w:t xml:space="preserve">=0.2, n≈2. Questionnaires were administered to all consenting students in the tertiary sampling units. </w:t>
      </w:r>
    </w:p>
    <w:p w14:paraId="7B582D27" w14:textId="6A59854E" w:rsidR="00714591" w:rsidRPr="00714902" w:rsidRDefault="00C84937" w:rsidP="003121B1">
      <w:pPr>
        <w:spacing w:line="480" w:lineRule="auto"/>
        <w:rPr>
          <w:sz w:val="24"/>
          <w:szCs w:val="24"/>
        </w:rPr>
      </w:pPr>
      <w:r w:rsidRPr="00714902">
        <w:rPr>
          <w:sz w:val="24"/>
          <w:szCs w:val="24"/>
        </w:rPr>
        <w:t>The survey invited identified school coordinators from all four types of schools in each region. Once agreed to participate, the survey requested two to three classes to participate. Invitation was sent through email, WeChat, phone, and personal communication. A second follow-up was forwarded one week after the first invitation.</w:t>
      </w:r>
      <w:r w:rsidR="00C36F95" w:rsidRPr="00714902">
        <w:rPr>
          <w:sz w:val="24"/>
          <w:szCs w:val="24"/>
        </w:rPr>
        <w:t xml:space="preserve"> </w:t>
      </w:r>
      <w:r w:rsidR="001B14A6" w:rsidRPr="00714902">
        <w:rPr>
          <w:sz w:val="24"/>
          <w:szCs w:val="24"/>
        </w:rPr>
        <w:t>Advance letters</w:t>
      </w:r>
      <w:r w:rsidR="008A57D0" w:rsidRPr="00714902">
        <w:rPr>
          <w:sz w:val="24"/>
          <w:szCs w:val="24"/>
        </w:rPr>
        <w:t xml:space="preserve"> in Chinese</w:t>
      </w:r>
      <w:r w:rsidR="001B14A6" w:rsidRPr="00714902">
        <w:rPr>
          <w:sz w:val="24"/>
          <w:szCs w:val="24"/>
        </w:rPr>
        <w:t xml:space="preserve"> were sent to eligible school coordinates and teachers</w:t>
      </w:r>
      <w:r w:rsidR="00E71851" w:rsidRPr="00714902">
        <w:rPr>
          <w:sz w:val="24"/>
          <w:szCs w:val="24"/>
        </w:rPr>
        <w:t xml:space="preserve"> explaining the purpose, ethics approval, fund source, and compensation of the survey.</w:t>
      </w:r>
      <w:r w:rsidRPr="00714902">
        <w:rPr>
          <w:sz w:val="24"/>
          <w:szCs w:val="24"/>
        </w:rPr>
        <w:t xml:space="preserve"> Non-response rate originated mainly from two stages: PSU not participating, insufficient SSUs participating. </w:t>
      </w:r>
      <w:r w:rsidR="00714591" w:rsidRPr="00714902">
        <w:rPr>
          <w:sz w:val="24"/>
          <w:szCs w:val="24"/>
        </w:rPr>
        <w:t>Non-response rate from PSUs and SSUs were estimated in Table 2.</w:t>
      </w:r>
    </w:p>
    <w:p w14:paraId="2E0433C3" w14:textId="54B52899" w:rsidR="002229F8" w:rsidRPr="00714902" w:rsidRDefault="00C84937" w:rsidP="003121B1">
      <w:pPr>
        <w:spacing w:line="480" w:lineRule="auto"/>
        <w:rPr>
          <w:sz w:val="24"/>
          <w:szCs w:val="24"/>
        </w:rPr>
      </w:pPr>
      <w:r w:rsidRPr="00714902">
        <w:rPr>
          <w:sz w:val="24"/>
          <w:szCs w:val="24"/>
        </w:rPr>
        <w:t xml:space="preserve">At the level of individual respondent, non-response rate was very low. The students were informed with consent statement and were free to withdraw at any stage during the self-administered survey. The survey deployed several strategies to minimize non-response rate at the individual-level. First, the survey was distributed by school coordinators and teachers in class. Students were also able to complete the survey at another time at their convenience. Second, most questionnaires were distributed electronically via a secured link. </w:t>
      </w:r>
      <w:r w:rsidR="00714591" w:rsidRPr="00714902">
        <w:rPr>
          <w:sz w:val="24"/>
          <w:szCs w:val="24"/>
        </w:rPr>
        <w:t>Besides the informed consent statement, t</w:t>
      </w:r>
      <w:r w:rsidRPr="00714902">
        <w:rPr>
          <w:sz w:val="24"/>
          <w:szCs w:val="24"/>
        </w:rPr>
        <w:t xml:space="preserve">he heading of the questionnaire informed </w:t>
      </w:r>
      <w:r w:rsidR="00714591" w:rsidRPr="00714902">
        <w:rPr>
          <w:sz w:val="24"/>
          <w:szCs w:val="24"/>
        </w:rPr>
        <w:t>the students that their teachers cannot access to any information collected in the questionnaire and of how the data will be stored securely. Third, hand-writing was minimized in paper questionnaire with only one item that required hand-writing fill-in.</w:t>
      </w:r>
    </w:p>
    <w:p w14:paraId="44E3697F" w14:textId="16FE01C9" w:rsidR="00926CBB" w:rsidRPr="00714902" w:rsidRDefault="00926CBB" w:rsidP="003121B1">
      <w:pPr>
        <w:spacing w:line="480" w:lineRule="auto"/>
        <w:rPr>
          <w:sz w:val="24"/>
          <w:szCs w:val="24"/>
        </w:rPr>
      </w:pPr>
      <w:r w:rsidRPr="00714902">
        <w:rPr>
          <w:sz w:val="24"/>
          <w:szCs w:val="24"/>
        </w:rPr>
        <w:lastRenderedPageBreak/>
        <w:t>After the survey, due to the lower participation from Inland South, the survey further invited one</w:t>
      </w:r>
      <w:r w:rsidR="000C29C1" w:rsidRPr="00714902">
        <w:rPr>
          <w:sz w:val="24"/>
          <w:szCs w:val="24"/>
        </w:rPr>
        <w:t xml:space="preserve"> </w:t>
      </w:r>
      <w:r w:rsidRPr="00714902">
        <w:rPr>
          <w:sz w:val="24"/>
          <w:szCs w:val="24"/>
        </w:rPr>
        <w:t>school</w:t>
      </w:r>
      <w:r w:rsidR="000C29C1" w:rsidRPr="00714902">
        <w:rPr>
          <w:sz w:val="24"/>
          <w:szCs w:val="24"/>
        </w:rPr>
        <w:t xml:space="preserve"> from urban Chengdu</w:t>
      </w:r>
      <w:r w:rsidRPr="00714902">
        <w:rPr>
          <w:sz w:val="24"/>
          <w:szCs w:val="24"/>
        </w:rPr>
        <w:t xml:space="preserve"> to participate. The survey also reinforced the Inland South sample with 100 respondents </w:t>
      </w:r>
      <w:r w:rsidR="000C29C1" w:rsidRPr="00714902">
        <w:rPr>
          <w:sz w:val="24"/>
          <w:szCs w:val="24"/>
        </w:rPr>
        <w:t xml:space="preserve">from Chongqing who were </w:t>
      </w:r>
      <w:r w:rsidRPr="00714902">
        <w:rPr>
          <w:sz w:val="24"/>
          <w:szCs w:val="24"/>
        </w:rPr>
        <w:t>sampled by a</w:t>
      </w:r>
      <w:r w:rsidR="000C29C1" w:rsidRPr="00714902">
        <w:rPr>
          <w:sz w:val="24"/>
          <w:szCs w:val="24"/>
        </w:rPr>
        <w:t>n outsource</w:t>
      </w:r>
      <w:r w:rsidRPr="00714902">
        <w:rPr>
          <w:sz w:val="24"/>
          <w:szCs w:val="24"/>
        </w:rPr>
        <w:t xml:space="preserve"> survey company. </w:t>
      </w:r>
    </w:p>
    <w:p w14:paraId="0203CCDA" w14:textId="4CA717EC" w:rsidR="00D9063D" w:rsidRPr="00714902" w:rsidRDefault="00D9063D" w:rsidP="003121B1">
      <w:pPr>
        <w:spacing w:line="480" w:lineRule="auto"/>
        <w:rPr>
          <w:sz w:val="24"/>
          <w:szCs w:val="24"/>
        </w:rPr>
      </w:pPr>
      <w:r w:rsidRPr="00714902">
        <w:rPr>
          <w:sz w:val="24"/>
          <w:szCs w:val="24"/>
        </w:rPr>
        <w:t xml:space="preserve">Table 1. </w:t>
      </w:r>
      <w:r w:rsidR="00CE1B51" w:rsidRPr="00714902">
        <w:rPr>
          <w:sz w:val="24"/>
          <w:szCs w:val="24"/>
        </w:rPr>
        <w:t>Characteristics of the f</w:t>
      </w:r>
      <w:r w:rsidRPr="00714902">
        <w:rPr>
          <w:sz w:val="24"/>
          <w:szCs w:val="24"/>
        </w:rPr>
        <w:t xml:space="preserve">our </w:t>
      </w:r>
      <w:r w:rsidR="00CE1B51" w:rsidRPr="00714902">
        <w:rPr>
          <w:sz w:val="24"/>
          <w:szCs w:val="24"/>
        </w:rPr>
        <w:t>r</w:t>
      </w:r>
      <w:r w:rsidRPr="00714902">
        <w:rPr>
          <w:sz w:val="24"/>
          <w:szCs w:val="24"/>
        </w:rPr>
        <w:t>egions</w:t>
      </w:r>
    </w:p>
    <w:tbl>
      <w:tblPr>
        <w:tblStyle w:val="TableGrid"/>
        <w:tblW w:w="0" w:type="auto"/>
        <w:tblBorders>
          <w:insideV w:val="none" w:sz="0" w:space="0" w:color="auto"/>
        </w:tblBorders>
        <w:tblLook w:val="04A0" w:firstRow="1" w:lastRow="0" w:firstColumn="1" w:lastColumn="0" w:noHBand="0" w:noVBand="1"/>
      </w:tblPr>
      <w:tblGrid>
        <w:gridCol w:w="1525"/>
        <w:gridCol w:w="2250"/>
        <w:gridCol w:w="1260"/>
        <w:gridCol w:w="1980"/>
        <w:gridCol w:w="990"/>
        <w:gridCol w:w="1345"/>
      </w:tblGrid>
      <w:tr w:rsidR="004150B6" w:rsidRPr="00714902" w14:paraId="2F2B1C71" w14:textId="4689816F" w:rsidTr="008612DE">
        <w:tc>
          <w:tcPr>
            <w:tcW w:w="1525" w:type="dxa"/>
            <w:tcBorders>
              <w:bottom w:val="single" w:sz="4" w:space="0" w:color="auto"/>
            </w:tcBorders>
          </w:tcPr>
          <w:p w14:paraId="66D6677D" w14:textId="2F634ED3" w:rsidR="00D03875" w:rsidRPr="00714902" w:rsidRDefault="002C6D03" w:rsidP="00697918">
            <w:pPr>
              <w:spacing w:line="276" w:lineRule="auto"/>
              <w:rPr>
                <w:sz w:val="24"/>
                <w:szCs w:val="24"/>
              </w:rPr>
            </w:pPr>
            <w:r w:rsidRPr="00714902">
              <w:rPr>
                <w:sz w:val="24"/>
                <w:szCs w:val="24"/>
              </w:rPr>
              <w:t>Ideal-typical regions</w:t>
            </w:r>
          </w:p>
        </w:tc>
        <w:tc>
          <w:tcPr>
            <w:tcW w:w="2250" w:type="dxa"/>
            <w:tcBorders>
              <w:bottom w:val="single" w:sz="4" w:space="0" w:color="auto"/>
            </w:tcBorders>
          </w:tcPr>
          <w:p w14:paraId="4A4D0B44" w14:textId="77777777" w:rsidR="00D03875" w:rsidRPr="00714902" w:rsidRDefault="00D03875" w:rsidP="00697918">
            <w:pPr>
              <w:spacing w:line="276" w:lineRule="auto"/>
              <w:rPr>
                <w:sz w:val="24"/>
                <w:szCs w:val="24"/>
              </w:rPr>
            </w:pPr>
            <w:r w:rsidRPr="00714902">
              <w:rPr>
                <w:sz w:val="24"/>
                <w:szCs w:val="24"/>
              </w:rPr>
              <w:t>Sampled municipalities</w:t>
            </w:r>
          </w:p>
        </w:tc>
        <w:tc>
          <w:tcPr>
            <w:tcW w:w="1260" w:type="dxa"/>
            <w:tcBorders>
              <w:bottom w:val="single" w:sz="4" w:space="0" w:color="auto"/>
            </w:tcBorders>
          </w:tcPr>
          <w:p w14:paraId="08B60CEB" w14:textId="77777777" w:rsidR="00D03875" w:rsidRPr="00714902" w:rsidRDefault="00D03875" w:rsidP="00697918">
            <w:pPr>
              <w:spacing w:line="276" w:lineRule="auto"/>
              <w:rPr>
                <w:sz w:val="24"/>
                <w:szCs w:val="24"/>
              </w:rPr>
            </w:pPr>
            <w:r w:rsidRPr="00714902">
              <w:rPr>
                <w:sz w:val="24"/>
                <w:szCs w:val="24"/>
              </w:rPr>
              <w:t>Culture</w:t>
            </w:r>
          </w:p>
        </w:tc>
        <w:tc>
          <w:tcPr>
            <w:tcW w:w="1980" w:type="dxa"/>
            <w:tcBorders>
              <w:bottom w:val="single" w:sz="4" w:space="0" w:color="auto"/>
            </w:tcBorders>
          </w:tcPr>
          <w:p w14:paraId="4B1A4559" w14:textId="77777777" w:rsidR="00D03875" w:rsidRPr="00714902" w:rsidRDefault="00D03875" w:rsidP="00697918">
            <w:pPr>
              <w:spacing w:line="276" w:lineRule="auto"/>
              <w:rPr>
                <w:sz w:val="24"/>
                <w:szCs w:val="24"/>
              </w:rPr>
            </w:pPr>
            <w:r w:rsidRPr="00714902">
              <w:rPr>
                <w:sz w:val="24"/>
                <w:szCs w:val="24"/>
              </w:rPr>
              <w:t>Main language</w:t>
            </w:r>
          </w:p>
        </w:tc>
        <w:tc>
          <w:tcPr>
            <w:tcW w:w="990" w:type="dxa"/>
            <w:tcBorders>
              <w:bottom w:val="single" w:sz="4" w:space="0" w:color="auto"/>
            </w:tcBorders>
          </w:tcPr>
          <w:p w14:paraId="49E34717" w14:textId="607C81A8" w:rsidR="00D03875" w:rsidRPr="00714902" w:rsidRDefault="00D03875" w:rsidP="00697918">
            <w:pPr>
              <w:spacing w:line="276" w:lineRule="auto"/>
              <w:rPr>
                <w:sz w:val="24"/>
                <w:szCs w:val="24"/>
              </w:rPr>
            </w:pPr>
            <w:r w:rsidRPr="00714902">
              <w:rPr>
                <w:sz w:val="24"/>
                <w:szCs w:val="24"/>
              </w:rPr>
              <w:t>GDP per capita in 2021</w:t>
            </w:r>
          </w:p>
        </w:tc>
        <w:tc>
          <w:tcPr>
            <w:tcW w:w="1345" w:type="dxa"/>
            <w:tcBorders>
              <w:bottom w:val="single" w:sz="4" w:space="0" w:color="auto"/>
            </w:tcBorders>
          </w:tcPr>
          <w:p w14:paraId="24376740" w14:textId="1928EB3C" w:rsidR="00D03875" w:rsidRPr="00714902" w:rsidRDefault="00E9410B" w:rsidP="00697918">
            <w:pPr>
              <w:spacing w:line="276" w:lineRule="auto"/>
              <w:rPr>
                <w:sz w:val="24"/>
                <w:szCs w:val="24"/>
              </w:rPr>
            </w:pPr>
            <w:r>
              <w:rPr>
                <w:sz w:val="24"/>
                <w:szCs w:val="24"/>
              </w:rPr>
              <w:t>Population</w:t>
            </w:r>
            <w:r w:rsidR="0099386B" w:rsidRPr="00714902">
              <w:rPr>
                <w:sz w:val="24"/>
                <w:szCs w:val="24"/>
              </w:rPr>
              <w:t xml:space="preserve"> 202</w:t>
            </w:r>
            <w:r>
              <w:rPr>
                <w:sz w:val="24"/>
                <w:szCs w:val="24"/>
              </w:rPr>
              <w:t>0</w:t>
            </w:r>
          </w:p>
        </w:tc>
      </w:tr>
      <w:tr w:rsidR="004150B6" w:rsidRPr="00714902" w14:paraId="568776F0" w14:textId="2A93AF9E" w:rsidTr="008612DE">
        <w:tc>
          <w:tcPr>
            <w:tcW w:w="1525" w:type="dxa"/>
            <w:tcBorders>
              <w:bottom w:val="nil"/>
            </w:tcBorders>
          </w:tcPr>
          <w:p w14:paraId="23EEE1C9" w14:textId="72DF5161" w:rsidR="006734A2" w:rsidRPr="00714902" w:rsidRDefault="00D03875" w:rsidP="00697918">
            <w:pPr>
              <w:spacing w:line="276" w:lineRule="auto"/>
              <w:rPr>
                <w:sz w:val="24"/>
                <w:szCs w:val="24"/>
              </w:rPr>
            </w:pPr>
            <w:r w:rsidRPr="00714902">
              <w:rPr>
                <w:sz w:val="24"/>
                <w:szCs w:val="24"/>
              </w:rPr>
              <w:t>Yangtze Delta</w:t>
            </w:r>
          </w:p>
        </w:tc>
        <w:tc>
          <w:tcPr>
            <w:tcW w:w="2250" w:type="dxa"/>
            <w:tcBorders>
              <w:bottom w:val="nil"/>
            </w:tcBorders>
          </w:tcPr>
          <w:p w14:paraId="1E58A17B" w14:textId="7538D583" w:rsidR="00D03875" w:rsidRPr="00714902" w:rsidRDefault="00D03875" w:rsidP="00697918">
            <w:pPr>
              <w:spacing w:line="276" w:lineRule="auto"/>
              <w:rPr>
                <w:sz w:val="24"/>
                <w:szCs w:val="24"/>
              </w:rPr>
            </w:pPr>
            <w:r w:rsidRPr="00714902">
              <w:rPr>
                <w:sz w:val="24"/>
                <w:szCs w:val="24"/>
              </w:rPr>
              <w:t xml:space="preserve">Shanghai, Suzhou, Hangzhou, </w:t>
            </w:r>
            <w:proofErr w:type="spellStart"/>
            <w:r w:rsidRPr="00714902">
              <w:rPr>
                <w:sz w:val="24"/>
                <w:szCs w:val="24"/>
              </w:rPr>
              <w:t>Yuyao</w:t>
            </w:r>
            <w:proofErr w:type="spellEnd"/>
          </w:p>
        </w:tc>
        <w:tc>
          <w:tcPr>
            <w:tcW w:w="1260" w:type="dxa"/>
            <w:tcBorders>
              <w:bottom w:val="nil"/>
            </w:tcBorders>
          </w:tcPr>
          <w:p w14:paraId="4937ADC5" w14:textId="77777777" w:rsidR="00D03875" w:rsidRPr="00714902" w:rsidRDefault="00D03875" w:rsidP="00697918">
            <w:pPr>
              <w:spacing w:line="276" w:lineRule="auto"/>
              <w:rPr>
                <w:sz w:val="24"/>
                <w:szCs w:val="24"/>
              </w:rPr>
            </w:pPr>
            <w:r w:rsidRPr="00714902">
              <w:rPr>
                <w:sz w:val="24"/>
                <w:szCs w:val="24"/>
              </w:rPr>
              <w:t>Wu</w:t>
            </w:r>
          </w:p>
        </w:tc>
        <w:tc>
          <w:tcPr>
            <w:tcW w:w="1980" w:type="dxa"/>
            <w:tcBorders>
              <w:bottom w:val="nil"/>
            </w:tcBorders>
          </w:tcPr>
          <w:p w14:paraId="78124058" w14:textId="24118E6C" w:rsidR="00D03875" w:rsidRPr="00714902" w:rsidRDefault="00D03875" w:rsidP="00697918">
            <w:pPr>
              <w:spacing w:line="276" w:lineRule="auto"/>
              <w:rPr>
                <w:sz w:val="24"/>
                <w:szCs w:val="24"/>
              </w:rPr>
            </w:pPr>
            <w:r w:rsidRPr="00714902">
              <w:rPr>
                <w:sz w:val="24"/>
                <w:szCs w:val="24"/>
              </w:rPr>
              <w:t>Wu</w:t>
            </w:r>
            <w:r w:rsidR="009207BE" w:rsidRPr="00714902">
              <w:rPr>
                <w:sz w:val="24"/>
                <w:szCs w:val="24"/>
              </w:rPr>
              <w:t>-</w:t>
            </w:r>
            <w:proofErr w:type="spellStart"/>
            <w:r w:rsidR="009207BE" w:rsidRPr="00714902">
              <w:rPr>
                <w:sz w:val="24"/>
                <w:szCs w:val="24"/>
              </w:rPr>
              <w:t>Taihu</w:t>
            </w:r>
            <w:proofErr w:type="spellEnd"/>
            <w:r w:rsidR="009207BE" w:rsidRPr="00714902">
              <w:rPr>
                <w:sz w:val="24"/>
                <w:szCs w:val="24"/>
              </w:rPr>
              <w:t xml:space="preserve"> dialect</w:t>
            </w:r>
          </w:p>
        </w:tc>
        <w:tc>
          <w:tcPr>
            <w:tcW w:w="990" w:type="dxa"/>
            <w:tcBorders>
              <w:bottom w:val="nil"/>
            </w:tcBorders>
          </w:tcPr>
          <w:p w14:paraId="6F3B71BE" w14:textId="0C8C8A00" w:rsidR="00D03875" w:rsidRPr="00714902" w:rsidRDefault="004150B6" w:rsidP="00697918">
            <w:pPr>
              <w:spacing w:line="276" w:lineRule="auto"/>
              <w:rPr>
                <w:sz w:val="24"/>
                <w:szCs w:val="24"/>
              </w:rPr>
            </w:pPr>
            <w:r w:rsidRPr="00714902">
              <w:rPr>
                <w:rFonts w:hint="eastAsia"/>
                <w:sz w:val="24"/>
                <w:szCs w:val="24"/>
              </w:rPr>
              <w:t>$</w:t>
            </w:r>
            <w:r w:rsidRPr="00714902">
              <w:rPr>
                <w:sz w:val="24"/>
                <w:szCs w:val="24"/>
              </w:rPr>
              <w:t>1</w:t>
            </w:r>
            <w:r w:rsidR="004E1F53" w:rsidRPr="00714902">
              <w:rPr>
                <w:sz w:val="24"/>
                <w:szCs w:val="24"/>
              </w:rPr>
              <w:t>8</w:t>
            </w:r>
            <w:r w:rsidR="00D03875" w:rsidRPr="00714902">
              <w:rPr>
                <w:sz w:val="24"/>
                <w:szCs w:val="24"/>
              </w:rPr>
              <w:t>k</w:t>
            </w:r>
          </w:p>
        </w:tc>
        <w:tc>
          <w:tcPr>
            <w:tcW w:w="1345" w:type="dxa"/>
            <w:tcBorders>
              <w:bottom w:val="nil"/>
            </w:tcBorders>
          </w:tcPr>
          <w:p w14:paraId="7EC5094D" w14:textId="11F7FC4B" w:rsidR="00D03875" w:rsidRPr="00714902" w:rsidRDefault="0080473B" w:rsidP="00697918">
            <w:pPr>
              <w:spacing w:line="276" w:lineRule="auto"/>
              <w:rPr>
                <w:sz w:val="24"/>
                <w:szCs w:val="24"/>
              </w:rPr>
            </w:pPr>
            <w:r>
              <w:rPr>
                <w:sz w:val="24"/>
                <w:szCs w:val="24"/>
              </w:rPr>
              <w:t>39.4</w:t>
            </w:r>
            <w:r w:rsidR="000A5084" w:rsidRPr="00714902">
              <w:rPr>
                <w:sz w:val="24"/>
                <w:szCs w:val="24"/>
              </w:rPr>
              <w:t>Mil</w:t>
            </w:r>
          </w:p>
        </w:tc>
      </w:tr>
      <w:tr w:rsidR="004150B6" w:rsidRPr="00714902" w14:paraId="641D674E" w14:textId="5F6E98F7" w:rsidTr="008612DE">
        <w:tc>
          <w:tcPr>
            <w:tcW w:w="1525" w:type="dxa"/>
            <w:tcBorders>
              <w:top w:val="nil"/>
              <w:bottom w:val="nil"/>
            </w:tcBorders>
          </w:tcPr>
          <w:p w14:paraId="25EACB34" w14:textId="6B791751" w:rsidR="006734A2" w:rsidRPr="00714902" w:rsidRDefault="00D03875" w:rsidP="00697918">
            <w:pPr>
              <w:spacing w:line="276" w:lineRule="auto"/>
              <w:rPr>
                <w:sz w:val="24"/>
                <w:szCs w:val="24"/>
              </w:rPr>
            </w:pPr>
            <w:r w:rsidRPr="00714902">
              <w:rPr>
                <w:sz w:val="24"/>
                <w:szCs w:val="24"/>
              </w:rPr>
              <w:t>Pearl Delta</w:t>
            </w:r>
          </w:p>
        </w:tc>
        <w:tc>
          <w:tcPr>
            <w:tcW w:w="2250" w:type="dxa"/>
            <w:tcBorders>
              <w:top w:val="nil"/>
              <w:bottom w:val="nil"/>
            </w:tcBorders>
          </w:tcPr>
          <w:p w14:paraId="3B824097" w14:textId="77777777" w:rsidR="00D03875" w:rsidRPr="00714902" w:rsidRDefault="00D03875" w:rsidP="00697918">
            <w:pPr>
              <w:spacing w:line="276" w:lineRule="auto"/>
              <w:rPr>
                <w:sz w:val="24"/>
                <w:szCs w:val="24"/>
              </w:rPr>
            </w:pPr>
            <w:r w:rsidRPr="00714902">
              <w:rPr>
                <w:sz w:val="24"/>
                <w:szCs w:val="24"/>
              </w:rPr>
              <w:t>Guangzhou, Shenzhen, Zhongshan</w:t>
            </w:r>
          </w:p>
        </w:tc>
        <w:tc>
          <w:tcPr>
            <w:tcW w:w="1260" w:type="dxa"/>
            <w:tcBorders>
              <w:top w:val="nil"/>
              <w:bottom w:val="nil"/>
            </w:tcBorders>
          </w:tcPr>
          <w:p w14:paraId="0EF4AB43" w14:textId="77777777" w:rsidR="00D03875" w:rsidRPr="00714902" w:rsidRDefault="00D03875" w:rsidP="00697918">
            <w:pPr>
              <w:spacing w:line="276" w:lineRule="auto"/>
              <w:rPr>
                <w:sz w:val="24"/>
                <w:szCs w:val="24"/>
              </w:rPr>
            </w:pPr>
            <w:r w:rsidRPr="00714902">
              <w:rPr>
                <w:sz w:val="24"/>
                <w:szCs w:val="24"/>
              </w:rPr>
              <w:t>Cantonese</w:t>
            </w:r>
          </w:p>
        </w:tc>
        <w:tc>
          <w:tcPr>
            <w:tcW w:w="1980" w:type="dxa"/>
            <w:tcBorders>
              <w:top w:val="nil"/>
              <w:bottom w:val="nil"/>
            </w:tcBorders>
          </w:tcPr>
          <w:p w14:paraId="5B5AEAFA" w14:textId="4B6DDCC6" w:rsidR="00D03875" w:rsidRPr="00714902" w:rsidRDefault="00D03875" w:rsidP="00697918">
            <w:pPr>
              <w:spacing w:line="276" w:lineRule="auto"/>
              <w:rPr>
                <w:sz w:val="24"/>
                <w:szCs w:val="24"/>
              </w:rPr>
            </w:pPr>
            <w:r w:rsidRPr="00714902">
              <w:rPr>
                <w:sz w:val="24"/>
                <w:szCs w:val="24"/>
              </w:rPr>
              <w:t>Cantonese</w:t>
            </w:r>
            <w:r w:rsidR="009207BE" w:rsidRPr="00714902">
              <w:rPr>
                <w:sz w:val="24"/>
                <w:szCs w:val="24"/>
              </w:rPr>
              <w:t>-</w:t>
            </w:r>
            <w:proofErr w:type="spellStart"/>
            <w:r w:rsidR="009207BE" w:rsidRPr="00714902">
              <w:rPr>
                <w:sz w:val="24"/>
                <w:szCs w:val="24"/>
              </w:rPr>
              <w:t>Gwongfu</w:t>
            </w:r>
            <w:proofErr w:type="spellEnd"/>
            <w:r w:rsidR="009207BE" w:rsidRPr="00714902">
              <w:rPr>
                <w:sz w:val="24"/>
                <w:szCs w:val="24"/>
              </w:rPr>
              <w:t xml:space="preserve"> dialect</w:t>
            </w:r>
          </w:p>
        </w:tc>
        <w:tc>
          <w:tcPr>
            <w:tcW w:w="990" w:type="dxa"/>
            <w:tcBorders>
              <w:top w:val="nil"/>
              <w:bottom w:val="nil"/>
            </w:tcBorders>
          </w:tcPr>
          <w:p w14:paraId="49F55728" w14:textId="53C9E7CB" w:rsidR="00D03875" w:rsidRPr="00714902" w:rsidRDefault="00505C61" w:rsidP="00697918">
            <w:pPr>
              <w:spacing w:line="276" w:lineRule="auto"/>
              <w:rPr>
                <w:sz w:val="24"/>
                <w:szCs w:val="24"/>
              </w:rPr>
            </w:pPr>
            <w:r w:rsidRPr="00714902">
              <w:rPr>
                <w:sz w:val="24"/>
                <w:szCs w:val="24"/>
              </w:rPr>
              <w:t>$19.7</w:t>
            </w:r>
            <w:r w:rsidR="00D03875" w:rsidRPr="00714902">
              <w:rPr>
                <w:rFonts w:hint="eastAsia"/>
                <w:sz w:val="24"/>
                <w:szCs w:val="24"/>
              </w:rPr>
              <w:t>K</w:t>
            </w:r>
          </w:p>
        </w:tc>
        <w:tc>
          <w:tcPr>
            <w:tcW w:w="1345" w:type="dxa"/>
            <w:tcBorders>
              <w:top w:val="nil"/>
              <w:bottom w:val="nil"/>
            </w:tcBorders>
          </w:tcPr>
          <w:p w14:paraId="30EF241B" w14:textId="2C9EDDF0" w:rsidR="00D03875" w:rsidRPr="00714902" w:rsidRDefault="006865F1" w:rsidP="00697918">
            <w:pPr>
              <w:spacing w:line="276" w:lineRule="auto"/>
              <w:rPr>
                <w:sz w:val="24"/>
                <w:szCs w:val="24"/>
              </w:rPr>
            </w:pPr>
            <w:r w:rsidRPr="00714902">
              <w:rPr>
                <w:sz w:val="24"/>
                <w:szCs w:val="24"/>
              </w:rPr>
              <w:t>28.3</w:t>
            </w:r>
            <w:r w:rsidR="003239ED" w:rsidRPr="00714902">
              <w:rPr>
                <w:sz w:val="24"/>
                <w:szCs w:val="24"/>
              </w:rPr>
              <w:t>Mil</w:t>
            </w:r>
          </w:p>
        </w:tc>
      </w:tr>
      <w:tr w:rsidR="004150B6" w:rsidRPr="00714902" w14:paraId="1CBEA3A8" w14:textId="32DD7ECA" w:rsidTr="008612DE">
        <w:tc>
          <w:tcPr>
            <w:tcW w:w="1525" w:type="dxa"/>
            <w:tcBorders>
              <w:top w:val="nil"/>
              <w:bottom w:val="nil"/>
            </w:tcBorders>
          </w:tcPr>
          <w:p w14:paraId="57110A01" w14:textId="77777777" w:rsidR="00D03875" w:rsidRPr="00714902" w:rsidRDefault="00D03875" w:rsidP="00697918">
            <w:pPr>
              <w:spacing w:line="276" w:lineRule="auto"/>
              <w:rPr>
                <w:sz w:val="24"/>
                <w:szCs w:val="24"/>
              </w:rPr>
            </w:pPr>
            <w:r w:rsidRPr="00714902">
              <w:rPr>
                <w:sz w:val="24"/>
                <w:szCs w:val="24"/>
              </w:rPr>
              <w:t>Southern Inland</w:t>
            </w:r>
          </w:p>
        </w:tc>
        <w:tc>
          <w:tcPr>
            <w:tcW w:w="2250" w:type="dxa"/>
            <w:tcBorders>
              <w:top w:val="nil"/>
              <w:bottom w:val="nil"/>
            </w:tcBorders>
          </w:tcPr>
          <w:p w14:paraId="43B9AD11" w14:textId="72487A53" w:rsidR="00D03875" w:rsidRPr="00714902" w:rsidRDefault="00D03875" w:rsidP="00697918">
            <w:pPr>
              <w:spacing w:line="276" w:lineRule="auto"/>
              <w:rPr>
                <w:sz w:val="24"/>
                <w:szCs w:val="24"/>
              </w:rPr>
            </w:pPr>
            <w:r w:rsidRPr="00714902">
              <w:rPr>
                <w:sz w:val="24"/>
                <w:szCs w:val="24"/>
              </w:rPr>
              <w:t xml:space="preserve">Chongqing, Chengdu, </w:t>
            </w:r>
            <w:r w:rsidR="007A4732">
              <w:rPr>
                <w:sz w:val="24"/>
                <w:szCs w:val="24"/>
              </w:rPr>
              <w:t>Kunming</w:t>
            </w:r>
          </w:p>
        </w:tc>
        <w:tc>
          <w:tcPr>
            <w:tcW w:w="1260" w:type="dxa"/>
            <w:tcBorders>
              <w:top w:val="nil"/>
              <w:bottom w:val="nil"/>
            </w:tcBorders>
          </w:tcPr>
          <w:p w14:paraId="453143CF" w14:textId="1E4C8F7B" w:rsidR="00D03875" w:rsidRPr="00714902" w:rsidRDefault="00C26D78" w:rsidP="00697918">
            <w:pPr>
              <w:spacing w:line="276" w:lineRule="auto"/>
              <w:rPr>
                <w:sz w:val="24"/>
                <w:szCs w:val="24"/>
              </w:rPr>
            </w:pPr>
            <w:proofErr w:type="spellStart"/>
            <w:r w:rsidRPr="00714902">
              <w:rPr>
                <w:sz w:val="24"/>
                <w:szCs w:val="24"/>
              </w:rPr>
              <w:t>Bas</w:t>
            </w:r>
            <w:r w:rsidR="000D735B" w:rsidRPr="00714902">
              <w:rPr>
                <w:sz w:val="24"/>
                <w:szCs w:val="24"/>
              </w:rPr>
              <w:t>u</w:t>
            </w:r>
            <w:proofErr w:type="spellEnd"/>
            <w:r w:rsidRPr="00714902">
              <w:rPr>
                <w:sz w:val="24"/>
                <w:szCs w:val="24"/>
              </w:rPr>
              <w:t>, Yunnan</w:t>
            </w:r>
          </w:p>
        </w:tc>
        <w:tc>
          <w:tcPr>
            <w:tcW w:w="1980" w:type="dxa"/>
            <w:tcBorders>
              <w:top w:val="nil"/>
              <w:bottom w:val="nil"/>
            </w:tcBorders>
          </w:tcPr>
          <w:p w14:paraId="0E0345DA" w14:textId="01F3581A" w:rsidR="00D03875" w:rsidRPr="00714902" w:rsidRDefault="00D03875" w:rsidP="00697918">
            <w:pPr>
              <w:spacing w:line="276" w:lineRule="auto"/>
              <w:rPr>
                <w:sz w:val="24"/>
                <w:szCs w:val="24"/>
              </w:rPr>
            </w:pPr>
            <w:r w:rsidRPr="00714902">
              <w:rPr>
                <w:sz w:val="24"/>
                <w:szCs w:val="24"/>
              </w:rPr>
              <w:t>Southwestern Mandarin</w:t>
            </w:r>
          </w:p>
        </w:tc>
        <w:tc>
          <w:tcPr>
            <w:tcW w:w="990" w:type="dxa"/>
            <w:tcBorders>
              <w:top w:val="nil"/>
              <w:bottom w:val="nil"/>
            </w:tcBorders>
          </w:tcPr>
          <w:p w14:paraId="2E9B7405" w14:textId="199066F1" w:rsidR="00D03875" w:rsidRPr="00714902" w:rsidRDefault="00505C61" w:rsidP="00697918">
            <w:pPr>
              <w:spacing w:line="276" w:lineRule="auto"/>
              <w:rPr>
                <w:sz w:val="24"/>
                <w:szCs w:val="24"/>
              </w:rPr>
            </w:pPr>
            <w:r w:rsidRPr="00714902">
              <w:rPr>
                <w:sz w:val="24"/>
                <w:szCs w:val="24"/>
              </w:rPr>
              <w:t>$9.8</w:t>
            </w:r>
            <w:r w:rsidR="00D03875" w:rsidRPr="00714902">
              <w:rPr>
                <w:rFonts w:hint="eastAsia"/>
                <w:sz w:val="24"/>
                <w:szCs w:val="24"/>
              </w:rPr>
              <w:t>k</w:t>
            </w:r>
          </w:p>
        </w:tc>
        <w:tc>
          <w:tcPr>
            <w:tcW w:w="1345" w:type="dxa"/>
            <w:tcBorders>
              <w:top w:val="nil"/>
              <w:bottom w:val="nil"/>
            </w:tcBorders>
          </w:tcPr>
          <w:p w14:paraId="7655DE7A" w14:textId="69FA420C" w:rsidR="00D03875" w:rsidRPr="00714902" w:rsidRDefault="00727F45" w:rsidP="00697918">
            <w:pPr>
              <w:spacing w:line="276" w:lineRule="auto"/>
              <w:rPr>
                <w:sz w:val="24"/>
                <w:szCs w:val="24"/>
              </w:rPr>
            </w:pPr>
            <w:r w:rsidRPr="00714902">
              <w:rPr>
                <w:sz w:val="24"/>
                <w:szCs w:val="24"/>
              </w:rPr>
              <w:t>36.8Mil</w:t>
            </w:r>
          </w:p>
        </w:tc>
      </w:tr>
      <w:tr w:rsidR="004150B6" w:rsidRPr="00714902" w14:paraId="07B3980F" w14:textId="32160B77" w:rsidTr="008612DE">
        <w:tc>
          <w:tcPr>
            <w:tcW w:w="1525" w:type="dxa"/>
            <w:tcBorders>
              <w:top w:val="nil"/>
            </w:tcBorders>
          </w:tcPr>
          <w:p w14:paraId="58993494" w14:textId="77777777" w:rsidR="00D03875" w:rsidRPr="00714902" w:rsidRDefault="00D03875" w:rsidP="00697918">
            <w:pPr>
              <w:spacing w:line="276" w:lineRule="auto"/>
              <w:rPr>
                <w:sz w:val="24"/>
                <w:szCs w:val="24"/>
              </w:rPr>
            </w:pPr>
            <w:r w:rsidRPr="00714902">
              <w:rPr>
                <w:sz w:val="24"/>
                <w:szCs w:val="24"/>
              </w:rPr>
              <w:t>Northern Inland</w:t>
            </w:r>
          </w:p>
        </w:tc>
        <w:tc>
          <w:tcPr>
            <w:tcW w:w="2250" w:type="dxa"/>
            <w:tcBorders>
              <w:top w:val="nil"/>
            </w:tcBorders>
          </w:tcPr>
          <w:p w14:paraId="0882F5B9" w14:textId="77777777" w:rsidR="00D03875" w:rsidRPr="00714902" w:rsidRDefault="00D03875" w:rsidP="00697918">
            <w:pPr>
              <w:spacing w:line="276" w:lineRule="auto"/>
              <w:rPr>
                <w:sz w:val="24"/>
                <w:szCs w:val="24"/>
              </w:rPr>
            </w:pPr>
            <w:r w:rsidRPr="00714902">
              <w:rPr>
                <w:sz w:val="24"/>
                <w:szCs w:val="24"/>
              </w:rPr>
              <w:t>Beijing, Taiyuan, Longkou</w:t>
            </w:r>
          </w:p>
        </w:tc>
        <w:tc>
          <w:tcPr>
            <w:tcW w:w="1260" w:type="dxa"/>
            <w:tcBorders>
              <w:top w:val="nil"/>
            </w:tcBorders>
          </w:tcPr>
          <w:p w14:paraId="23197986" w14:textId="5538F56C" w:rsidR="00D03875" w:rsidRPr="00714902" w:rsidRDefault="005A5238" w:rsidP="00697918">
            <w:pPr>
              <w:spacing w:line="276" w:lineRule="auto"/>
              <w:rPr>
                <w:sz w:val="24"/>
                <w:szCs w:val="24"/>
              </w:rPr>
            </w:pPr>
            <w:r w:rsidRPr="00714902">
              <w:rPr>
                <w:sz w:val="24"/>
                <w:szCs w:val="24"/>
              </w:rPr>
              <w:t>North</w:t>
            </w:r>
            <w:r w:rsidR="00F85AB9" w:rsidRPr="00714902">
              <w:rPr>
                <w:sz w:val="24"/>
                <w:szCs w:val="24"/>
              </w:rPr>
              <w:t xml:space="preserve">ern </w:t>
            </w:r>
            <w:r w:rsidRPr="00714902">
              <w:rPr>
                <w:sz w:val="24"/>
                <w:szCs w:val="24"/>
              </w:rPr>
              <w:t>Chinese</w:t>
            </w:r>
          </w:p>
        </w:tc>
        <w:tc>
          <w:tcPr>
            <w:tcW w:w="1980" w:type="dxa"/>
            <w:tcBorders>
              <w:top w:val="nil"/>
            </w:tcBorders>
          </w:tcPr>
          <w:p w14:paraId="2357CFD1" w14:textId="6C40C02A" w:rsidR="00D03875" w:rsidRPr="00714902" w:rsidRDefault="00761794" w:rsidP="00697918">
            <w:pPr>
              <w:spacing w:line="276" w:lineRule="auto"/>
              <w:rPr>
                <w:sz w:val="24"/>
                <w:szCs w:val="24"/>
              </w:rPr>
            </w:pPr>
            <w:r>
              <w:rPr>
                <w:sz w:val="24"/>
                <w:szCs w:val="24"/>
              </w:rPr>
              <w:t xml:space="preserve">Northern </w:t>
            </w:r>
            <w:r w:rsidR="00D03875" w:rsidRPr="00714902">
              <w:rPr>
                <w:sz w:val="24"/>
                <w:szCs w:val="24"/>
              </w:rPr>
              <w:t>Mandarin</w:t>
            </w:r>
          </w:p>
        </w:tc>
        <w:tc>
          <w:tcPr>
            <w:tcW w:w="990" w:type="dxa"/>
            <w:tcBorders>
              <w:top w:val="nil"/>
            </w:tcBorders>
          </w:tcPr>
          <w:p w14:paraId="7ACC38FF" w14:textId="0DBB3BCC" w:rsidR="00D03875" w:rsidRPr="00714902" w:rsidRDefault="008612DE" w:rsidP="00697918">
            <w:pPr>
              <w:spacing w:line="276" w:lineRule="auto"/>
              <w:rPr>
                <w:sz w:val="24"/>
                <w:szCs w:val="24"/>
              </w:rPr>
            </w:pPr>
            <w:r w:rsidRPr="00714902">
              <w:rPr>
                <w:sz w:val="24"/>
                <w:szCs w:val="24"/>
              </w:rPr>
              <w:t>$12.6</w:t>
            </w:r>
            <w:r w:rsidR="00D03875" w:rsidRPr="00714902">
              <w:rPr>
                <w:sz w:val="24"/>
                <w:szCs w:val="24"/>
              </w:rPr>
              <w:t>k</w:t>
            </w:r>
          </w:p>
        </w:tc>
        <w:tc>
          <w:tcPr>
            <w:tcW w:w="1345" w:type="dxa"/>
            <w:tcBorders>
              <w:top w:val="nil"/>
            </w:tcBorders>
          </w:tcPr>
          <w:p w14:paraId="12C2AA07" w14:textId="0E450D2D" w:rsidR="00D03875" w:rsidRPr="00714902" w:rsidRDefault="003C057A" w:rsidP="00697918">
            <w:pPr>
              <w:spacing w:line="276" w:lineRule="auto"/>
              <w:rPr>
                <w:sz w:val="24"/>
                <w:szCs w:val="24"/>
              </w:rPr>
            </w:pPr>
            <w:r w:rsidRPr="00714902">
              <w:rPr>
                <w:sz w:val="24"/>
                <w:szCs w:val="24"/>
              </w:rPr>
              <w:t>23.1Mil</w:t>
            </w:r>
          </w:p>
        </w:tc>
      </w:tr>
    </w:tbl>
    <w:p w14:paraId="3331E065" w14:textId="1024B15E" w:rsidR="0017621D" w:rsidRPr="00714902" w:rsidRDefault="0017621D" w:rsidP="003121B1">
      <w:pPr>
        <w:spacing w:line="480" w:lineRule="auto"/>
        <w:rPr>
          <w:sz w:val="24"/>
          <w:szCs w:val="24"/>
        </w:rPr>
      </w:pPr>
      <w:r w:rsidRPr="00714902">
        <w:rPr>
          <w:sz w:val="24"/>
          <w:szCs w:val="24"/>
        </w:rPr>
        <w:t>Figure 1. Geographical distribution of the sampled municipalities</w:t>
      </w:r>
    </w:p>
    <w:p w14:paraId="41F5157E" w14:textId="0EFE589B" w:rsidR="0017621D" w:rsidRPr="00714902" w:rsidRDefault="00B37904" w:rsidP="003121B1">
      <w:pPr>
        <w:spacing w:line="480" w:lineRule="auto"/>
        <w:rPr>
          <w:sz w:val="24"/>
          <w:szCs w:val="24"/>
        </w:rPr>
      </w:pPr>
      <w:r w:rsidRPr="00714902">
        <w:rPr>
          <w:noProof/>
          <w:sz w:val="24"/>
          <w:szCs w:val="24"/>
        </w:rPr>
        <w:drawing>
          <wp:inline distT="0" distB="0" distL="0" distR="0" wp14:anchorId="67EF77B2" wp14:editId="4B5CA4AE">
            <wp:extent cx="2899495"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3846" cy="2029962"/>
                    </a:xfrm>
                    <a:prstGeom prst="rect">
                      <a:avLst/>
                    </a:prstGeom>
                    <a:noFill/>
                    <a:ln>
                      <a:noFill/>
                    </a:ln>
                  </pic:spPr>
                </pic:pic>
              </a:graphicData>
            </a:graphic>
          </wp:inline>
        </w:drawing>
      </w:r>
    </w:p>
    <w:p w14:paraId="6B5576B9" w14:textId="596D973B" w:rsidR="002229F8" w:rsidRPr="00714902" w:rsidRDefault="00F2686B" w:rsidP="003121B1">
      <w:pPr>
        <w:spacing w:line="480" w:lineRule="auto"/>
        <w:rPr>
          <w:sz w:val="24"/>
          <w:szCs w:val="24"/>
        </w:rPr>
      </w:pPr>
      <w:r w:rsidRPr="00714902">
        <w:rPr>
          <w:sz w:val="24"/>
          <w:szCs w:val="24"/>
        </w:rPr>
        <w:t>Table 2. Response rates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705"/>
        <w:gridCol w:w="1532"/>
        <w:gridCol w:w="1720"/>
        <w:gridCol w:w="1563"/>
        <w:gridCol w:w="1530"/>
        <w:gridCol w:w="1300"/>
      </w:tblGrid>
      <w:tr w:rsidR="00820DD1" w:rsidRPr="00714902" w14:paraId="1B73B777" w14:textId="6289F29E" w:rsidTr="000E7217">
        <w:tc>
          <w:tcPr>
            <w:tcW w:w="1705" w:type="dxa"/>
            <w:tcBorders>
              <w:top w:val="single" w:sz="4" w:space="0" w:color="auto"/>
              <w:bottom w:val="single" w:sz="4" w:space="0" w:color="auto"/>
            </w:tcBorders>
          </w:tcPr>
          <w:p w14:paraId="36FBA25C" w14:textId="3BB3008F"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Ideal-typical regions</w:t>
            </w:r>
          </w:p>
        </w:tc>
        <w:tc>
          <w:tcPr>
            <w:tcW w:w="1532" w:type="dxa"/>
            <w:tcBorders>
              <w:top w:val="single" w:sz="4" w:space="0" w:color="auto"/>
              <w:bottom w:val="single" w:sz="4" w:space="0" w:color="auto"/>
            </w:tcBorders>
          </w:tcPr>
          <w:p w14:paraId="221C113A" w14:textId="70F06356"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Municipalities</w:t>
            </w:r>
          </w:p>
        </w:tc>
        <w:tc>
          <w:tcPr>
            <w:tcW w:w="1720" w:type="dxa"/>
            <w:tcBorders>
              <w:top w:val="single" w:sz="4" w:space="0" w:color="auto"/>
              <w:bottom w:val="single" w:sz="4" w:space="0" w:color="auto"/>
            </w:tcBorders>
          </w:tcPr>
          <w:p w14:paraId="29CDAAB9" w14:textId="02F99116"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School (attempted vs. obtained)</w:t>
            </w:r>
          </w:p>
        </w:tc>
        <w:tc>
          <w:tcPr>
            <w:tcW w:w="1563" w:type="dxa"/>
            <w:tcBorders>
              <w:top w:val="single" w:sz="4" w:space="0" w:color="auto"/>
              <w:bottom w:val="single" w:sz="4" w:space="0" w:color="auto"/>
            </w:tcBorders>
          </w:tcPr>
          <w:p w14:paraId="7C8F2B0E" w14:textId="6449DF3C"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Response rate</w:t>
            </w:r>
          </w:p>
        </w:tc>
        <w:tc>
          <w:tcPr>
            <w:tcW w:w="1530" w:type="dxa"/>
            <w:tcBorders>
              <w:top w:val="single" w:sz="4" w:space="0" w:color="auto"/>
              <w:bottom w:val="single" w:sz="4" w:space="0" w:color="auto"/>
            </w:tcBorders>
          </w:tcPr>
          <w:p w14:paraId="51684F66" w14:textId="4D21D024"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Class (needed vs. obtained)</w:t>
            </w:r>
          </w:p>
        </w:tc>
        <w:tc>
          <w:tcPr>
            <w:tcW w:w="1300" w:type="dxa"/>
            <w:tcBorders>
              <w:top w:val="single" w:sz="4" w:space="0" w:color="auto"/>
              <w:bottom w:val="single" w:sz="4" w:space="0" w:color="auto"/>
            </w:tcBorders>
          </w:tcPr>
          <w:p w14:paraId="612D8039" w14:textId="1359D403"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Response rate</w:t>
            </w:r>
          </w:p>
        </w:tc>
      </w:tr>
      <w:tr w:rsidR="00820DD1" w:rsidRPr="00714902" w14:paraId="32BB098B" w14:textId="016DC259" w:rsidTr="000E7217">
        <w:tc>
          <w:tcPr>
            <w:tcW w:w="1705" w:type="dxa"/>
            <w:tcBorders>
              <w:top w:val="single" w:sz="4" w:space="0" w:color="auto"/>
              <w:bottom w:val="nil"/>
            </w:tcBorders>
          </w:tcPr>
          <w:p w14:paraId="338E1E21" w14:textId="14CD9562"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Yangtze Delta</w:t>
            </w:r>
          </w:p>
        </w:tc>
        <w:tc>
          <w:tcPr>
            <w:tcW w:w="1532" w:type="dxa"/>
            <w:tcBorders>
              <w:top w:val="single" w:sz="4" w:space="0" w:color="auto"/>
              <w:bottom w:val="nil"/>
            </w:tcBorders>
          </w:tcPr>
          <w:p w14:paraId="415221FA" w14:textId="773F825E"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Shanghai</w:t>
            </w:r>
          </w:p>
        </w:tc>
        <w:tc>
          <w:tcPr>
            <w:tcW w:w="1720" w:type="dxa"/>
            <w:tcBorders>
              <w:top w:val="single" w:sz="4" w:space="0" w:color="auto"/>
              <w:bottom w:val="nil"/>
            </w:tcBorders>
          </w:tcPr>
          <w:p w14:paraId="06EE542F" w14:textId="602673CD"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1,1</w:t>
            </w:r>
          </w:p>
        </w:tc>
        <w:tc>
          <w:tcPr>
            <w:tcW w:w="1563" w:type="dxa"/>
            <w:tcBorders>
              <w:top w:val="single" w:sz="4" w:space="0" w:color="auto"/>
              <w:bottom w:val="nil"/>
            </w:tcBorders>
          </w:tcPr>
          <w:p w14:paraId="6E4A480D" w14:textId="1278CB20"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c>
          <w:tcPr>
            <w:tcW w:w="1530" w:type="dxa"/>
            <w:tcBorders>
              <w:top w:val="single" w:sz="4" w:space="0" w:color="auto"/>
              <w:bottom w:val="nil"/>
            </w:tcBorders>
          </w:tcPr>
          <w:p w14:paraId="2F9241AF" w14:textId="253AD07E"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2,2</w:t>
            </w:r>
          </w:p>
        </w:tc>
        <w:tc>
          <w:tcPr>
            <w:tcW w:w="1300" w:type="dxa"/>
            <w:tcBorders>
              <w:top w:val="single" w:sz="4" w:space="0" w:color="auto"/>
              <w:bottom w:val="nil"/>
            </w:tcBorders>
          </w:tcPr>
          <w:p w14:paraId="6AC58E4C" w14:textId="008AB4DC"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r>
      <w:tr w:rsidR="00820DD1" w:rsidRPr="00714902" w14:paraId="3D657EC8" w14:textId="62160F1D" w:rsidTr="000E7217">
        <w:tc>
          <w:tcPr>
            <w:tcW w:w="1705" w:type="dxa"/>
            <w:tcBorders>
              <w:top w:val="nil"/>
            </w:tcBorders>
          </w:tcPr>
          <w:p w14:paraId="1DCCAFAD" w14:textId="77777777" w:rsidR="00820DD1" w:rsidRPr="00714902" w:rsidRDefault="00820DD1" w:rsidP="00697918">
            <w:pPr>
              <w:spacing w:line="276" w:lineRule="auto"/>
              <w:rPr>
                <w:rFonts w:ascii="Arial Narrow" w:hAnsi="Arial Narrow"/>
                <w:sz w:val="24"/>
                <w:szCs w:val="24"/>
              </w:rPr>
            </w:pPr>
          </w:p>
        </w:tc>
        <w:tc>
          <w:tcPr>
            <w:tcW w:w="1532" w:type="dxa"/>
            <w:tcBorders>
              <w:top w:val="nil"/>
            </w:tcBorders>
          </w:tcPr>
          <w:p w14:paraId="507C4202" w14:textId="1B2A195D"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Suzhou</w:t>
            </w:r>
          </w:p>
        </w:tc>
        <w:tc>
          <w:tcPr>
            <w:tcW w:w="1720" w:type="dxa"/>
            <w:tcBorders>
              <w:top w:val="nil"/>
            </w:tcBorders>
          </w:tcPr>
          <w:p w14:paraId="49FD2F7A" w14:textId="2B0D6FDF"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2,2</w:t>
            </w:r>
          </w:p>
        </w:tc>
        <w:tc>
          <w:tcPr>
            <w:tcW w:w="1563" w:type="dxa"/>
            <w:tcBorders>
              <w:top w:val="nil"/>
            </w:tcBorders>
          </w:tcPr>
          <w:p w14:paraId="28897BF7" w14:textId="413D0B54"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c>
          <w:tcPr>
            <w:tcW w:w="1530" w:type="dxa"/>
            <w:tcBorders>
              <w:top w:val="nil"/>
            </w:tcBorders>
          </w:tcPr>
          <w:p w14:paraId="69A42AE7" w14:textId="5C5D3C53"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4,5</w:t>
            </w:r>
          </w:p>
        </w:tc>
        <w:tc>
          <w:tcPr>
            <w:tcW w:w="1300" w:type="dxa"/>
            <w:tcBorders>
              <w:top w:val="nil"/>
            </w:tcBorders>
          </w:tcPr>
          <w:p w14:paraId="034EAE85" w14:textId="2EC0819A"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r>
      <w:tr w:rsidR="00820DD1" w:rsidRPr="00714902" w14:paraId="0BC464B1" w14:textId="3640922B" w:rsidTr="000E7217">
        <w:tc>
          <w:tcPr>
            <w:tcW w:w="1705" w:type="dxa"/>
          </w:tcPr>
          <w:p w14:paraId="0777002E" w14:textId="77777777" w:rsidR="00820DD1" w:rsidRPr="00714902" w:rsidRDefault="00820DD1" w:rsidP="00697918">
            <w:pPr>
              <w:spacing w:line="276" w:lineRule="auto"/>
              <w:rPr>
                <w:rFonts w:ascii="Arial Narrow" w:hAnsi="Arial Narrow"/>
                <w:sz w:val="24"/>
                <w:szCs w:val="24"/>
              </w:rPr>
            </w:pPr>
          </w:p>
        </w:tc>
        <w:tc>
          <w:tcPr>
            <w:tcW w:w="1532" w:type="dxa"/>
          </w:tcPr>
          <w:p w14:paraId="7B4EA11A" w14:textId="39B48460"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Hangzhou</w:t>
            </w:r>
          </w:p>
        </w:tc>
        <w:tc>
          <w:tcPr>
            <w:tcW w:w="1720" w:type="dxa"/>
          </w:tcPr>
          <w:p w14:paraId="12874BB9" w14:textId="2273EF77"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7,5</w:t>
            </w:r>
          </w:p>
        </w:tc>
        <w:tc>
          <w:tcPr>
            <w:tcW w:w="1563" w:type="dxa"/>
          </w:tcPr>
          <w:p w14:paraId="5DA7DC89" w14:textId="5D2F2544"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72%</w:t>
            </w:r>
          </w:p>
        </w:tc>
        <w:tc>
          <w:tcPr>
            <w:tcW w:w="1530" w:type="dxa"/>
          </w:tcPr>
          <w:p w14:paraId="21177A3E" w14:textId="7FE03216"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10,12</w:t>
            </w:r>
          </w:p>
        </w:tc>
        <w:tc>
          <w:tcPr>
            <w:tcW w:w="1300" w:type="dxa"/>
          </w:tcPr>
          <w:p w14:paraId="6634475F" w14:textId="107ED28B"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r>
      <w:tr w:rsidR="00820DD1" w:rsidRPr="00714902" w14:paraId="47141E82" w14:textId="442E30DC" w:rsidTr="000E7217">
        <w:tc>
          <w:tcPr>
            <w:tcW w:w="1705" w:type="dxa"/>
          </w:tcPr>
          <w:p w14:paraId="08108C0E" w14:textId="77777777" w:rsidR="00820DD1" w:rsidRPr="00714902" w:rsidRDefault="00820DD1" w:rsidP="00697918">
            <w:pPr>
              <w:spacing w:line="276" w:lineRule="auto"/>
              <w:rPr>
                <w:rFonts w:ascii="Arial Narrow" w:hAnsi="Arial Narrow"/>
                <w:sz w:val="24"/>
                <w:szCs w:val="24"/>
              </w:rPr>
            </w:pPr>
          </w:p>
        </w:tc>
        <w:tc>
          <w:tcPr>
            <w:tcW w:w="1532" w:type="dxa"/>
          </w:tcPr>
          <w:p w14:paraId="7DD9BB84" w14:textId="69C4E647" w:rsidR="00820DD1" w:rsidRPr="00714902" w:rsidRDefault="00820DD1" w:rsidP="00697918">
            <w:pPr>
              <w:spacing w:line="276" w:lineRule="auto"/>
              <w:rPr>
                <w:rFonts w:ascii="Arial Narrow" w:hAnsi="Arial Narrow"/>
                <w:sz w:val="24"/>
                <w:szCs w:val="24"/>
              </w:rPr>
            </w:pPr>
            <w:proofErr w:type="spellStart"/>
            <w:r w:rsidRPr="00714902">
              <w:rPr>
                <w:rFonts w:ascii="Arial Narrow" w:hAnsi="Arial Narrow"/>
                <w:sz w:val="24"/>
                <w:szCs w:val="24"/>
              </w:rPr>
              <w:t>Yuyao</w:t>
            </w:r>
            <w:proofErr w:type="spellEnd"/>
          </w:p>
        </w:tc>
        <w:tc>
          <w:tcPr>
            <w:tcW w:w="1720" w:type="dxa"/>
          </w:tcPr>
          <w:p w14:paraId="24FBAD44" w14:textId="380ADF6E"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2,2</w:t>
            </w:r>
          </w:p>
        </w:tc>
        <w:tc>
          <w:tcPr>
            <w:tcW w:w="1563" w:type="dxa"/>
          </w:tcPr>
          <w:p w14:paraId="483C2995" w14:textId="2AA773F4"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c>
          <w:tcPr>
            <w:tcW w:w="1530" w:type="dxa"/>
          </w:tcPr>
          <w:p w14:paraId="1FE1E263" w14:textId="56EE7272"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4,6</w:t>
            </w:r>
          </w:p>
        </w:tc>
        <w:tc>
          <w:tcPr>
            <w:tcW w:w="1300" w:type="dxa"/>
          </w:tcPr>
          <w:p w14:paraId="3B154489" w14:textId="236AEEC1"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r>
      <w:tr w:rsidR="00820DD1" w:rsidRPr="00714902" w14:paraId="1905AA57" w14:textId="6AB873E9" w:rsidTr="000E7217">
        <w:tc>
          <w:tcPr>
            <w:tcW w:w="1705" w:type="dxa"/>
          </w:tcPr>
          <w:p w14:paraId="13450220" w14:textId="4EC6266A"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Pearl Delta</w:t>
            </w:r>
          </w:p>
        </w:tc>
        <w:tc>
          <w:tcPr>
            <w:tcW w:w="1532" w:type="dxa"/>
          </w:tcPr>
          <w:p w14:paraId="4C69F43C" w14:textId="49AF2749"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Guangzhou</w:t>
            </w:r>
          </w:p>
        </w:tc>
        <w:tc>
          <w:tcPr>
            <w:tcW w:w="1720" w:type="dxa"/>
          </w:tcPr>
          <w:p w14:paraId="17CB7A5D" w14:textId="3F2BB524" w:rsidR="00820DD1" w:rsidRPr="00714902" w:rsidRDefault="001D62B5" w:rsidP="00697918">
            <w:pPr>
              <w:spacing w:line="276" w:lineRule="auto"/>
              <w:rPr>
                <w:rFonts w:ascii="Arial Narrow" w:hAnsi="Arial Narrow"/>
                <w:sz w:val="24"/>
                <w:szCs w:val="24"/>
              </w:rPr>
            </w:pPr>
            <w:r>
              <w:rPr>
                <w:rFonts w:ascii="Arial Narrow" w:hAnsi="Arial Narrow"/>
                <w:sz w:val="24"/>
                <w:szCs w:val="24"/>
              </w:rPr>
              <w:t>9</w:t>
            </w:r>
            <w:r w:rsidR="00820DD1" w:rsidRPr="00714902">
              <w:rPr>
                <w:rFonts w:ascii="Arial Narrow" w:hAnsi="Arial Narrow"/>
                <w:sz w:val="24"/>
                <w:szCs w:val="24"/>
              </w:rPr>
              <w:t>,</w:t>
            </w:r>
            <w:r>
              <w:rPr>
                <w:rFonts w:ascii="Arial Narrow" w:hAnsi="Arial Narrow"/>
                <w:sz w:val="24"/>
                <w:szCs w:val="24"/>
              </w:rPr>
              <w:t>7</w:t>
            </w:r>
          </w:p>
        </w:tc>
        <w:tc>
          <w:tcPr>
            <w:tcW w:w="1563" w:type="dxa"/>
          </w:tcPr>
          <w:p w14:paraId="59CFEEB6" w14:textId="614A66E8"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7</w:t>
            </w:r>
            <w:r w:rsidR="00966808">
              <w:rPr>
                <w:rFonts w:ascii="Arial Narrow" w:hAnsi="Arial Narrow"/>
                <w:sz w:val="24"/>
                <w:szCs w:val="24"/>
              </w:rPr>
              <w:t>7.8</w:t>
            </w:r>
            <w:r w:rsidRPr="00714902">
              <w:rPr>
                <w:rFonts w:ascii="Arial Narrow" w:hAnsi="Arial Narrow"/>
                <w:sz w:val="24"/>
                <w:szCs w:val="24"/>
              </w:rPr>
              <w:t>%</w:t>
            </w:r>
          </w:p>
        </w:tc>
        <w:tc>
          <w:tcPr>
            <w:tcW w:w="1530" w:type="dxa"/>
          </w:tcPr>
          <w:p w14:paraId="6308D891" w14:textId="0EE62879"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w:t>
            </w:r>
            <w:r w:rsidR="00966808">
              <w:rPr>
                <w:rFonts w:ascii="Arial Narrow" w:hAnsi="Arial Narrow"/>
                <w:sz w:val="24"/>
                <w:szCs w:val="24"/>
              </w:rPr>
              <w:t>4</w:t>
            </w:r>
            <w:r w:rsidRPr="00714902">
              <w:rPr>
                <w:rFonts w:ascii="Arial Narrow" w:hAnsi="Arial Narrow"/>
                <w:sz w:val="24"/>
                <w:szCs w:val="24"/>
              </w:rPr>
              <w:t>,1</w:t>
            </w:r>
            <w:r w:rsidR="00966808">
              <w:rPr>
                <w:rFonts w:ascii="Arial Narrow" w:hAnsi="Arial Narrow"/>
                <w:sz w:val="24"/>
                <w:szCs w:val="24"/>
              </w:rPr>
              <w:t>4</w:t>
            </w:r>
          </w:p>
        </w:tc>
        <w:tc>
          <w:tcPr>
            <w:tcW w:w="1300" w:type="dxa"/>
          </w:tcPr>
          <w:p w14:paraId="4143948D" w14:textId="02EC3B47"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r>
      <w:tr w:rsidR="00820DD1" w:rsidRPr="00714902" w14:paraId="2C7A1BFE" w14:textId="37BDBD8F" w:rsidTr="000E7217">
        <w:tc>
          <w:tcPr>
            <w:tcW w:w="1705" w:type="dxa"/>
          </w:tcPr>
          <w:p w14:paraId="59138623" w14:textId="77777777" w:rsidR="00820DD1" w:rsidRPr="00714902" w:rsidRDefault="00820DD1" w:rsidP="00697918">
            <w:pPr>
              <w:spacing w:line="276" w:lineRule="auto"/>
              <w:rPr>
                <w:rFonts w:ascii="Arial Narrow" w:hAnsi="Arial Narrow"/>
                <w:sz w:val="24"/>
                <w:szCs w:val="24"/>
              </w:rPr>
            </w:pPr>
          </w:p>
        </w:tc>
        <w:tc>
          <w:tcPr>
            <w:tcW w:w="1532" w:type="dxa"/>
          </w:tcPr>
          <w:p w14:paraId="5D0DD577" w14:textId="5F82F6DB"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Shenzhen</w:t>
            </w:r>
          </w:p>
        </w:tc>
        <w:tc>
          <w:tcPr>
            <w:tcW w:w="1720" w:type="dxa"/>
          </w:tcPr>
          <w:p w14:paraId="76C31BE8" w14:textId="5B9A12EA"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2,2</w:t>
            </w:r>
          </w:p>
        </w:tc>
        <w:tc>
          <w:tcPr>
            <w:tcW w:w="1563" w:type="dxa"/>
          </w:tcPr>
          <w:p w14:paraId="7EBCCFBA" w14:textId="62364E68"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c>
          <w:tcPr>
            <w:tcW w:w="1530" w:type="dxa"/>
          </w:tcPr>
          <w:p w14:paraId="3B432E83" w14:textId="43E27578"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4, 5</w:t>
            </w:r>
          </w:p>
        </w:tc>
        <w:tc>
          <w:tcPr>
            <w:tcW w:w="1300" w:type="dxa"/>
          </w:tcPr>
          <w:p w14:paraId="051DDE96" w14:textId="6A03C03E"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r>
      <w:tr w:rsidR="00820DD1" w:rsidRPr="00714902" w14:paraId="3D2BB035" w14:textId="20EE9E47" w:rsidTr="000E7217">
        <w:tc>
          <w:tcPr>
            <w:tcW w:w="1705" w:type="dxa"/>
          </w:tcPr>
          <w:p w14:paraId="6FA29664" w14:textId="77777777" w:rsidR="00820DD1" w:rsidRPr="00714902" w:rsidRDefault="00820DD1" w:rsidP="00697918">
            <w:pPr>
              <w:spacing w:line="276" w:lineRule="auto"/>
              <w:rPr>
                <w:rFonts w:ascii="Arial Narrow" w:hAnsi="Arial Narrow"/>
                <w:sz w:val="24"/>
                <w:szCs w:val="24"/>
              </w:rPr>
            </w:pPr>
          </w:p>
        </w:tc>
        <w:tc>
          <w:tcPr>
            <w:tcW w:w="1532" w:type="dxa"/>
          </w:tcPr>
          <w:p w14:paraId="4B706780" w14:textId="42637B74"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Zhongshan</w:t>
            </w:r>
          </w:p>
        </w:tc>
        <w:tc>
          <w:tcPr>
            <w:tcW w:w="1720" w:type="dxa"/>
          </w:tcPr>
          <w:p w14:paraId="323F6601" w14:textId="3DC35F6D"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2,1</w:t>
            </w:r>
          </w:p>
        </w:tc>
        <w:tc>
          <w:tcPr>
            <w:tcW w:w="1563" w:type="dxa"/>
          </w:tcPr>
          <w:p w14:paraId="35C0B6A5" w14:textId="3D2EE9EE"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50%</w:t>
            </w:r>
          </w:p>
        </w:tc>
        <w:tc>
          <w:tcPr>
            <w:tcW w:w="1530" w:type="dxa"/>
          </w:tcPr>
          <w:p w14:paraId="4C0D9352" w14:textId="61C15A54"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2, 2</w:t>
            </w:r>
          </w:p>
        </w:tc>
        <w:tc>
          <w:tcPr>
            <w:tcW w:w="1300" w:type="dxa"/>
          </w:tcPr>
          <w:p w14:paraId="7D3ABAF1" w14:textId="775A2750"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r>
      <w:tr w:rsidR="00820DD1" w:rsidRPr="00714902" w14:paraId="2FD4CB60" w14:textId="01D4FF89" w:rsidTr="000E7217">
        <w:tc>
          <w:tcPr>
            <w:tcW w:w="1705" w:type="dxa"/>
          </w:tcPr>
          <w:p w14:paraId="0C07C4BA" w14:textId="39BD5FD8"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Southern Inland</w:t>
            </w:r>
          </w:p>
        </w:tc>
        <w:tc>
          <w:tcPr>
            <w:tcW w:w="1532" w:type="dxa"/>
          </w:tcPr>
          <w:p w14:paraId="09648681" w14:textId="753BFFCA"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 xml:space="preserve">Chongqing, </w:t>
            </w:r>
          </w:p>
        </w:tc>
        <w:tc>
          <w:tcPr>
            <w:tcW w:w="1720" w:type="dxa"/>
          </w:tcPr>
          <w:p w14:paraId="7088AD7F" w14:textId="1D84D7DF" w:rsidR="00820DD1" w:rsidRPr="00714902" w:rsidRDefault="00273263" w:rsidP="00697918">
            <w:pPr>
              <w:spacing w:line="276" w:lineRule="auto"/>
              <w:rPr>
                <w:rFonts w:ascii="Arial Narrow" w:hAnsi="Arial Narrow"/>
                <w:sz w:val="24"/>
                <w:szCs w:val="24"/>
              </w:rPr>
            </w:pPr>
            <w:r>
              <w:rPr>
                <w:rFonts w:ascii="Arial Narrow" w:hAnsi="Arial Narrow"/>
                <w:sz w:val="24"/>
                <w:szCs w:val="24"/>
              </w:rPr>
              <w:t>3</w:t>
            </w:r>
            <w:r w:rsidR="00820DD1" w:rsidRPr="00714902">
              <w:rPr>
                <w:rFonts w:ascii="Arial Narrow" w:hAnsi="Arial Narrow"/>
                <w:sz w:val="24"/>
                <w:szCs w:val="24"/>
              </w:rPr>
              <w:t>,</w:t>
            </w:r>
            <w:r>
              <w:rPr>
                <w:rFonts w:ascii="Arial Narrow" w:hAnsi="Arial Narrow"/>
                <w:sz w:val="24"/>
                <w:szCs w:val="24"/>
              </w:rPr>
              <w:t>2</w:t>
            </w:r>
          </w:p>
        </w:tc>
        <w:tc>
          <w:tcPr>
            <w:tcW w:w="1563" w:type="dxa"/>
          </w:tcPr>
          <w:p w14:paraId="093E2316" w14:textId="3A2AD81C" w:rsidR="00820DD1" w:rsidRPr="00714902" w:rsidRDefault="00273263" w:rsidP="00697918">
            <w:pPr>
              <w:spacing w:line="276" w:lineRule="auto"/>
              <w:rPr>
                <w:rFonts w:ascii="Arial Narrow" w:hAnsi="Arial Narrow"/>
                <w:sz w:val="24"/>
                <w:szCs w:val="24"/>
              </w:rPr>
            </w:pPr>
            <w:r>
              <w:rPr>
                <w:rFonts w:ascii="Arial Narrow" w:hAnsi="Arial Narrow"/>
                <w:sz w:val="24"/>
                <w:szCs w:val="24"/>
              </w:rPr>
              <w:t>66.7</w:t>
            </w:r>
            <w:r w:rsidR="00820DD1" w:rsidRPr="00714902">
              <w:rPr>
                <w:rFonts w:ascii="Arial Narrow" w:hAnsi="Arial Narrow"/>
                <w:sz w:val="24"/>
                <w:szCs w:val="24"/>
              </w:rPr>
              <w:t>%</w:t>
            </w:r>
          </w:p>
        </w:tc>
        <w:tc>
          <w:tcPr>
            <w:tcW w:w="1530" w:type="dxa"/>
          </w:tcPr>
          <w:p w14:paraId="6E437A59" w14:textId="285AB279" w:rsidR="00820DD1" w:rsidRPr="00714902" w:rsidRDefault="001D62B5" w:rsidP="00697918">
            <w:pPr>
              <w:spacing w:line="276" w:lineRule="auto"/>
              <w:rPr>
                <w:rFonts w:ascii="Arial Narrow" w:hAnsi="Arial Narrow"/>
                <w:sz w:val="24"/>
                <w:szCs w:val="24"/>
              </w:rPr>
            </w:pPr>
            <w:r>
              <w:rPr>
                <w:rFonts w:ascii="Arial Narrow" w:hAnsi="Arial Narrow"/>
                <w:sz w:val="24"/>
                <w:szCs w:val="24"/>
              </w:rPr>
              <w:t>4</w:t>
            </w:r>
            <w:r w:rsidR="00820DD1" w:rsidRPr="00714902">
              <w:rPr>
                <w:rFonts w:ascii="Arial Narrow" w:hAnsi="Arial Narrow"/>
                <w:sz w:val="24"/>
                <w:szCs w:val="24"/>
              </w:rPr>
              <w:t xml:space="preserve">, </w:t>
            </w:r>
            <w:r>
              <w:rPr>
                <w:rFonts w:ascii="Arial Narrow" w:hAnsi="Arial Narrow"/>
                <w:sz w:val="24"/>
                <w:szCs w:val="24"/>
              </w:rPr>
              <w:t>3</w:t>
            </w:r>
          </w:p>
        </w:tc>
        <w:tc>
          <w:tcPr>
            <w:tcW w:w="1300" w:type="dxa"/>
          </w:tcPr>
          <w:p w14:paraId="635BEC7B" w14:textId="7CF5E6D4" w:rsidR="00820DD1" w:rsidRPr="00714902" w:rsidRDefault="001D62B5" w:rsidP="00697918">
            <w:pPr>
              <w:spacing w:line="276" w:lineRule="auto"/>
              <w:rPr>
                <w:rFonts w:ascii="Arial Narrow" w:hAnsi="Arial Narrow"/>
                <w:sz w:val="24"/>
                <w:szCs w:val="24"/>
              </w:rPr>
            </w:pPr>
            <w:r>
              <w:rPr>
                <w:rFonts w:ascii="Arial Narrow" w:hAnsi="Arial Narrow"/>
                <w:sz w:val="24"/>
                <w:szCs w:val="24"/>
              </w:rPr>
              <w:t>7</w:t>
            </w:r>
            <w:r w:rsidR="00820DD1" w:rsidRPr="00714902">
              <w:rPr>
                <w:rFonts w:ascii="Arial Narrow" w:hAnsi="Arial Narrow"/>
                <w:sz w:val="24"/>
                <w:szCs w:val="24"/>
              </w:rPr>
              <w:t>5%</w:t>
            </w:r>
          </w:p>
        </w:tc>
      </w:tr>
      <w:tr w:rsidR="00820DD1" w:rsidRPr="00714902" w14:paraId="61A9FB4E" w14:textId="249CC9A8" w:rsidTr="000E7217">
        <w:tc>
          <w:tcPr>
            <w:tcW w:w="1705" w:type="dxa"/>
          </w:tcPr>
          <w:p w14:paraId="676CCF5B" w14:textId="77777777" w:rsidR="00820DD1" w:rsidRPr="00714902" w:rsidRDefault="00820DD1" w:rsidP="00697918">
            <w:pPr>
              <w:spacing w:line="276" w:lineRule="auto"/>
              <w:rPr>
                <w:rFonts w:ascii="Arial Narrow" w:hAnsi="Arial Narrow"/>
                <w:sz w:val="24"/>
                <w:szCs w:val="24"/>
              </w:rPr>
            </w:pPr>
          </w:p>
        </w:tc>
        <w:tc>
          <w:tcPr>
            <w:tcW w:w="1532" w:type="dxa"/>
          </w:tcPr>
          <w:p w14:paraId="545BD12A" w14:textId="2A6E2E3F"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Chengdu,</w:t>
            </w:r>
          </w:p>
        </w:tc>
        <w:tc>
          <w:tcPr>
            <w:tcW w:w="1720" w:type="dxa"/>
          </w:tcPr>
          <w:p w14:paraId="617422CE" w14:textId="28F73F75" w:rsidR="00820DD1" w:rsidRPr="00714902" w:rsidRDefault="00273263" w:rsidP="00697918">
            <w:pPr>
              <w:spacing w:line="276" w:lineRule="auto"/>
              <w:rPr>
                <w:rFonts w:ascii="Arial Narrow" w:hAnsi="Arial Narrow"/>
                <w:sz w:val="24"/>
                <w:szCs w:val="24"/>
              </w:rPr>
            </w:pPr>
            <w:r>
              <w:rPr>
                <w:rFonts w:ascii="Arial Narrow" w:hAnsi="Arial Narrow"/>
                <w:sz w:val="24"/>
                <w:szCs w:val="24"/>
              </w:rPr>
              <w:t>6</w:t>
            </w:r>
            <w:r w:rsidR="00820DD1" w:rsidRPr="00714902">
              <w:rPr>
                <w:rFonts w:ascii="Arial Narrow" w:hAnsi="Arial Narrow"/>
                <w:sz w:val="24"/>
                <w:szCs w:val="24"/>
              </w:rPr>
              <w:t>,</w:t>
            </w:r>
            <w:r>
              <w:rPr>
                <w:rFonts w:ascii="Arial Narrow" w:hAnsi="Arial Narrow"/>
                <w:sz w:val="24"/>
                <w:szCs w:val="24"/>
              </w:rPr>
              <w:t>4</w:t>
            </w:r>
          </w:p>
        </w:tc>
        <w:tc>
          <w:tcPr>
            <w:tcW w:w="1563" w:type="dxa"/>
          </w:tcPr>
          <w:p w14:paraId="18507520" w14:textId="78985852"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6</w:t>
            </w:r>
            <w:r w:rsidR="00273263">
              <w:rPr>
                <w:rFonts w:ascii="Arial Narrow" w:hAnsi="Arial Narrow"/>
                <w:sz w:val="24"/>
                <w:szCs w:val="24"/>
              </w:rPr>
              <w:t>6.7</w:t>
            </w:r>
            <w:r w:rsidRPr="00714902">
              <w:rPr>
                <w:rFonts w:ascii="Arial Narrow" w:hAnsi="Arial Narrow"/>
                <w:sz w:val="24"/>
                <w:szCs w:val="24"/>
              </w:rPr>
              <w:t>%</w:t>
            </w:r>
          </w:p>
        </w:tc>
        <w:tc>
          <w:tcPr>
            <w:tcW w:w="1530" w:type="dxa"/>
          </w:tcPr>
          <w:p w14:paraId="00B74614" w14:textId="47D93ACC" w:rsidR="00820DD1" w:rsidRPr="00714902" w:rsidRDefault="001D62B5" w:rsidP="00697918">
            <w:pPr>
              <w:spacing w:line="276" w:lineRule="auto"/>
              <w:rPr>
                <w:rFonts w:ascii="Arial Narrow" w:hAnsi="Arial Narrow"/>
                <w:sz w:val="24"/>
                <w:szCs w:val="24"/>
              </w:rPr>
            </w:pPr>
            <w:r>
              <w:rPr>
                <w:rFonts w:ascii="Arial Narrow" w:hAnsi="Arial Narrow"/>
                <w:sz w:val="24"/>
                <w:szCs w:val="24"/>
              </w:rPr>
              <w:t>10</w:t>
            </w:r>
            <w:r w:rsidR="00820DD1" w:rsidRPr="00714902">
              <w:rPr>
                <w:rFonts w:ascii="Arial Narrow" w:hAnsi="Arial Narrow"/>
                <w:sz w:val="24"/>
                <w:szCs w:val="24"/>
              </w:rPr>
              <w:t xml:space="preserve">, </w:t>
            </w:r>
            <w:r>
              <w:rPr>
                <w:rFonts w:ascii="Arial Narrow" w:hAnsi="Arial Narrow"/>
                <w:sz w:val="24"/>
                <w:szCs w:val="24"/>
              </w:rPr>
              <w:t>7</w:t>
            </w:r>
          </w:p>
        </w:tc>
        <w:tc>
          <w:tcPr>
            <w:tcW w:w="1300" w:type="dxa"/>
          </w:tcPr>
          <w:p w14:paraId="2DF0EDAD" w14:textId="32F75CA1" w:rsidR="00820DD1" w:rsidRPr="00714902" w:rsidRDefault="001D62B5" w:rsidP="00697918">
            <w:pPr>
              <w:spacing w:line="276" w:lineRule="auto"/>
              <w:rPr>
                <w:rFonts w:ascii="Arial Narrow" w:hAnsi="Arial Narrow"/>
                <w:sz w:val="24"/>
                <w:szCs w:val="24"/>
              </w:rPr>
            </w:pPr>
            <w:r>
              <w:rPr>
                <w:rFonts w:ascii="Arial Narrow" w:hAnsi="Arial Narrow"/>
                <w:sz w:val="24"/>
                <w:szCs w:val="24"/>
              </w:rPr>
              <w:t>70</w:t>
            </w:r>
            <w:r w:rsidR="00820DD1" w:rsidRPr="00714902">
              <w:rPr>
                <w:rFonts w:ascii="Arial Narrow" w:hAnsi="Arial Narrow"/>
                <w:sz w:val="24"/>
                <w:szCs w:val="24"/>
              </w:rPr>
              <w:t>%</w:t>
            </w:r>
          </w:p>
        </w:tc>
      </w:tr>
      <w:tr w:rsidR="00820DD1" w:rsidRPr="00714902" w14:paraId="51BCD0CD" w14:textId="18D36D3E" w:rsidTr="000E7217">
        <w:tc>
          <w:tcPr>
            <w:tcW w:w="1705" w:type="dxa"/>
          </w:tcPr>
          <w:p w14:paraId="55D420E6" w14:textId="77777777" w:rsidR="00820DD1" w:rsidRPr="00714902" w:rsidRDefault="00820DD1" w:rsidP="00697918">
            <w:pPr>
              <w:spacing w:line="276" w:lineRule="auto"/>
              <w:rPr>
                <w:rFonts w:ascii="Arial Narrow" w:hAnsi="Arial Narrow"/>
                <w:sz w:val="24"/>
                <w:szCs w:val="24"/>
              </w:rPr>
            </w:pPr>
          </w:p>
        </w:tc>
        <w:tc>
          <w:tcPr>
            <w:tcW w:w="1532" w:type="dxa"/>
          </w:tcPr>
          <w:p w14:paraId="45FEFA76" w14:textId="4D47E0C7" w:rsidR="00820DD1" w:rsidRPr="00714902" w:rsidRDefault="003C7E4B" w:rsidP="00697918">
            <w:pPr>
              <w:spacing w:line="276" w:lineRule="auto"/>
              <w:rPr>
                <w:rFonts w:ascii="Arial Narrow" w:hAnsi="Arial Narrow"/>
                <w:sz w:val="24"/>
                <w:szCs w:val="24"/>
              </w:rPr>
            </w:pPr>
            <w:r>
              <w:rPr>
                <w:rFonts w:ascii="Arial Narrow" w:hAnsi="Arial Narrow" w:hint="eastAsia"/>
                <w:sz w:val="24"/>
                <w:szCs w:val="24"/>
              </w:rPr>
              <w:t>Kunming</w:t>
            </w:r>
          </w:p>
        </w:tc>
        <w:tc>
          <w:tcPr>
            <w:tcW w:w="1720" w:type="dxa"/>
          </w:tcPr>
          <w:p w14:paraId="61DB51B7" w14:textId="7F06455C" w:rsidR="00820DD1" w:rsidRPr="00714902" w:rsidRDefault="007A4732" w:rsidP="00697918">
            <w:pPr>
              <w:spacing w:line="276" w:lineRule="auto"/>
              <w:rPr>
                <w:rFonts w:ascii="Arial Narrow" w:hAnsi="Arial Narrow"/>
                <w:sz w:val="24"/>
                <w:szCs w:val="24"/>
              </w:rPr>
            </w:pPr>
            <w:r>
              <w:rPr>
                <w:rFonts w:ascii="Arial Narrow" w:hAnsi="Arial Narrow"/>
                <w:sz w:val="24"/>
                <w:szCs w:val="24"/>
              </w:rPr>
              <w:t>3</w:t>
            </w:r>
            <w:r w:rsidR="00820DD1" w:rsidRPr="00714902">
              <w:rPr>
                <w:rFonts w:ascii="Arial Narrow" w:hAnsi="Arial Narrow"/>
                <w:sz w:val="24"/>
                <w:szCs w:val="24"/>
              </w:rPr>
              <w:t>,2</w:t>
            </w:r>
          </w:p>
        </w:tc>
        <w:tc>
          <w:tcPr>
            <w:tcW w:w="1563" w:type="dxa"/>
          </w:tcPr>
          <w:p w14:paraId="220FC31C" w14:textId="498D5E72" w:rsidR="00820DD1" w:rsidRPr="00714902" w:rsidRDefault="007A4732" w:rsidP="00697918">
            <w:pPr>
              <w:spacing w:line="276" w:lineRule="auto"/>
              <w:rPr>
                <w:rFonts w:ascii="Arial Narrow" w:hAnsi="Arial Narrow"/>
                <w:sz w:val="24"/>
                <w:szCs w:val="24"/>
              </w:rPr>
            </w:pPr>
            <w:r>
              <w:rPr>
                <w:rFonts w:ascii="Arial Narrow" w:hAnsi="Arial Narrow"/>
                <w:sz w:val="24"/>
                <w:szCs w:val="24"/>
              </w:rPr>
              <w:t>66.7</w:t>
            </w:r>
            <w:r w:rsidR="00820DD1" w:rsidRPr="00714902">
              <w:rPr>
                <w:rFonts w:ascii="Arial Narrow" w:hAnsi="Arial Narrow"/>
                <w:sz w:val="24"/>
                <w:szCs w:val="24"/>
              </w:rPr>
              <w:t>%</w:t>
            </w:r>
          </w:p>
        </w:tc>
        <w:tc>
          <w:tcPr>
            <w:tcW w:w="1530" w:type="dxa"/>
          </w:tcPr>
          <w:p w14:paraId="10C3AE35" w14:textId="3AC857AA" w:rsidR="00820DD1" w:rsidRPr="00714902" w:rsidRDefault="00643108" w:rsidP="00697918">
            <w:pPr>
              <w:spacing w:line="276" w:lineRule="auto"/>
              <w:rPr>
                <w:rFonts w:ascii="Arial Narrow" w:hAnsi="Arial Narrow"/>
                <w:sz w:val="24"/>
                <w:szCs w:val="24"/>
              </w:rPr>
            </w:pPr>
            <w:r>
              <w:rPr>
                <w:rFonts w:ascii="Arial Narrow" w:hAnsi="Arial Narrow"/>
                <w:sz w:val="24"/>
                <w:szCs w:val="24"/>
              </w:rPr>
              <w:t>2</w:t>
            </w:r>
            <w:r w:rsidR="00820DD1" w:rsidRPr="00714902">
              <w:rPr>
                <w:rFonts w:ascii="Arial Narrow" w:hAnsi="Arial Narrow"/>
                <w:sz w:val="24"/>
                <w:szCs w:val="24"/>
              </w:rPr>
              <w:t xml:space="preserve">, </w:t>
            </w:r>
            <w:r>
              <w:rPr>
                <w:rFonts w:ascii="Arial Narrow" w:hAnsi="Arial Narrow"/>
                <w:sz w:val="24"/>
                <w:szCs w:val="24"/>
              </w:rPr>
              <w:t>2</w:t>
            </w:r>
          </w:p>
        </w:tc>
        <w:tc>
          <w:tcPr>
            <w:tcW w:w="1300" w:type="dxa"/>
          </w:tcPr>
          <w:p w14:paraId="0212AF21" w14:textId="6F2A670E" w:rsidR="00820DD1" w:rsidRPr="00714902" w:rsidRDefault="00643108" w:rsidP="00697918">
            <w:pPr>
              <w:spacing w:line="276" w:lineRule="auto"/>
              <w:rPr>
                <w:rFonts w:ascii="Arial Narrow" w:hAnsi="Arial Narrow"/>
                <w:sz w:val="24"/>
                <w:szCs w:val="24"/>
              </w:rPr>
            </w:pPr>
            <w:r>
              <w:rPr>
                <w:rFonts w:ascii="Arial Narrow" w:hAnsi="Arial Narrow"/>
                <w:sz w:val="24"/>
                <w:szCs w:val="24"/>
              </w:rPr>
              <w:t>100</w:t>
            </w:r>
            <w:r w:rsidR="00820DD1" w:rsidRPr="00714902">
              <w:rPr>
                <w:rFonts w:ascii="Arial Narrow" w:hAnsi="Arial Narrow"/>
                <w:sz w:val="24"/>
                <w:szCs w:val="24"/>
              </w:rPr>
              <w:t>%</w:t>
            </w:r>
          </w:p>
        </w:tc>
      </w:tr>
      <w:tr w:rsidR="00820DD1" w:rsidRPr="00714902" w14:paraId="404BECFF" w14:textId="017F26E6" w:rsidTr="000E7217">
        <w:tc>
          <w:tcPr>
            <w:tcW w:w="1705" w:type="dxa"/>
          </w:tcPr>
          <w:p w14:paraId="74481A55" w14:textId="367A9971"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Northern Inland</w:t>
            </w:r>
          </w:p>
        </w:tc>
        <w:tc>
          <w:tcPr>
            <w:tcW w:w="1532" w:type="dxa"/>
          </w:tcPr>
          <w:p w14:paraId="118AE730" w14:textId="3FDC2847"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Beijing</w:t>
            </w:r>
          </w:p>
        </w:tc>
        <w:tc>
          <w:tcPr>
            <w:tcW w:w="1720" w:type="dxa"/>
          </w:tcPr>
          <w:p w14:paraId="18D3D097" w14:textId="493F8C21" w:rsidR="00820DD1" w:rsidRPr="00714902" w:rsidRDefault="003644AD" w:rsidP="00697918">
            <w:pPr>
              <w:spacing w:line="276" w:lineRule="auto"/>
              <w:rPr>
                <w:rFonts w:ascii="Arial Narrow" w:hAnsi="Arial Narrow"/>
                <w:sz w:val="24"/>
                <w:szCs w:val="24"/>
              </w:rPr>
            </w:pPr>
            <w:r>
              <w:rPr>
                <w:rFonts w:ascii="Arial Narrow" w:hAnsi="Arial Narrow"/>
                <w:sz w:val="24"/>
                <w:szCs w:val="24"/>
              </w:rPr>
              <w:t>3</w:t>
            </w:r>
            <w:r w:rsidR="00820DD1" w:rsidRPr="00714902">
              <w:rPr>
                <w:rFonts w:ascii="Arial Narrow" w:hAnsi="Arial Narrow"/>
                <w:sz w:val="24"/>
                <w:szCs w:val="24"/>
              </w:rPr>
              <w:t>,2</w:t>
            </w:r>
          </w:p>
        </w:tc>
        <w:tc>
          <w:tcPr>
            <w:tcW w:w="1563" w:type="dxa"/>
          </w:tcPr>
          <w:p w14:paraId="46B2469E" w14:textId="49AB17A9" w:rsidR="00820DD1" w:rsidRPr="00714902" w:rsidRDefault="003644AD" w:rsidP="00697918">
            <w:pPr>
              <w:spacing w:line="276" w:lineRule="auto"/>
              <w:rPr>
                <w:rFonts w:ascii="Arial Narrow" w:hAnsi="Arial Narrow"/>
                <w:sz w:val="24"/>
                <w:szCs w:val="24"/>
              </w:rPr>
            </w:pPr>
            <w:r>
              <w:rPr>
                <w:rFonts w:ascii="Arial Narrow" w:hAnsi="Arial Narrow"/>
                <w:sz w:val="24"/>
                <w:szCs w:val="24"/>
              </w:rPr>
              <w:t>66.7</w:t>
            </w:r>
            <w:r w:rsidR="00820DD1" w:rsidRPr="00714902">
              <w:rPr>
                <w:rFonts w:ascii="Arial Narrow" w:hAnsi="Arial Narrow"/>
                <w:sz w:val="24"/>
                <w:szCs w:val="24"/>
              </w:rPr>
              <w:t>%</w:t>
            </w:r>
          </w:p>
        </w:tc>
        <w:tc>
          <w:tcPr>
            <w:tcW w:w="1530" w:type="dxa"/>
          </w:tcPr>
          <w:p w14:paraId="270E8FAC" w14:textId="7EFE4781"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4, 3</w:t>
            </w:r>
          </w:p>
        </w:tc>
        <w:tc>
          <w:tcPr>
            <w:tcW w:w="1300" w:type="dxa"/>
          </w:tcPr>
          <w:p w14:paraId="0603F2D1" w14:textId="062C399C"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75%</w:t>
            </w:r>
          </w:p>
        </w:tc>
      </w:tr>
      <w:tr w:rsidR="00820DD1" w:rsidRPr="00714902" w14:paraId="55A9F6BE" w14:textId="2062661C" w:rsidTr="000E7217">
        <w:tc>
          <w:tcPr>
            <w:tcW w:w="1705" w:type="dxa"/>
          </w:tcPr>
          <w:p w14:paraId="1B730034" w14:textId="77777777" w:rsidR="00820DD1" w:rsidRPr="00714902" w:rsidRDefault="00820DD1" w:rsidP="00697918">
            <w:pPr>
              <w:spacing w:line="276" w:lineRule="auto"/>
              <w:rPr>
                <w:rFonts w:ascii="Arial Narrow" w:hAnsi="Arial Narrow"/>
                <w:sz w:val="24"/>
                <w:szCs w:val="24"/>
              </w:rPr>
            </w:pPr>
          </w:p>
        </w:tc>
        <w:tc>
          <w:tcPr>
            <w:tcW w:w="1532" w:type="dxa"/>
          </w:tcPr>
          <w:p w14:paraId="25DB7C0C" w14:textId="3E39A3CC"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Taiyuan</w:t>
            </w:r>
          </w:p>
        </w:tc>
        <w:tc>
          <w:tcPr>
            <w:tcW w:w="1720" w:type="dxa"/>
          </w:tcPr>
          <w:p w14:paraId="703291D4" w14:textId="5ED09A04"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6,</w:t>
            </w:r>
            <w:r w:rsidR="003644AD">
              <w:rPr>
                <w:rFonts w:ascii="Arial Narrow" w:hAnsi="Arial Narrow"/>
                <w:sz w:val="24"/>
                <w:szCs w:val="24"/>
              </w:rPr>
              <w:t>4</w:t>
            </w:r>
          </w:p>
        </w:tc>
        <w:tc>
          <w:tcPr>
            <w:tcW w:w="1563" w:type="dxa"/>
          </w:tcPr>
          <w:p w14:paraId="376C6D4D" w14:textId="3EE5AD99" w:rsidR="00820DD1" w:rsidRPr="00714902" w:rsidRDefault="003644AD" w:rsidP="00697918">
            <w:pPr>
              <w:spacing w:line="276" w:lineRule="auto"/>
              <w:rPr>
                <w:rFonts w:ascii="Arial Narrow" w:hAnsi="Arial Narrow"/>
                <w:sz w:val="24"/>
                <w:szCs w:val="24"/>
              </w:rPr>
            </w:pPr>
            <w:r>
              <w:rPr>
                <w:rFonts w:ascii="Arial Narrow" w:hAnsi="Arial Narrow"/>
                <w:sz w:val="24"/>
                <w:szCs w:val="24"/>
              </w:rPr>
              <w:t>66.7</w:t>
            </w:r>
            <w:r w:rsidR="00820DD1" w:rsidRPr="00714902">
              <w:rPr>
                <w:rFonts w:ascii="Arial Narrow" w:hAnsi="Arial Narrow"/>
                <w:sz w:val="24"/>
                <w:szCs w:val="24"/>
              </w:rPr>
              <w:t>%</w:t>
            </w:r>
          </w:p>
        </w:tc>
        <w:tc>
          <w:tcPr>
            <w:tcW w:w="1530" w:type="dxa"/>
          </w:tcPr>
          <w:p w14:paraId="042E02B7" w14:textId="7C0A14E6"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6, 6</w:t>
            </w:r>
          </w:p>
        </w:tc>
        <w:tc>
          <w:tcPr>
            <w:tcW w:w="1300" w:type="dxa"/>
          </w:tcPr>
          <w:p w14:paraId="79F40028" w14:textId="5165878E"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r>
      <w:tr w:rsidR="00820DD1" w:rsidRPr="00714902" w14:paraId="2587D2B7" w14:textId="0EE7DF94" w:rsidTr="000E7217">
        <w:tc>
          <w:tcPr>
            <w:tcW w:w="1705" w:type="dxa"/>
          </w:tcPr>
          <w:p w14:paraId="4D54EC0C" w14:textId="77777777" w:rsidR="00820DD1" w:rsidRPr="00714902" w:rsidRDefault="00820DD1" w:rsidP="00697918">
            <w:pPr>
              <w:spacing w:line="276" w:lineRule="auto"/>
              <w:rPr>
                <w:rFonts w:ascii="Arial Narrow" w:hAnsi="Arial Narrow"/>
                <w:sz w:val="24"/>
                <w:szCs w:val="24"/>
              </w:rPr>
            </w:pPr>
          </w:p>
        </w:tc>
        <w:tc>
          <w:tcPr>
            <w:tcW w:w="1532" w:type="dxa"/>
          </w:tcPr>
          <w:p w14:paraId="4DF063B2" w14:textId="21A5B46A"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Longkou</w:t>
            </w:r>
          </w:p>
        </w:tc>
        <w:tc>
          <w:tcPr>
            <w:tcW w:w="1720" w:type="dxa"/>
          </w:tcPr>
          <w:p w14:paraId="1A2D8D9E" w14:textId="770B3B04"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2,2</w:t>
            </w:r>
          </w:p>
        </w:tc>
        <w:tc>
          <w:tcPr>
            <w:tcW w:w="1563" w:type="dxa"/>
          </w:tcPr>
          <w:p w14:paraId="3E9642A7" w14:textId="7E2694C1"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100%</w:t>
            </w:r>
          </w:p>
        </w:tc>
        <w:tc>
          <w:tcPr>
            <w:tcW w:w="1530" w:type="dxa"/>
          </w:tcPr>
          <w:p w14:paraId="25475521" w14:textId="29D0B145"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4, 2</w:t>
            </w:r>
          </w:p>
        </w:tc>
        <w:tc>
          <w:tcPr>
            <w:tcW w:w="1300" w:type="dxa"/>
          </w:tcPr>
          <w:p w14:paraId="7078EBBB" w14:textId="2CC163F9" w:rsidR="00820DD1" w:rsidRPr="00714902" w:rsidRDefault="00820DD1" w:rsidP="00697918">
            <w:pPr>
              <w:spacing w:line="276" w:lineRule="auto"/>
              <w:rPr>
                <w:rFonts w:ascii="Arial Narrow" w:hAnsi="Arial Narrow"/>
                <w:sz w:val="24"/>
                <w:szCs w:val="24"/>
              </w:rPr>
            </w:pPr>
            <w:r w:rsidRPr="00714902">
              <w:rPr>
                <w:rFonts w:ascii="Arial Narrow" w:hAnsi="Arial Narrow"/>
                <w:sz w:val="24"/>
                <w:szCs w:val="24"/>
              </w:rPr>
              <w:t>50%</w:t>
            </w:r>
          </w:p>
        </w:tc>
      </w:tr>
    </w:tbl>
    <w:p w14:paraId="54A2EC73" w14:textId="77777777" w:rsidR="000664DA" w:rsidRPr="00714902" w:rsidRDefault="000664DA" w:rsidP="003121B1">
      <w:pPr>
        <w:spacing w:line="480" w:lineRule="auto"/>
        <w:rPr>
          <w:sz w:val="24"/>
          <w:szCs w:val="24"/>
        </w:rPr>
      </w:pPr>
    </w:p>
    <w:p w14:paraId="4FE01B5A" w14:textId="3DECCDE7" w:rsidR="00C14A5C" w:rsidRPr="00714902" w:rsidRDefault="00C14A5C" w:rsidP="003121B1">
      <w:pPr>
        <w:spacing w:line="480" w:lineRule="auto"/>
        <w:rPr>
          <w:b/>
          <w:bCs/>
          <w:sz w:val="24"/>
          <w:szCs w:val="24"/>
        </w:rPr>
      </w:pPr>
      <w:r w:rsidRPr="00714902">
        <w:rPr>
          <w:b/>
          <w:bCs/>
          <w:sz w:val="24"/>
          <w:szCs w:val="24"/>
        </w:rPr>
        <w:t>Multi</w:t>
      </w:r>
      <w:r w:rsidR="00650C20" w:rsidRPr="00714902">
        <w:rPr>
          <w:b/>
          <w:bCs/>
          <w:sz w:val="24"/>
          <w:szCs w:val="24"/>
        </w:rPr>
        <w:t>-stage complex sampling design</w:t>
      </w:r>
    </w:p>
    <w:p w14:paraId="652B8F43" w14:textId="45B7B7E9" w:rsidR="00367D6F" w:rsidRPr="00714902" w:rsidRDefault="00367D6F" w:rsidP="003121B1">
      <w:pPr>
        <w:spacing w:line="480" w:lineRule="auto"/>
        <w:jc w:val="both"/>
        <w:rPr>
          <w:i/>
          <w:iCs/>
          <w:sz w:val="24"/>
          <w:szCs w:val="24"/>
        </w:rPr>
      </w:pPr>
      <w:r w:rsidRPr="00714902">
        <w:rPr>
          <w:i/>
          <w:iCs/>
          <w:sz w:val="24"/>
          <w:szCs w:val="24"/>
        </w:rPr>
        <w:t>Sample size</w:t>
      </w:r>
      <w:r w:rsidR="00FD65FB" w:rsidRPr="00714902">
        <w:rPr>
          <w:i/>
          <w:iCs/>
          <w:sz w:val="24"/>
          <w:szCs w:val="24"/>
        </w:rPr>
        <w:t>s of PSU and SSU</w:t>
      </w:r>
    </w:p>
    <w:p w14:paraId="38E38A5C" w14:textId="7FE1E6A2" w:rsidR="00D223D8" w:rsidRPr="00714902" w:rsidRDefault="005663BB" w:rsidP="003121B1">
      <w:pPr>
        <w:spacing w:line="480" w:lineRule="auto"/>
        <w:jc w:val="both"/>
        <w:rPr>
          <w:sz w:val="24"/>
          <w:szCs w:val="24"/>
        </w:rPr>
      </w:pPr>
      <w:r w:rsidRPr="00714902">
        <w:rPr>
          <w:sz w:val="24"/>
          <w:szCs w:val="24"/>
        </w:rPr>
        <w:t>Because</w:t>
      </w:r>
      <w:r w:rsidR="004A6D0D" w:rsidRPr="00714902">
        <w:rPr>
          <w:sz w:val="24"/>
          <w:szCs w:val="24"/>
        </w:rPr>
        <w:t xml:space="preserve"> the variance of standard school size is relatively small</w:t>
      </w:r>
      <w:r w:rsidR="008E72CD" w:rsidRPr="00714902">
        <w:rPr>
          <w:sz w:val="24"/>
          <w:szCs w:val="24"/>
        </w:rPr>
        <w:t>,</w:t>
      </w:r>
      <w:r w:rsidRPr="00714902">
        <w:rPr>
          <w:sz w:val="24"/>
          <w:szCs w:val="24"/>
        </w:rPr>
        <w:t xml:space="preserve"> the number of tertiary sampling units (classes) were determined </w:t>
      </w:r>
      <w:r w:rsidR="004A6D0D" w:rsidRPr="00714902">
        <w:rPr>
          <w:i/>
          <w:iCs/>
          <w:sz w:val="24"/>
          <w:szCs w:val="24"/>
        </w:rPr>
        <w:t>a priori</w:t>
      </w:r>
      <w:r w:rsidR="008E72CD" w:rsidRPr="00714902">
        <w:rPr>
          <w:sz w:val="24"/>
          <w:szCs w:val="24"/>
        </w:rPr>
        <w:t xml:space="preserve"> to be equal. Therefore, the survey’s design is reduced to two-stage cluster sampling</w:t>
      </w:r>
      <w:r w:rsidR="00CD6A8F" w:rsidRPr="00714902">
        <w:rPr>
          <w:sz w:val="24"/>
          <w:szCs w:val="24"/>
        </w:rPr>
        <w:t xml:space="preserve"> with a quota on school type. In two-stage cluster sampling, </w:t>
      </w:r>
      <w:r w:rsidR="00CC648A" w:rsidRPr="00714902">
        <w:rPr>
          <w:sz w:val="24"/>
          <w:szCs w:val="24"/>
        </w:rPr>
        <w:t xml:space="preserve">the goal </w:t>
      </w:r>
      <w:r w:rsidR="005B166F" w:rsidRPr="00714902">
        <w:rPr>
          <w:sz w:val="24"/>
          <w:szCs w:val="24"/>
        </w:rPr>
        <w:t xml:space="preserve">of the survey is to cover as much variability with </w:t>
      </w:r>
      <w:proofErr w:type="spellStart"/>
      <w:r w:rsidR="005B166F" w:rsidRPr="00714902">
        <w:rPr>
          <w:sz w:val="24"/>
          <w:szCs w:val="24"/>
        </w:rPr>
        <w:t>as</w:t>
      </w:r>
      <w:proofErr w:type="spellEnd"/>
      <w:r w:rsidR="005B166F" w:rsidRPr="00714902">
        <w:rPr>
          <w:sz w:val="24"/>
          <w:szCs w:val="24"/>
        </w:rPr>
        <w:t xml:space="preserve"> least cost and inconvenience.</w:t>
      </w:r>
      <w:r w:rsidR="009C7055" w:rsidRPr="00714902">
        <w:rPr>
          <w:sz w:val="24"/>
          <w:szCs w:val="24"/>
        </w:rPr>
        <w:t xml:space="preserve"> At the first stage of choosing PSU, </w:t>
      </w:r>
      <w:r w:rsidR="00D223D8" w:rsidRPr="00714902">
        <w:rPr>
          <w:sz w:val="24"/>
          <w:szCs w:val="24"/>
        </w:rPr>
        <w:t>treating all PSU as equal without replacement, simply use formula (</w:t>
      </w:r>
      <w:r w:rsidR="00342DED" w:rsidRPr="00714902">
        <w:rPr>
          <w:sz w:val="24"/>
          <w:szCs w:val="24"/>
        </w:rPr>
        <w:t>Cochran 1977</w:t>
      </w:r>
      <w:r w:rsidR="00D223D8" w:rsidRPr="00714902">
        <w:rPr>
          <w:sz w:val="24"/>
          <w:szCs w:val="24"/>
        </w:rPr>
        <w:t>):</w:t>
      </w:r>
    </w:p>
    <w:p w14:paraId="788987D6" w14:textId="3221232D" w:rsidR="00813EA5" w:rsidRPr="00714902" w:rsidRDefault="00813EA5" w:rsidP="003121B1">
      <w:pPr>
        <w:spacing w:line="480" w:lineRule="auto"/>
        <w:jc w:val="both"/>
        <w:rPr>
          <w:sz w:val="24"/>
          <w:szCs w:val="24"/>
        </w:rPr>
      </w:pPr>
      <m:oMathPara>
        <m:oMath>
          <m:r>
            <w:rPr>
              <w:rFonts w:ascii="Cambria Math" w:hAnsi="Cambria Math"/>
              <w:sz w:val="24"/>
              <w:szCs w:val="24"/>
            </w:rPr>
            <m:t>m=</m:t>
          </m:r>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z</m:t>
                  </m:r>
                </m:e>
                <m:sub>
                  <m:f>
                    <m:fPr>
                      <m:ctrlPr>
                        <w:rPr>
                          <w:rFonts w:ascii="Cambria Math" w:hAnsi="Cambria Math"/>
                          <w:sz w:val="24"/>
                          <w:szCs w:val="24"/>
                        </w:rPr>
                      </m:ctrlPr>
                    </m:fPr>
                    <m:num>
                      <m:r>
                        <w:rPr>
                          <w:rFonts w:ascii="Cambria Math" w:hAnsi="Cambria Math"/>
                          <w:sz w:val="24"/>
                          <w:szCs w:val="24"/>
                        </w:rPr>
                        <m:t>a</m:t>
                      </m:r>
                      <m:ctrlPr>
                        <w:rPr>
                          <w:rFonts w:ascii="Cambria Math" w:hAnsi="Cambria Math"/>
                          <w:i/>
                          <w:sz w:val="24"/>
                          <w:szCs w:val="24"/>
                        </w:rPr>
                      </m:ctrlPr>
                    </m:num>
                    <m:den>
                      <m:r>
                        <m:rPr>
                          <m:sty m:val="p"/>
                        </m:rPr>
                        <w:rPr>
                          <w:rFonts w:ascii="Cambria Math" w:hAnsi="Cambria Math"/>
                          <w:sz w:val="24"/>
                          <w:szCs w:val="24"/>
                        </w:rPr>
                        <m:t>2</m:t>
                      </m:r>
                    </m:den>
                  </m:f>
                </m:sub>
                <m:sup>
                  <m:r>
                    <m:rPr>
                      <m:sty m:val="p"/>
                    </m:rPr>
                    <w:rPr>
                      <w:rFonts w:ascii="Cambria Math" w:hAnsi="Cambria Math"/>
                      <w:sz w:val="24"/>
                      <w:szCs w:val="24"/>
                    </w:rPr>
                    <m:t>2</m:t>
                  </m:r>
                </m:sup>
              </m:sSubSup>
              <m:r>
                <w:rPr>
                  <w:rFonts w:ascii="Cambria Math" w:hAnsi="Cambria Math"/>
                  <w:sz w:val="24"/>
                  <w:szCs w:val="24"/>
                </w:rPr>
                <m:t>v</m:t>
              </m:r>
              <m:ctrlPr>
                <w:rPr>
                  <w:rFonts w:ascii="Cambria Math" w:hAnsi="Cambria Math"/>
                  <w:i/>
                  <w:sz w:val="24"/>
                  <w:szCs w:val="24"/>
                </w:rPr>
              </m:ctrlPr>
            </m:num>
            <m:den>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M-1</m:t>
              </m:r>
            </m:den>
          </m:f>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a</m:t>
              </m:r>
              <m:r>
                <m:rPr>
                  <m:sty m:val="p"/>
                </m:rPr>
                <w:rPr>
                  <w:rFonts w:ascii="Cambria Math" w:hAnsi="Cambria Math"/>
                  <w:sz w:val="24"/>
                  <w:szCs w:val="24"/>
                </w:rPr>
                <m:t>/2</m:t>
              </m:r>
            </m:sub>
            <m:sup>
              <m:r>
                <m:rPr>
                  <m:sty m:val="p"/>
                </m:rPr>
                <w:rPr>
                  <w:rFonts w:ascii="Cambria Math" w:hAnsi="Cambria Math"/>
                  <w:sz w:val="24"/>
                  <w:szCs w:val="24"/>
                </w:rPr>
                <m:t>2</m:t>
              </m:r>
            </m:sup>
          </m:sSubSup>
          <m:r>
            <w:rPr>
              <w:rFonts w:ascii="Cambria Math" w:hAnsi="Cambria Math"/>
              <w:sz w:val="24"/>
              <w:szCs w:val="24"/>
            </w:rPr>
            <m:t>v</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sz w:val="24"/>
                  <w:szCs w:val="24"/>
                </w:rPr>
                <m:t>2</m:t>
              </m:r>
            </m:sup>
          </m:sSup>
        </m:oMath>
      </m:oMathPara>
    </w:p>
    <w:p w14:paraId="241DD678" w14:textId="54B48D29" w:rsidR="00A57393" w:rsidRPr="00714902" w:rsidRDefault="00A57393" w:rsidP="003121B1">
      <w:pPr>
        <w:spacing w:line="480" w:lineRule="auto"/>
        <w:jc w:val="both"/>
        <w:rPr>
          <w:sz w:val="24"/>
          <w:szCs w:val="24"/>
        </w:rPr>
      </w:pPr>
      <w:r w:rsidRPr="00714902">
        <w:rPr>
          <w:sz w:val="24"/>
          <w:szCs w:val="24"/>
        </w:rPr>
        <w:t xml:space="preserve">Where </w:t>
      </w:r>
      <m:oMath>
        <m:sSubSup>
          <m:sSubSupPr>
            <m:ctrlPr>
              <w:rPr>
                <w:rFonts w:ascii="Cambria Math" w:hAnsi="Cambria Math"/>
                <w:sz w:val="24"/>
                <w:szCs w:val="24"/>
              </w:rPr>
            </m:ctrlPr>
          </m:sSubSupPr>
          <m:e>
            <m:r>
              <w:rPr>
                <w:rFonts w:ascii="Cambria Math" w:hAnsi="Cambria Math"/>
                <w:sz w:val="24"/>
                <w:szCs w:val="24"/>
              </w:rPr>
              <m:t>z</m:t>
            </m:r>
          </m:e>
          <m:sub>
            <m:f>
              <m:fPr>
                <m:ctrlPr>
                  <w:rPr>
                    <w:rFonts w:ascii="Cambria Math" w:hAnsi="Cambria Math"/>
                    <w:sz w:val="24"/>
                    <w:szCs w:val="24"/>
                  </w:rPr>
                </m:ctrlPr>
              </m:fPr>
              <m:num>
                <m:r>
                  <w:rPr>
                    <w:rFonts w:ascii="Cambria Math" w:hAnsi="Cambria Math"/>
                    <w:sz w:val="24"/>
                    <w:szCs w:val="24"/>
                  </w:rPr>
                  <m:t>a</m:t>
                </m:r>
                <m:ctrlPr>
                  <w:rPr>
                    <w:rFonts w:ascii="Cambria Math" w:hAnsi="Cambria Math"/>
                    <w:i/>
                    <w:sz w:val="24"/>
                    <w:szCs w:val="24"/>
                  </w:rPr>
                </m:ctrlPr>
              </m:num>
              <m:den>
                <m:r>
                  <m:rPr>
                    <m:sty m:val="p"/>
                  </m:rPr>
                  <w:rPr>
                    <w:rFonts w:ascii="Cambria Math" w:hAnsi="Cambria Math"/>
                    <w:sz w:val="24"/>
                    <w:szCs w:val="24"/>
                  </w:rPr>
                  <m:t>2</m:t>
                </m:r>
              </m:den>
            </m:f>
          </m:sub>
          <m:sup>
            <m:r>
              <m:rPr>
                <m:sty m:val="p"/>
              </m:rPr>
              <w:rPr>
                <w:rFonts w:ascii="Cambria Math" w:hAnsi="Cambria Math"/>
                <w:sz w:val="24"/>
                <w:szCs w:val="24"/>
              </w:rPr>
              <m:t>2</m:t>
            </m:r>
          </m:sup>
        </m:sSubSup>
      </m:oMath>
      <w:r w:rsidRPr="00714902">
        <w:rPr>
          <w:sz w:val="24"/>
          <w:szCs w:val="24"/>
        </w:rPr>
        <w:t xml:space="preserve"> is 1.96 for 5% of significance level, </w:t>
      </w:r>
      <m:oMath>
        <m:r>
          <w:rPr>
            <w:rFonts w:ascii="Cambria Math" w:hAnsi="Cambria Math"/>
            <w:sz w:val="24"/>
            <w:szCs w:val="24"/>
          </w:rPr>
          <m:t>v</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sz w:val="24"/>
                <w:szCs w:val="24"/>
              </w:rPr>
              <m:t>2</m:t>
            </m:r>
          </m:sup>
        </m:sSup>
      </m:oMath>
      <w:r w:rsidR="00930646" w:rsidRPr="00714902">
        <w:rPr>
          <w:sz w:val="24"/>
          <w:szCs w:val="24"/>
        </w:rPr>
        <w:t xml:space="preserve"> is </w:t>
      </w:r>
      <w:r w:rsidR="00605A3A" w:rsidRPr="00714902">
        <w:rPr>
          <w:sz w:val="24"/>
          <w:szCs w:val="24"/>
        </w:rPr>
        <w:t>.10</w:t>
      </w:r>
      <w:r w:rsidR="002A1F78" w:rsidRPr="00714902">
        <w:rPr>
          <w:sz w:val="24"/>
          <w:szCs w:val="24"/>
        </w:rPr>
        <w:t>*.90</w:t>
      </w:r>
      <w:r w:rsidR="00930646" w:rsidRPr="00714902">
        <w:rPr>
          <w:sz w:val="24"/>
          <w:szCs w:val="24"/>
        </w:rPr>
        <w:t xml:space="preserve"> for </w:t>
      </w:r>
      <w:r w:rsidR="00450B07" w:rsidRPr="00714902">
        <w:rPr>
          <w:sz w:val="24"/>
          <w:szCs w:val="24"/>
        </w:rPr>
        <w:t>the default level of 10% smoking prevalence</w:t>
      </w:r>
      <w:r w:rsidR="001E46E1" w:rsidRPr="00714902">
        <w:rPr>
          <w:sz w:val="24"/>
          <w:szCs w:val="24"/>
        </w:rPr>
        <w:t xml:space="preserve"> from our pilot study in Guangdong province</w:t>
      </w:r>
      <w:r w:rsidR="00450B07" w:rsidRPr="00714902">
        <w:rPr>
          <w:sz w:val="24"/>
          <w:szCs w:val="24"/>
        </w:rPr>
        <w:t xml:space="preserve">, m is </w:t>
      </w:r>
      <w:r w:rsidR="00ED65F7" w:rsidRPr="00714902">
        <w:rPr>
          <w:sz w:val="24"/>
          <w:szCs w:val="24"/>
        </w:rPr>
        <w:t>estimated in column 4</w:t>
      </w:r>
      <w:r w:rsidR="001C6EE9" w:rsidRPr="00714902">
        <w:rPr>
          <w:sz w:val="24"/>
          <w:szCs w:val="24"/>
        </w:rPr>
        <w:t xml:space="preserve"> of Table </w:t>
      </w:r>
      <w:r w:rsidR="00714591" w:rsidRPr="00714902">
        <w:rPr>
          <w:sz w:val="24"/>
          <w:szCs w:val="24"/>
        </w:rPr>
        <w:t>3</w:t>
      </w:r>
      <w:r w:rsidR="00450B07" w:rsidRPr="00714902">
        <w:rPr>
          <w:sz w:val="24"/>
          <w:szCs w:val="24"/>
        </w:rPr>
        <w:t xml:space="preserve">. </w:t>
      </w:r>
    </w:p>
    <w:p w14:paraId="7EAAD581" w14:textId="1282D0AD" w:rsidR="00086A48" w:rsidRPr="00714902" w:rsidRDefault="009541FF" w:rsidP="003121B1">
      <w:pPr>
        <w:spacing w:line="480" w:lineRule="auto"/>
        <w:jc w:val="both"/>
        <w:rPr>
          <w:sz w:val="24"/>
          <w:szCs w:val="24"/>
        </w:rPr>
      </w:pPr>
      <w:r w:rsidRPr="00714902">
        <w:rPr>
          <w:sz w:val="24"/>
          <w:szCs w:val="24"/>
        </w:rPr>
        <w:t>For the size of SSU in each PSU,</w:t>
      </w:r>
      <w:r w:rsidR="00077DC5" w:rsidRPr="00714902">
        <w:rPr>
          <w:sz w:val="24"/>
          <w:szCs w:val="24"/>
        </w:rPr>
        <w:t xml:space="preserve"> we consider the internal and inter-PSU variability of SSU</w:t>
      </w:r>
      <w:r w:rsidR="00F71969" w:rsidRPr="00714902">
        <w:rPr>
          <w:sz w:val="24"/>
          <w:szCs w:val="24"/>
        </w:rPr>
        <w:t xml:space="preserve"> to determine the desired sample size.</w:t>
      </w:r>
      <w:r w:rsidRPr="00714902">
        <w:rPr>
          <w:sz w:val="24"/>
          <w:szCs w:val="24"/>
        </w:rPr>
        <w:t xml:space="preserve"> </w:t>
      </w:r>
      <w:r w:rsidR="00F71969" w:rsidRPr="00714902">
        <w:rPr>
          <w:sz w:val="24"/>
          <w:szCs w:val="24"/>
        </w:rPr>
        <w:t>O</w:t>
      </w:r>
      <w:r w:rsidR="00944898" w:rsidRPr="00714902">
        <w:rPr>
          <w:sz w:val="24"/>
          <w:szCs w:val="24"/>
        </w:rPr>
        <w:t>ne approach</w:t>
      </w:r>
      <w:r w:rsidR="00635628" w:rsidRPr="00714902">
        <w:rPr>
          <w:sz w:val="24"/>
          <w:szCs w:val="24"/>
        </w:rPr>
        <w:t xml:space="preserve"> (</w:t>
      </w:r>
      <w:proofErr w:type="spellStart"/>
      <w:r w:rsidR="00635628" w:rsidRPr="00714902">
        <w:rPr>
          <w:sz w:val="24"/>
          <w:szCs w:val="24"/>
        </w:rPr>
        <w:t>Lohr</w:t>
      </w:r>
      <w:proofErr w:type="spellEnd"/>
      <w:r w:rsidR="00635628" w:rsidRPr="00714902">
        <w:rPr>
          <w:sz w:val="24"/>
          <w:szCs w:val="24"/>
        </w:rPr>
        <w:t>, 2010)</w:t>
      </w:r>
      <w:r w:rsidR="00944898" w:rsidRPr="00714902">
        <w:rPr>
          <w:sz w:val="24"/>
          <w:szCs w:val="24"/>
        </w:rPr>
        <w:t xml:space="preserve"> </w:t>
      </w:r>
      <w:r w:rsidR="00F13F12" w:rsidRPr="00714902">
        <w:rPr>
          <w:sz w:val="24"/>
          <w:szCs w:val="24"/>
        </w:rPr>
        <w:t xml:space="preserve">is to minimize </w:t>
      </w:r>
      <m:oMath>
        <m:r>
          <w:rPr>
            <w:rFonts w:ascii="Cambria Math" w:hAnsi="Cambria Math"/>
            <w:sz w:val="24"/>
            <w:szCs w:val="24"/>
          </w:rPr>
          <m:t>V</m:t>
        </m:r>
        <m:d>
          <m:dPr>
            <m:ctrlPr>
              <w:rPr>
                <w:rFonts w:ascii="Cambria Math" w:hAnsi="Cambria Math"/>
                <w:i/>
                <w:sz w:val="24"/>
                <w:szCs w:val="24"/>
              </w:rPr>
            </m:ctrlPr>
          </m:dPr>
          <m:e>
            <m:acc>
              <m:accPr>
                <m:ctrlPr>
                  <w:rPr>
                    <w:rFonts w:ascii="Cambria Math" w:hAnsi="Cambria Math"/>
                    <w:i/>
                    <w:sz w:val="24"/>
                    <w:szCs w:val="24"/>
                  </w:rPr>
                </m:ctrlPr>
              </m:accPr>
              <m:e>
                <m:acc>
                  <m:accPr>
                    <m:chr m:val="̅"/>
                    <m:ctrlPr>
                      <w:rPr>
                        <w:rFonts w:ascii="Cambria Math" w:hAnsi="Cambria Math"/>
                        <w:i/>
                        <w:sz w:val="24"/>
                        <w:szCs w:val="24"/>
                      </w:rPr>
                    </m:ctrlPr>
                  </m:accPr>
                  <m:e>
                    <m:r>
                      <w:rPr>
                        <w:rFonts w:ascii="Cambria Math" w:hAnsi="Cambria Math"/>
                        <w:sz w:val="24"/>
                        <w:szCs w:val="24"/>
                      </w:rPr>
                      <m:t>y</m:t>
                    </m:r>
                  </m:e>
                </m:acc>
              </m:e>
            </m:acc>
          </m:e>
        </m:d>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m:t>
                    </m:r>
                  </m:den>
                </m:f>
              </m:e>
            </m:d>
            <m:r>
              <w:rPr>
                <w:rFonts w:ascii="Cambria Math" w:hAnsi="Cambria Math"/>
                <w:sz w:val="24"/>
                <w:szCs w:val="24"/>
              </w:rPr>
              <m:t>MSB</m:t>
            </m:r>
          </m:num>
          <m:den>
            <m:r>
              <w:rPr>
                <w:rFonts w:ascii="Cambria Math" w:hAnsi="Cambria Math"/>
                <w:sz w:val="24"/>
                <w:szCs w:val="24"/>
              </w:rPr>
              <m:t>nM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M</m:t>
                    </m:r>
                  </m:den>
                </m:f>
              </m:e>
            </m:d>
            <m:r>
              <w:rPr>
                <w:rFonts w:ascii="Cambria Math" w:hAnsi="Cambria Math"/>
                <w:sz w:val="24"/>
                <w:szCs w:val="24"/>
              </w:rPr>
              <m:t>MSW</m:t>
            </m:r>
          </m:num>
          <m:den>
            <m:r>
              <w:rPr>
                <w:rFonts w:ascii="Cambria Math" w:hAnsi="Cambria Math"/>
                <w:sz w:val="24"/>
                <w:szCs w:val="24"/>
              </w:rPr>
              <m:t>nm</m:t>
            </m:r>
          </m:den>
        </m:f>
      </m:oMath>
      <w:r w:rsidR="007A71F6" w:rsidRPr="00714902">
        <w:rPr>
          <w:sz w:val="24"/>
          <w:szCs w:val="24"/>
        </w:rPr>
        <w:t xml:space="preserve">, where MSB and MSW are the </w:t>
      </w:r>
      <w:r w:rsidR="00635628" w:rsidRPr="00714902">
        <w:rPr>
          <w:sz w:val="24"/>
          <w:szCs w:val="24"/>
        </w:rPr>
        <w:t xml:space="preserve">mean squares between and within PSU.  </w:t>
      </w:r>
      <w:r w:rsidR="009F11B8" w:rsidRPr="00714902">
        <w:rPr>
          <w:sz w:val="24"/>
          <w:szCs w:val="24"/>
        </w:rPr>
        <w:t xml:space="preserve">Consider the simple cost function as </w:t>
      </w:r>
      <m:oMath>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nm</m:t>
        </m:r>
      </m:oMath>
      <w:r w:rsidR="009F11B8" w:rsidRPr="00714902">
        <w:rPr>
          <w:sz w:val="24"/>
          <w:szCs w:val="24"/>
        </w:rPr>
        <w:t xml:space="preserve">, </w:t>
      </w:r>
      <w:r w:rsidR="000B6B8D" w:rsidRPr="00714902">
        <w:rPr>
          <w:sz w:val="24"/>
          <w:szCs w:val="24"/>
        </w:rPr>
        <w:t xml:space="preserve">where n is the sample size of </w:t>
      </w:r>
      <w:r w:rsidR="008D183E" w:rsidRPr="00714902">
        <w:rPr>
          <w:sz w:val="24"/>
          <w:szCs w:val="24"/>
        </w:rPr>
        <w:t>PSU and m is that of SSU, optimal</w:t>
      </w:r>
      <w:r w:rsidR="00086A48" w:rsidRPr="00714902">
        <w:rPr>
          <w:sz w:val="24"/>
          <w:szCs w:val="24"/>
        </w:rPr>
        <w:t xml:space="preserve"> </w:t>
      </w:r>
      <w:r w:rsidR="00F71969" w:rsidRPr="00714902">
        <w:rPr>
          <w:sz w:val="24"/>
          <w:szCs w:val="24"/>
        </w:rPr>
        <w:t>value</w:t>
      </w:r>
      <w:r w:rsidR="00086A48" w:rsidRPr="00714902">
        <w:rPr>
          <w:sz w:val="24"/>
          <w:szCs w:val="24"/>
        </w:rPr>
        <w:t>:</w:t>
      </w:r>
    </w:p>
    <w:p w14:paraId="5B4DEA5F" w14:textId="0456B00B" w:rsidR="00086A48" w:rsidRPr="00714902" w:rsidRDefault="00E807A3" w:rsidP="003121B1">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opt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num>
            <m:den>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opt</m:t>
                  </m:r>
                </m:sub>
              </m:sSub>
            </m:den>
          </m:f>
        </m:oMath>
      </m:oMathPara>
    </w:p>
    <w:p w14:paraId="628E0EDC" w14:textId="5F5F3E33" w:rsidR="00ED02FD" w:rsidRPr="00714902" w:rsidRDefault="00E807A3" w:rsidP="003121B1">
      <w:pPr>
        <w:spacing w:line="48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opt</m:t>
              </m:r>
            </m:sub>
          </m:sSub>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1-</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2</m:t>
                          </m:r>
                        </m:sup>
                      </m:sSubSup>
                    </m:e>
                  </m:d>
                </m:e>
              </m:ra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NM-1</m:t>
                  </m:r>
                </m:e>
              </m:d>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2</m:t>
                  </m:r>
                </m:sup>
              </m:sSubSup>
            </m:den>
          </m:f>
        </m:oMath>
      </m:oMathPara>
    </w:p>
    <w:p w14:paraId="5141CBDC" w14:textId="16260A3B" w:rsidR="005663BB" w:rsidRPr="00714902" w:rsidRDefault="00E807A3" w:rsidP="003121B1">
      <w:pPr>
        <w:spacing w:line="480" w:lineRule="auto"/>
        <w:jc w:val="both"/>
        <w:rPr>
          <w:sz w:val="24"/>
          <w:szCs w:val="24"/>
        </w:rPr>
      </w:pPr>
      <m:oMathPara>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2</m:t>
              </m:r>
            </m:sup>
          </m:sSubSup>
          <m:r>
            <w:rPr>
              <w:rFonts w:ascii="Cambria Math" w:hAnsi="Cambria Math"/>
              <w:sz w:val="24"/>
              <w:szCs w:val="24"/>
            </w:rPr>
            <m:t>=1-MSW/</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m:oMathPara>
    </w:p>
    <w:p w14:paraId="08587F63" w14:textId="11257CD2" w:rsidR="0001753C" w:rsidRPr="00714902" w:rsidRDefault="003710F1" w:rsidP="003121B1">
      <w:pPr>
        <w:spacing w:line="480" w:lineRule="auto"/>
        <w:jc w:val="both"/>
        <w:rPr>
          <w:sz w:val="24"/>
          <w:szCs w:val="24"/>
        </w:rPr>
      </w:pPr>
      <w:r w:rsidRPr="00714902">
        <w:rPr>
          <w:sz w:val="24"/>
          <w:szCs w:val="24"/>
        </w:rPr>
        <w:t>Once a school participates, classes follow suit without much difficulty.</w:t>
      </w:r>
      <w:r w:rsidR="0001753C" w:rsidRPr="00714902">
        <w:rPr>
          <w:sz w:val="24"/>
          <w:szCs w:val="24"/>
        </w:rPr>
        <w:t xml:space="preserve"> Thus, t</w:t>
      </w:r>
      <w:r w:rsidR="006955DA" w:rsidRPr="00714902">
        <w:rPr>
          <w:sz w:val="24"/>
          <w:szCs w:val="24"/>
        </w:rPr>
        <w:t xml:space="preserve">he cost of sampling </w:t>
      </w:r>
      <w:r w:rsidR="00A0215B" w:rsidRPr="00714902">
        <w:rPr>
          <w:sz w:val="24"/>
          <w:szCs w:val="24"/>
        </w:rPr>
        <w:t xml:space="preserve">PSU is </w:t>
      </w:r>
      <w:r w:rsidR="00763445" w:rsidRPr="00714902">
        <w:rPr>
          <w:sz w:val="24"/>
          <w:szCs w:val="24"/>
        </w:rPr>
        <w:t>higher than</w:t>
      </w:r>
      <w:r w:rsidR="00A0215B" w:rsidRPr="00714902">
        <w:rPr>
          <w:sz w:val="24"/>
          <w:szCs w:val="24"/>
        </w:rPr>
        <w:t xml:space="preserve"> </w:t>
      </w:r>
      <w:r w:rsidR="00553EF9" w:rsidRPr="00714902">
        <w:rPr>
          <w:sz w:val="24"/>
          <w:szCs w:val="24"/>
        </w:rPr>
        <w:t>that of sampling SSU,</w:t>
      </w:r>
      <w:r w:rsidR="00763445" w:rsidRPr="00714902">
        <w:rPr>
          <w:sz w:val="24"/>
          <w:szCs w:val="24"/>
        </w:rPr>
        <w:t xml:space="preserve"> set</w:t>
      </w:r>
      <w:r w:rsidR="006955DA" w:rsidRPr="00714902">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sidR="0001753C" w:rsidRPr="00714902">
        <w:rPr>
          <w:sz w:val="24"/>
          <w:szCs w:val="24"/>
        </w:rPr>
        <w:t>=</w:t>
      </w:r>
      <m:oMath>
        <m:r>
          <w:rPr>
            <w:rFonts w:ascii="Cambria Math" w:hAnsi="Cambria Math"/>
            <w:sz w:val="24"/>
            <w:szCs w:val="24"/>
          </w:rPr>
          <m:t>4*</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sidR="00890D2D" w:rsidRPr="00714902">
        <w:rPr>
          <w:sz w:val="24"/>
          <w:szCs w:val="24"/>
        </w:rPr>
        <w:t>.</w:t>
      </w:r>
      <w:r w:rsidR="008A66E7" w:rsidRPr="00714902">
        <w:rPr>
          <w:sz w:val="24"/>
          <w:szCs w:val="24"/>
        </w:rPr>
        <w:t xml:space="preserve"> </w:t>
      </w:r>
      <w:r w:rsidR="00366B3E" w:rsidRPr="00714902">
        <w:rPr>
          <w:sz w:val="24"/>
          <w:szCs w:val="24"/>
        </w:rPr>
        <w:t xml:space="preserve">The ratio of 4 is also the amount the survey compensates </w:t>
      </w:r>
      <w:r w:rsidR="00520720" w:rsidRPr="00714902">
        <w:rPr>
          <w:sz w:val="24"/>
          <w:szCs w:val="24"/>
        </w:rPr>
        <w:t xml:space="preserve">school coordinators versus teachers. </w:t>
      </w:r>
      <w:r w:rsidR="008A66E7" w:rsidRPr="00714902">
        <w:rPr>
          <w:sz w:val="24"/>
          <w:szCs w:val="24"/>
        </w:rPr>
        <w:t xml:space="preserve">Assuming MSW is </w:t>
      </w:r>
      <w:r w:rsidR="00D66DF1" w:rsidRPr="00714902">
        <w:rPr>
          <w:sz w:val="24"/>
          <w:szCs w:val="24"/>
        </w:rPr>
        <w:t>7</w:t>
      </w:r>
      <w:r w:rsidR="008A66E7" w:rsidRPr="00714902">
        <w:rPr>
          <w:sz w:val="24"/>
          <w:szCs w:val="24"/>
        </w:rPr>
        <w:t xml:space="preserve">0% of the total variance, the homogeneity measure </w:t>
      </w:r>
      <m:oMath>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2</m:t>
            </m:r>
          </m:sup>
        </m:sSubSup>
      </m:oMath>
      <w:r w:rsidR="008A66E7" w:rsidRPr="00714902">
        <w:rPr>
          <w:sz w:val="24"/>
          <w:szCs w:val="24"/>
        </w:rPr>
        <w:t xml:space="preserve"> is 0.</w:t>
      </w:r>
      <w:r w:rsidR="00D66DF1" w:rsidRPr="00714902">
        <w:rPr>
          <w:sz w:val="24"/>
          <w:szCs w:val="24"/>
        </w:rPr>
        <w:t>3</w:t>
      </w:r>
      <w:r w:rsidR="00244F76" w:rsidRPr="00714902">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opt</m:t>
            </m:r>
          </m:sub>
        </m:sSub>
      </m:oMath>
      <w:r w:rsidR="00244F76" w:rsidRPr="00714902">
        <w:rPr>
          <w:sz w:val="24"/>
          <w:szCs w:val="24"/>
        </w:rPr>
        <w:t xml:space="preserve"> is .88</w:t>
      </w:r>
      <w:r w:rsidR="00601E2D" w:rsidRPr="00714902">
        <w:rPr>
          <w:sz w:val="24"/>
          <w:szCs w:val="24"/>
        </w:rPr>
        <w:t xml:space="preserve"> for the first three regions and .90 for Inland North.</w:t>
      </w:r>
      <w:r w:rsidR="00A957D1" w:rsidRPr="00714902">
        <w:rPr>
          <w:sz w:val="24"/>
          <w:szCs w:val="24"/>
        </w:rPr>
        <w:t xml:space="preserve"> The number of SSU in </w:t>
      </w:r>
      <m:oMath>
        <m:r>
          <w:rPr>
            <w:rFonts w:ascii="Cambria Math" w:hAnsi="Cambria Math"/>
            <w:sz w:val="24"/>
            <w:szCs w:val="24"/>
          </w:rPr>
          <m:t>PS</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B67BC0" w:rsidRPr="00714902">
        <w:rPr>
          <w:sz w:val="24"/>
          <w:szCs w:val="24"/>
        </w:rPr>
        <w:t xml:space="preserve"> is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00B67BC0" w:rsidRPr="00714902">
        <w:rPr>
          <w:sz w:val="24"/>
          <w:szCs w:val="24"/>
        </w:rPr>
        <w:t xml:space="preserve">, the average </w:t>
      </w:r>
      <w:r w:rsidR="006424B4" w:rsidRPr="00714902">
        <w:rPr>
          <w:sz w:val="24"/>
          <w:szCs w:val="24"/>
        </w:rPr>
        <w:t xml:space="preserve">N in each regional sample frame is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nary>
        <m:r>
          <w:rPr>
            <w:rFonts w:ascii="Cambria Math" w:hAnsi="Cambria Math"/>
            <w:sz w:val="24"/>
            <w:szCs w:val="24"/>
          </w:rPr>
          <m:t>/M</m:t>
        </m:r>
      </m:oMath>
      <w:r w:rsidR="00FA1027" w:rsidRPr="00714902">
        <w:rPr>
          <w:sz w:val="24"/>
          <w:szCs w:val="24"/>
        </w:rPr>
        <w:t>.</w:t>
      </w:r>
      <w:r w:rsidR="00F36A6E" w:rsidRPr="00714902">
        <w:rPr>
          <w:sz w:val="24"/>
          <w:szCs w:val="24"/>
        </w:rPr>
        <w:t xml:space="preserve"> Optimal PSU and SSU sizes can be determined accordingly and </w:t>
      </w:r>
      <w:r w:rsidR="002C1F68" w:rsidRPr="00714902">
        <w:rPr>
          <w:sz w:val="24"/>
          <w:szCs w:val="24"/>
        </w:rPr>
        <w:t xml:space="preserve">are listed in Table </w:t>
      </w:r>
      <w:r w:rsidR="00714591" w:rsidRPr="00714902">
        <w:rPr>
          <w:sz w:val="24"/>
          <w:szCs w:val="24"/>
        </w:rPr>
        <w:t>3</w:t>
      </w:r>
      <w:r w:rsidR="002C1F68" w:rsidRPr="00714902">
        <w:rPr>
          <w:sz w:val="24"/>
          <w:szCs w:val="24"/>
        </w:rPr>
        <w:t>.</w:t>
      </w:r>
      <w:r w:rsidR="00257821" w:rsidRPr="00714902">
        <w:rPr>
          <w:sz w:val="24"/>
          <w:szCs w:val="24"/>
        </w:rPr>
        <w:t xml:space="preserve"> </w:t>
      </w:r>
      <w:r w:rsidR="00FF0D68" w:rsidRPr="00714902">
        <w:rPr>
          <w:sz w:val="24"/>
          <w:szCs w:val="24"/>
        </w:rPr>
        <w:t xml:space="preserve">In each region, </w:t>
      </w:r>
      <w:r w:rsidR="00510FB3" w:rsidRPr="00714902">
        <w:rPr>
          <w:sz w:val="24"/>
          <w:szCs w:val="24"/>
        </w:rPr>
        <w:t>optimal PSU</w:t>
      </w:r>
      <w:r w:rsidR="00FF0D68" w:rsidRPr="00714902">
        <w:rPr>
          <w:sz w:val="24"/>
          <w:szCs w:val="24"/>
        </w:rPr>
        <w:t xml:space="preserve"> </w:t>
      </w:r>
      <w:r w:rsidR="00510FB3" w:rsidRPr="00714902">
        <w:rPr>
          <w:sz w:val="24"/>
          <w:szCs w:val="24"/>
        </w:rPr>
        <w:t xml:space="preserve">indicates </w:t>
      </w:r>
      <w:r w:rsidR="00F71969" w:rsidRPr="00714902">
        <w:rPr>
          <w:sz w:val="24"/>
          <w:szCs w:val="24"/>
        </w:rPr>
        <w:t>the number of SSU needed in each PSU that both maximizes variability and minimizes costs</w:t>
      </w:r>
      <w:r w:rsidR="00F8587D" w:rsidRPr="00714902">
        <w:rPr>
          <w:sz w:val="24"/>
          <w:szCs w:val="24"/>
        </w:rPr>
        <w:t xml:space="preserve">. </w:t>
      </w:r>
      <w:r w:rsidR="0022642D" w:rsidRPr="00714902">
        <w:rPr>
          <w:sz w:val="24"/>
          <w:szCs w:val="24"/>
        </w:rPr>
        <w:t>The products of optimal PSU value and optimal SSU are shown in column 5.</w:t>
      </w:r>
    </w:p>
    <w:p w14:paraId="3265DD0E" w14:textId="59B79389" w:rsidR="00EE4045" w:rsidRPr="00714902" w:rsidRDefault="00F433CF" w:rsidP="003121B1">
      <w:pPr>
        <w:spacing w:line="480" w:lineRule="auto"/>
        <w:jc w:val="both"/>
        <w:rPr>
          <w:i/>
          <w:iCs/>
          <w:sz w:val="24"/>
          <w:szCs w:val="24"/>
        </w:rPr>
      </w:pPr>
      <w:r w:rsidRPr="00714902">
        <w:rPr>
          <w:i/>
          <w:iCs/>
          <w:sz w:val="24"/>
          <w:szCs w:val="24"/>
        </w:rPr>
        <w:t>Probability weighting and design effect</w:t>
      </w:r>
    </w:p>
    <w:p w14:paraId="65122887" w14:textId="5A547D3D" w:rsidR="0025291F" w:rsidRPr="00714902" w:rsidRDefault="0025291F" w:rsidP="003121B1">
      <w:pPr>
        <w:spacing w:line="480" w:lineRule="auto"/>
        <w:jc w:val="both"/>
        <w:rPr>
          <w:sz w:val="24"/>
          <w:szCs w:val="24"/>
        </w:rPr>
      </w:pPr>
      <w:r w:rsidRPr="00714902">
        <w:rPr>
          <w:sz w:val="24"/>
          <w:szCs w:val="24"/>
        </w:rPr>
        <w:t xml:space="preserve">In general, each standard class has </w:t>
      </w:r>
      <w:r w:rsidR="009F7505" w:rsidRPr="00714902">
        <w:rPr>
          <w:sz w:val="24"/>
          <w:szCs w:val="24"/>
        </w:rPr>
        <w:t>4</w:t>
      </w:r>
      <w:r w:rsidRPr="00714902">
        <w:rPr>
          <w:sz w:val="24"/>
          <w:szCs w:val="24"/>
        </w:rPr>
        <w:t>0 seats, the required respondent</w:t>
      </w:r>
      <w:r w:rsidR="0050744B" w:rsidRPr="00714902">
        <w:rPr>
          <w:sz w:val="24"/>
          <w:szCs w:val="24"/>
        </w:rPr>
        <w:t xml:space="preserve"> numbers</w:t>
      </w:r>
      <w:r w:rsidR="009716D6" w:rsidRPr="00714902">
        <w:rPr>
          <w:sz w:val="24"/>
          <w:szCs w:val="24"/>
        </w:rPr>
        <w:t xml:space="preserve"> (R)</w:t>
      </w:r>
      <w:r w:rsidR="0050744B" w:rsidRPr="00714902">
        <w:rPr>
          <w:sz w:val="24"/>
          <w:szCs w:val="24"/>
        </w:rPr>
        <w:t xml:space="preserve"> are listed in column 6 of Table </w:t>
      </w:r>
      <w:r w:rsidR="00714591" w:rsidRPr="00714902">
        <w:rPr>
          <w:sz w:val="24"/>
          <w:szCs w:val="24"/>
        </w:rPr>
        <w:t>3</w:t>
      </w:r>
      <w:r w:rsidR="0050744B" w:rsidRPr="00714902">
        <w:rPr>
          <w:sz w:val="24"/>
          <w:szCs w:val="24"/>
        </w:rPr>
        <w:t xml:space="preserve">. </w:t>
      </w:r>
      <w:r w:rsidR="00BE6868" w:rsidRPr="00714902">
        <w:rPr>
          <w:sz w:val="24"/>
          <w:szCs w:val="24"/>
        </w:rPr>
        <w:t xml:space="preserve">Actual </w:t>
      </w:r>
      <w:r w:rsidR="00615127" w:rsidRPr="00714902">
        <w:rPr>
          <w:sz w:val="24"/>
          <w:szCs w:val="24"/>
        </w:rPr>
        <w:t>sampled numbers</w:t>
      </w:r>
      <w:r w:rsidR="00BE6868" w:rsidRPr="00714902">
        <w:rPr>
          <w:sz w:val="24"/>
          <w:szCs w:val="24"/>
        </w:rPr>
        <w:t xml:space="preserve"> of PSU, SSU, and respondents</w:t>
      </w:r>
      <w:r w:rsidR="00A53A13" w:rsidRPr="00714902">
        <w:rPr>
          <w:sz w:val="24"/>
          <w:szCs w:val="24"/>
        </w:rPr>
        <w:t xml:space="preserve">, along with their </w:t>
      </w:r>
      <w:r w:rsidR="005E4C66" w:rsidRPr="00714902">
        <w:rPr>
          <w:sz w:val="24"/>
          <w:szCs w:val="24"/>
        </w:rPr>
        <w:t>weights</w:t>
      </w:r>
      <w:r w:rsidR="00A53A13" w:rsidRPr="00714902">
        <w:rPr>
          <w:sz w:val="24"/>
          <w:szCs w:val="24"/>
        </w:rPr>
        <w:t xml:space="preserve"> (</w:t>
      </w:r>
      <w:r w:rsidR="005E4C66" w:rsidRPr="00714902">
        <w:rPr>
          <w:rFonts w:ascii="Cambria Math" w:hAnsi="Cambria Math"/>
          <w:sz w:val="24"/>
          <w:szCs w:val="24"/>
        </w:rPr>
        <w:t>w</w:t>
      </w:r>
      <w:r w:rsidR="00A53A13" w:rsidRPr="00714902">
        <w:rPr>
          <w:sz w:val="24"/>
          <w:szCs w:val="24"/>
        </w:rPr>
        <w:t>)</w:t>
      </w:r>
      <w:r w:rsidR="00BE6868" w:rsidRPr="00714902">
        <w:rPr>
          <w:sz w:val="24"/>
          <w:szCs w:val="24"/>
        </w:rPr>
        <w:t xml:space="preserve"> are listed in columns </w:t>
      </w:r>
      <w:r w:rsidR="009E7895" w:rsidRPr="00714902">
        <w:rPr>
          <w:sz w:val="24"/>
          <w:szCs w:val="24"/>
        </w:rPr>
        <w:t>1-3</w:t>
      </w:r>
      <w:r w:rsidR="00BE6868" w:rsidRPr="00714902">
        <w:rPr>
          <w:sz w:val="24"/>
          <w:szCs w:val="24"/>
        </w:rPr>
        <w:t xml:space="preserve"> </w:t>
      </w:r>
      <w:r w:rsidR="009E7895" w:rsidRPr="00714902">
        <w:rPr>
          <w:sz w:val="24"/>
          <w:szCs w:val="24"/>
        </w:rPr>
        <w:t>of the right side panel of</w:t>
      </w:r>
      <w:r w:rsidR="00BE6868" w:rsidRPr="00714902">
        <w:rPr>
          <w:sz w:val="24"/>
          <w:szCs w:val="24"/>
        </w:rPr>
        <w:t xml:space="preserve"> Table </w:t>
      </w:r>
      <w:r w:rsidR="00714591" w:rsidRPr="00714902">
        <w:rPr>
          <w:sz w:val="24"/>
          <w:szCs w:val="24"/>
        </w:rPr>
        <w:t>3</w:t>
      </w:r>
      <w:r w:rsidR="00BE6868" w:rsidRPr="00714902">
        <w:rPr>
          <w:sz w:val="24"/>
          <w:szCs w:val="24"/>
        </w:rPr>
        <w:t>.</w:t>
      </w:r>
      <w:r w:rsidR="003834E2" w:rsidRPr="00714902">
        <w:rPr>
          <w:sz w:val="24"/>
          <w:szCs w:val="24"/>
        </w:rPr>
        <w:t xml:space="preserve"> These weights allow researchers to calculate the unequal weighting effect</w:t>
      </w:r>
      <w:r w:rsidR="00F30534" w:rsidRPr="00714902">
        <w:rPr>
          <w:sz w:val="24"/>
          <w:szCs w:val="24"/>
        </w:rPr>
        <w:t xml:space="preserve"> (UWE)</w:t>
      </w:r>
      <w:r w:rsidR="003834E2" w:rsidRPr="00714902">
        <w:rPr>
          <w:sz w:val="24"/>
          <w:szCs w:val="24"/>
        </w:rPr>
        <w:t xml:space="preserve"> and design effect</w:t>
      </w:r>
      <w:r w:rsidR="00F30534" w:rsidRPr="00714902">
        <w:rPr>
          <w:sz w:val="24"/>
          <w:szCs w:val="24"/>
        </w:rPr>
        <w:t xml:space="preserve"> (</w:t>
      </w:r>
      <w:proofErr w:type="spellStart"/>
      <w:r w:rsidR="009908ED" w:rsidRPr="00714902">
        <w:rPr>
          <w:sz w:val="24"/>
          <w:szCs w:val="24"/>
        </w:rPr>
        <w:t>D</w:t>
      </w:r>
      <w:r w:rsidR="00F30534" w:rsidRPr="00714902">
        <w:rPr>
          <w:sz w:val="24"/>
          <w:szCs w:val="24"/>
        </w:rPr>
        <w:t>eff</w:t>
      </w:r>
      <w:proofErr w:type="spellEnd"/>
      <w:r w:rsidR="00F30534" w:rsidRPr="00714902">
        <w:rPr>
          <w:sz w:val="24"/>
          <w:szCs w:val="24"/>
        </w:rPr>
        <w:t>):</w:t>
      </w:r>
    </w:p>
    <w:p w14:paraId="7981AC81" w14:textId="77777777" w:rsidR="00D523E3" w:rsidRPr="00714902" w:rsidRDefault="00F30534" w:rsidP="003121B1">
      <w:pPr>
        <w:spacing w:line="480" w:lineRule="auto"/>
        <w:jc w:val="both"/>
        <w:rPr>
          <w:sz w:val="24"/>
          <w:szCs w:val="24"/>
        </w:rPr>
      </w:pPr>
      <m:oMathPara>
        <m:oMath>
          <m:r>
            <w:rPr>
              <w:rFonts w:ascii="Cambria Math" w:hAnsi="Cambria Math"/>
              <w:sz w:val="24"/>
              <w:szCs w:val="24"/>
            </w:rPr>
            <m:t>UWE</m:t>
          </m:r>
          <m:r>
            <m:rPr>
              <m:sty m:val="p"/>
            </m:rPr>
            <w:rPr>
              <w:rFonts w:ascii="Cambria Math" w:hAnsi="Cambria Math"/>
              <w:sz w:val="24"/>
              <w:szCs w:val="24"/>
            </w:rPr>
            <m:t>=1+</m:t>
          </m:r>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w</m:t>
              </m:r>
            </m:sub>
            <m:sup>
              <m:r>
                <m:rPr>
                  <m:sty m:val="p"/>
                </m:rPr>
                <w:rPr>
                  <w:rFonts w:ascii="Cambria Math" w:hAnsi="Cambria Math"/>
                  <w:sz w:val="24"/>
                  <w:szCs w:val="24"/>
                </w:rPr>
                <m:t>2</m:t>
              </m:r>
            </m:sup>
          </m:sSubSup>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w</m:t>
              </m:r>
            </m:e>
          </m:acc>
        </m:oMath>
      </m:oMathPara>
    </w:p>
    <w:p w14:paraId="43C584F6" w14:textId="4434723E" w:rsidR="00F30534" w:rsidRPr="00714902" w:rsidRDefault="009908ED" w:rsidP="003121B1">
      <w:pPr>
        <w:spacing w:line="480" w:lineRule="auto"/>
        <w:jc w:val="both"/>
        <w:rPr>
          <w:sz w:val="24"/>
          <w:szCs w:val="24"/>
        </w:rPr>
      </w:pPr>
      <m:oMathPara>
        <m:oMath>
          <m:r>
            <w:rPr>
              <w:rFonts w:ascii="Cambria Math" w:hAnsi="Cambria Math"/>
              <w:sz w:val="24"/>
              <w:szCs w:val="24"/>
            </w:rPr>
            <m:t>Deff=</m:t>
          </m:r>
          <m:rad>
            <m:radPr>
              <m:degHide m:val="1"/>
              <m:ctrlPr>
                <w:rPr>
                  <w:rFonts w:ascii="Cambria Math" w:hAnsi="Cambria Math" w:cs="Times New Roman"/>
                  <w:i/>
                  <w:sz w:val="24"/>
                  <w:szCs w:val="24"/>
                </w:rPr>
              </m:ctrlPr>
            </m:radPr>
            <m:deg/>
            <m:e>
              <m:r>
                <w:rPr>
                  <w:rFonts w:ascii="Cambria Math" w:hAnsi="Cambria Math" w:cs="Times New Roman"/>
                  <w:sz w:val="24"/>
                  <w:szCs w:val="24"/>
                </w:rPr>
                <m:t>UWE+</m:t>
              </m:r>
              <m:d>
                <m:dPr>
                  <m:ctrlPr>
                    <w:rPr>
                      <w:rFonts w:ascii="Cambria Math" w:hAnsi="Cambria Math" w:cs="Times New Roman"/>
                      <w:i/>
                      <w:sz w:val="24"/>
                      <w:szCs w:val="24"/>
                    </w:rPr>
                  </m:ctrlPr>
                </m:dPr>
                <m:e>
                  <m:r>
                    <w:rPr>
                      <w:rFonts w:ascii="Cambria Math" w:hAnsi="Cambria Math" w:cs="Times New Roman"/>
                      <w:sz w:val="24"/>
                      <w:szCs w:val="24"/>
                    </w:rPr>
                    <m:t>M-1</m:t>
                  </m:r>
                </m:e>
              </m:d>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a</m:t>
                  </m:r>
                </m:sub>
                <m:sup>
                  <m:r>
                    <w:rPr>
                      <w:rFonts w:ascii="Cambria Math" w:hAnsi="Cambria Math"/>
                      <w:sz w:val="24"/>
                      <w:szCs w:val="24"/>
                    </w:rPr>
                    <m:t>2</m:t>
                  </m:r>
                </m:sup>
              </m:sSubSup>
            </m:e>
          </m:rad>
          <m:r>
            <m:rPr>
              <m:sty m:val="p"/>
            </m:rPr>
            <w:rPr>
              <w:sz w:val="24"/>
              <w:szCs w:val="24"/>
            </w:rPr>
            <w:br/>
          </m:r>
        </m:oMath>
      </m:oMathPara>
      <w:r w:rsidR="00D523E3" w:rsidRPr="00714902">
        <w:rPr>
          <w:sz w:val="24"/>
          <w:szCs w:val="24"/>
        </w:rPr>
        <w:t xml:space="preserve">where </w:t>
      </w:r>
      <m:oMath>
        <m:acc>
          <m:accPr>
            <m:chr m:val="̅"/>
            <m:ctrlPr>
              <w:rPr>
                <w:rFonts w:ascii="Cambria Math" w:hAnsi="Cambria Math"/>
                <w:sz w:val="24"/>
                <w:szCs w:val="24"/>
              </w:rPr>
            </m:ctrlPr>
          </m:accPr>
          <m:e>
            <m:r>
              <w:rPr>
                <w:rFonts w:ascii="Cambria Math" w:hAnsi="Cambria Math"/>
                <w:sz w:val="24"/>
                <w:szCs w:val="24"/>
              </w:rPr>
              <m:t>w</m:t>
            </m:r>
          </m:e>
        </m:acc>
      </m:oMath>
      <w:r w:rsidR="00D523E3" w:rsidRPr="00714902">
        <w:rPr>
          <w:sz w:val="24"/>
          <w:szCs w:val="24"/>
        </w:rPr>
        <w:t xml:space="preserve"> is the average of weights for </w:t>
      </w:r>
      <w:r w:rsidR="00AD55F3" w:rsidRPr="00714902">
        <w:rPr>
          <w:sz w:val="24"/>
          <w:szCs w:val="24"/>
        </w:rPr>
        <w:t>all units</w:t>
      </w:r>
      <w:r w:rsidR="00CC304A" w:rsidRPr="00714902">
        <w:rPr>
          <w:sz w:val="24"/>
          <w:szCs w:val="24"/>
        </w:rPr>
        <w:t xml:space="preserve"> and </w:t>
      </w:r>
      <m:oMath>
        <m:sSubSup>
          <m:sSubSupPr>
            <m:ctrlPr>
              <w:rPr>
                <w:rFonts w:ascii="Cambria Math" w:hAnsi="Cambria Math"/>
                <w:sz w:val="24"/>
                <w:szCs w:val="24"/>
              </w:rPr>
            </m:ctrlPr>
          </m:sSubSupPr>
          <m:e>
            <m:r>
              <w:rPr>
                <w:rFonts w:ascii="Cambria Math" w:hAnsi="Cambria Math"/>
                <w:sz w:val="24"/>
                <w:szCs w:val="24"/>
              </w:rPr>
              <m:t>s</m:t>
            </m:r>
          </m:e>
          <m:sub>
            <m:r>
              <w:rPr>
                <w:rFonts w:ascii="Cambria Math" w:hAnsi="Cambria Math"/>
                <w:sz w:val="24"/>
                <w:szCs w:val="24"/>
              </w:rPr>
              <m:t>w</m:t>
            </m:r>
          </m:sub>
          <m:sup>
            <m:r>
              <m:rPr>
                <m:sty m:val="p"/>
              </m:rPr>
              <w:rPr>
                <w:rFonts w:ascii="Cambria Math" w:hAnsi="Cambria Math"/>
                <w:sz w:val="24"/>
                <w:szCs w:val="24"/>
              </w:rPr>
              <m:t>2</m:t>
            </m:r>
          </m:sup>
        </m:sSubSup>
      </m:oMath>
      <w:r w:rsidR="00CC304A" w:rsidRPr="00714902">
        <w:rPr>
          <w:sz w:val="24"/>
          <w:szCs w:val="24"/>
        </w:rPr>
        <w:t xml:space="preserve"> is </w:t>
      </w:r>
      <w:r w:rsidR="00AD55F3" w:rsidRPr="00714902">
        <w:rPr>
          <w:sz w:val="24"/>
          <w:szCs w:val="24"/>
        </w:rPr>
        <w:t xml:space="preserve">their </w:t>
      </w:r>
      <w:r w:rsidR="00CC304A" w:rsidRPr="00714902">
        <w:rPr>
          <w:sz w:val="24"/>
          <w:szCs w:val="24"/>
        </w:rPr>
        <w:t xml:space="preserve">variance. </w:t>
      </w:r>
      <w:r w:rsidRPr="00714902">
        <w:rPr>
          <w:sz w:val="24"/>
          <w:szCs w:val="24"/>
        </w:rPr>
        <w:t xml:space="preserve">UWE and </w:t>
      </w:r>
      <w:proofErr w:type="spellStart"/>
      <w:r w:rsidRPr="00714902">
        <w:rPr>
          <w:sz w:val="24"/>
          <w:szCs w:val="24"/>
        </w:rPr>
        <w:t>Deff</w:t>
      </w:r>
      <w:proofErr w:type="spellEnd"/>
      <w:r w:rsidRPr="00714902">
        <w:rPr>
          <w:sz w:val="24"/>
          <w:szCs w:val="24"/>
        </w:rPr>
        <w:t xml:space="preserve"> are displayed in column</w:t>
      </w:r>
      <w:r w:rsidR="00D86E27" w:rsidRPr="00714902">
        <w:rPr>
          <w:sz w:val="24"/>
          <w:szCs w:val="24"/>
        </w:rPr>
        <w:t xml:space="preserve"> 4-5 of the </w:t>
      </w:r>
      <w:proofErr w:type="spellStart"/>
      <w:r w:rsidR="00D86E27" w:rsidRPr="00714902">
        <w:rPr>
          <w:sz w:val="24"/>
          <w:szCs w:val="24"/>
        </w:rPr>
        <w:t>rightside</w:t>
      </w:r>
      <w:proofErr w:type="spellEnd"/>
      <w:r w:rsidR="00D86E27" w:rsidRPr="00714902">
        <w:rPr>
          <w:sz w:val="24"/>
          <w:szCs w:val="24"/>
        </w:rPr>
        <w:t xml:space="preserve"> panel of Table </w:t>
      </w:r>
      <w:r w:rsidR="00714591" w:rsidRPr="00714902">
        <w:rPr>
          <w:sz w:val="24"/>
          <w:szCs w:val="24"/>
        </w:rPr>
        <w:t>3</w:t>
      </w:r>
      <w:r w:rsidR="00D86E27" w:rsidRPr="00714902">
        <w:rPr>
          <w:sz w:val="24"/>
          <w:szCs w:val="24"/>
        </w:rPr>
        <w:t>.</w:t>
      </w:r>
      <w:r w:rsidR="007A0BC1" w:rsidRPr="00714902">
        <w:rPr>
          <w:sz w:val="24"/>
          <w:szCs w:val="24"/>
        </w:rPr>
        <w:t xml:space="preserve"> </w:t>
      </w:r>
    </w:p>
    <w:p w14:paraId="0E4A06A2" w14:textId="4645B62F" w:rsidR="00863B7D" w:rsidRPr="00714902" w:rsidRDefault="00863B7D" w:rsidP="003121B1">
      <w:pPr>
        <w:spacing w:line="480" w:lineRule="auto"/>
        <w:jc w:val="both"/>
        <w:rPr>
          <w:sz w:val="24"/>
          <w:szCs w:val="24"/>
        </w:rPr>
      </w:pPr>
      <w:r w:rsidRPr="00714902">
        <w:rPr>
          <w:sz w:val="24"/>
          <w:szCs w:val="24"/>
        </w:rPr>
        <w:t xml:space="preserve">Table </w:t>
      </w:r>
      <w:r w:rsidR="00714591" w:rsidRPr="00714902">
        <w:rPr>
          <w:sz w:val="24"/>
          <w:szCs w:val="24"/>
        </w:rPr>
        <w:t>3</w:t>
      </w:r>
      <w:r w:rsidRPr="00714902">
        <w:rPr>
          <w:sz w:val="24"/>
          <w:szCs w:val="24"/>
        </w:rPr>
        <w:t xml:space="preserve">. </w:t>
      </w:r>
      <w:r w:rsidR="00501118" w:rsidRPr="00714902">
        <w:rPr>
          <w:sz w:val="24"/>
          <w:szCs w:val="24"/>
        </w:rPr>
        <w:t xml:space="preserve">Multi-stage complex survey design </w:t>
      </w:r>
      <w:r w:rsidR="00615127" w:rsidRPr="00714902">
        <w:rPr>
          <w:sz w:val="24"/>
          <w:szCs w:val="24"/>
        </w:rPr>
        <w:t>effects and weights</w:t>
      </w:r>
    </w:p>
    <w:tbl>
      <w:tblPr>
        <w:tblStyle w:val="TableGrid"/>
        <w:tblW w:w="1007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
        <w:gridCol w:w="736"/>
        <w:gridCol w:w="1415"/>
        <w:gridCol w:w="706"/>
        <w:gridCol w:w="1300"/>
        <w:gridCol w:w="965"/>
        <w:gridCol w:w="864"/>
        <w:gridCol w:w="772"/>
        <w:gridCol w:w="1037"/>
        <w:gridCol w:w="715"/>
        <w:gridCol w:w="626"/>
      </w:tblGrid>
      <w:tr w:rsidR="009716D6" w:rsidRPr="00714902" w14:paraId="555E649B" w14:textId="39EC26FD" w:rsidTr="009716D6">
        <w:trPr>
          <w:trHeight w:val="556"/>
        </w:trPr>
        <w:tc>
          <w:tcPr>
            <w:tcW w:w="0" w:type="auto"/>
            <w:tcBorders>
              <w:top w:val="single" w:sz="4" w:space="0" w:color="auto"/>
              <w:left w:val="single" w:sz="4" w:space="0" w:color="auto"/>
              <w:bottom w:val="single" w:sz="4" w:space="0" w:color="auto"/>
              <w:right w:val="nil"/>
            </w:tcBorders>
            <w:hideMark/>
          </w:tcPr>
          <w:p w14:paraId="48ED2DDF" w14:textId="7B1AFF70"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Region</w:t>
            </w:r>
          </w:p>
        </w:tc>
        <w:tc>
          <w:tcPr>
            <w:tcW w:w="738" w:type="dxa"/>
            <w:tcBorders>
              <w:top w:val="single" w:sz="4" w:space="0" w:color="auto"/>
              <w:left w:val="nil"/>
              <w:bottom w:val="single" w:sz="4" w:space="0" w:color="auto"/>
              <w:right w:val="nil"/>
            </w:tcBorders>
            <w:hideMark/>
          </w:tcPr>
          <w:p w14:paraId="2B9BD43F" w14:textId="522FC013"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#PSU (</w:t>
            </w:r>
            <m:oMath>
              <m:r>
                <w:rPr>
                  <w:rFonts w:ascii="Cambria Math" w:hAnsi="Cambria Math"/>
                  <w:sz w:val="24"/>
                  <w:szCs w:val="24"/>
                </w:rPr>
                <m:t>M</m:t>
              </m:r>
            </m:oMath>
            <w:r w:rsidRPr="00714902">
              <w:rPr>
                <w:rFonts w:ascii="Arial Narrow" w:hAnsi="Arial Narrow"/>
                <w:sz w:val="24"/>
                <w:szCs w:val="24"/>
              </w:rPr>
              <w:t>)</w:t>
            </w:r>
          </w:p>
        </w:tc>
        <w:tc>
          <w:tcPr>
            <w:tcW w:w="1471" w:type="dxa"/>
            <w:tcBorders>
              <w:top w:val="single" w:sz="4" w:space="0" w:color="auto"/>
              <w:left w:val="nil"/>
              <w:bottom w:val="single" w:sz="4" w:space="0" w:color="auto"/>
              <w:right w:val="nil"/>
            </w:tcBorders>
            <w:hideMark/>
          </w:tcPr>
          <w:p w14:paraId="352F51D9" w14:textId="32CE6A91"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 xml:space="preserve">#SSU </w:t>
            </w:r>
            <w:r w:rsidR="00820D7E" w:rsidRPr="00714902">
              <w:rPr>
                <w:rFonts w:ascii="Arial Narrow" w:hAnsi="Arial Narrow" w:hint="eastAsia"/>
                <w:sz w:val="24"/>
                <w:szCs w:val="24"/>
              </w:rPr>
              <w:t>each</w:t>
            </w:r>
            <w:r w:rsidR="00820D7E" w:rsidRPr="00714902">
              <w:rPr>
                <w:rFonts w:ascii="Arial Narrow" w:hAnsi="Arial Narrow"/>
                <w:sz w:val="24"/>
                <w:szCs w:val="24"/>
              </w:rPr>
              <w:t xml:space="preserve"> PSU </w:t>
            </w:r>
            <w:r w:rsidRPr="00714902">
              <w:rPr>
                <w:rFonts w:ascii="Arial Narrow" w:hAnsi="Arial Narrow"/>
                <w:sz w:val="24"/>
                <w:szCs w:val="24"/>
              </w:rPr>
              <w:t>(approx.)</w:t>
            </w:r>
          </w:p>
        </w:tc>
        <w:tc>
          <w:tcPr>
            <w:tcW w:w="720" w:type="dxa"/>
            <w:tcBorders>
              <w:top w:val="single" w:sz="4" w:space="0" w:color="auto"/>
              <w:left w:val="nil"/>
              <w:bottom w:val="single" w:sz="4" w:space="0" w:color="auto"/>
              <w:right w:val="nil"/>
            </w:tcBorders>
          </w:tcPr>
          <w:p w14:paraId="532A6C9F" w14:textId="46D10B68" w:rsidR="002438EE" w:rsidRPr="00714902" w:rsidRDefault="001D4083" w:rsidP="00697918">
            <w:pPr>
              <w:spacing w:line="276" w:lineRule="auto"/>
              <w:jc w:val="both"/>
              <w:rPr>
                <w:rFonts w:ascii="Arial Narrow" w:hAnsi="Arial Narrow"/>
                <w:sz w:val="24"/>
                <w:szCs w:val="24"/>
              </w:rPr>
            </w:pPr>
            <m:oMathPara>
              <m:oMath>
                <m:r>
                  <w:rPr>
                    <w:rFonts w:ascii="Cambria Math" w:hAnsi="Cambria Math"/>
                    <w:sz w:val="24"/>
                    <w:szCs w:val="24"/>
                  </w:rPr>
                  <m:t>m</m:t>
                </m:r>
              </m:oMath>
            </m:oMathPara>
          </w:p>
        </w:tc>
        <w:tc>
          <w:tcPr>
            <w:tcW w:w="1210" w:type="dxa"/>
            <w:tcBorders>
              <w:top w:val="single" w:sz="4" w:space="0" w:color="auto"/>
              <w:left w:val="nil"/>
              <w:bottom w:val="single" w:sz="4" w:space="0" w:color="auto"/>
              <w:right w:val="nil"/>
            </w:tcBorders>
          </w:tcPr>
          <w:p w14:paraId="469E46AB" w14:textId="18040C0E" w:rsidR="002438EE" w:rsidRPr="00714902" w:rsidRDefault="00E807A3" w:rsidP="00697918">
            <w:pPr>
              <w:spacing w:line="276" w:lineRule="auto"/>
              <w:jc w:val="both"/>
              <w:rPr>
                <w:rFonts w:ascii="Arial Narrow" w:hAnsi="Arial Narrow"/>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opt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opt</m:t>
                    </m:r>
                  </m:sub>
                </m:sSub>
              </m:oMath>
            </m:oMathPara>
          </w:p>
        </w:tc>
        <w:tc>
          <w:tcPr>
            <w:tcW w:w="1006" w:type="dxa"/>
            <w:tcBorders>
              <w:top w:val="single" w:sz="4" w:space="0" w:color="auto"/>
              <w:left w:val="nil"/>
              <w:bottom w:val="single" w:sz="4" w:space="0" w:color="auto"/>
              <w:right w:val="single" w:sz="4" w:space="0" w:color="auto"/>
            </w:tcBorders>
            <w:hideMark/>
          </w:tcPr>
          <w:p w14:paraId="7363C3E0" w14:textId="788C28FF" w:rsidR="002438EE" w:rsidRPr="00714902" w:rsidRDefault="00E807A3" w:rsidP="00697918">
            <w:pPr>
              <w:spacing w:line="276" w:lineRule="auto"/>
              <w:jc w:val="both"/>
              <w:rPr>
                <w:rFonts w:ascii="Arial Narrow" w:hAnsi="Arial Narrow"/>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opt</m:t>
                    </m:r>
                  </m:sub>
                </m:sSub>
              </m:oMath>
            </m:oMathPara>
          </w:p>
        </w:tc>
        <w:tc>
          <w:tcPr>
            <w:tcW w:w="900" w:type="dxa"/>
            <w:tcBorders>
              <w:top w:val="single" w:sz="4" w:space="0" w:color="auto"/>
              <w:left w:val="single" w:sz="4" w:space="0" w:color="auto"/>
              <w:bottom w:val="single" w:sz="4" w:space="0" w:color="auto"/>
              <w:right w:val="nil"/>
            </w:tcBorders>
          </w:tcPr>
          <w:p w14:paraId="62D3F3A3" w14:textId="488F34C1"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m, w</w:t>
            </w:r>
          </w:p>
        </w:tc>
        <w:tc>
          <w:tcPr>
            <w:tcW w:w="810" w:type="dxa"/>
            <w:tcBorders>
              <w:top w:val="single" w:sz="4" w:space="0" w:color="auto"/>
              <w:left w:val="nil"/>
              <w:bottom w:val="single" w:sz="4" w:space="0" w:color="auto"/>
              <w:right w:val="nil"/>
            </w:tcBorders>
          </w:tcPr>
          <w:p w14:paraId="1D0B4B0C" w14:textId="2A16AB53"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n, w</w:t>
            </w:r>
          </w:p>
        </w:tc>
        <w:tc>
          <w:tcPr>
            <w:tcW w:w="990" w:type="dxa"/>
            <w:tcBorders>
              <w:top w:val="single" w:sz="4" w:space="0" w:color="auto"/>
              <w:left w:val="nil"/>
              <w:bottom w:val="single" w:sz="4" w:space="0" w:color="auto"/>
              <w:right w:val="nil"/>
            </w:tcBorders>
          </w:tcPr>
          <w:p w14:paraId="1455A351" w14:textId="2E7EA17F"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n2, w</w:t>
            </w:r>
          </w:p>
        </w:tc>
        <w:tc>
          <w:tcPr>
            <w:tcW w:w="720" w:type="dxa"/>
            <w:tcBorders>
              <w:top w:val="single" w:sz="4" w:space="0" w:color="auto"/>
              <w:left w:val="nil"/>
              <w:bottom w:val="single" w:sz="4" w:space="0" w:color="auto"/>
              <w:right w:val="nil"/>
            </w:tcBorders>
          </w:tcPr>
          <w:p w14:paraId="291E0958" w14:textId="67078709"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UWE</w:t>
            </w:r>
          </w:p>
        </w:tc>
        <w:tc>
          <w:tcPr>
            <w:tcW w:w="630" w:type="dxa"/>
            <w:tcBorders>
              <w:top w:val="single" w:sz="4" w:space="0" w:color="auto"/>
              <w:left w:val="nil"/>
              <w:bottom w:val="single" w:sz="4" w:space="0" w:color="auto"/>
              <w:right w:val="single" w:sz="4" w:space="0" w:color="auto"/>
            </w:tcBorders>
          </w:tcPr>
          <w:p w14:paraId="33A08CBB" w14:textId="62ED4942" w:rsidR="002438EE" w:rsidRPr="00714902" w:rsidRDefault="002438EE" w:rsidP="00697918">
            <w:pPr>
              <w:spacing w:line="276" w:lineRule="auto"/>
              <w:jc w:val="both"/>
              <w:rPr>
                <w:rFonts w:ascii="Arial Narrow" w:hAnsi="Arial Narrow"/>
                <w:sz w:val="24"/>
                <w:szCs w:val="24"/>
              </w:rPr>
            </w:pPr>
            <w:proofErr w:type="spellStart"/>
            <w:r w:rsidRPr="00714902">
              <w:rPr>
                <w:rFonts w:ascii="Arial Narrow" w:hAnsi="Arial Narrow"/>
                <w:sz w:val="24"/>
                <w:szCs w:val="24"/>
              </w:rPr>
              <w:t>Deff</w:t>
            </w:r>
            <w:proofErr w:type="spellEnd"/>
          </w:p>
        </w:tc>
      </w:tr>
      <w:tr w:rsidR="009716D6" w:rsidRPr="00714902" w14:paraId="11683C54" w14:textId="0E7516C5" w:rsidTr="009716D6">
        <w:trPr>
          <w:trHeight w:val="281"/>
        </w:trPr>
        <w:tc>
          <w:tcPr>
            <w:tcW w:w="0" w:type="auto"/>
            <w:tcBorders>
              <w:top w:val="single" w:sz="4" w:space="0" w:color="auto"/>
              <w:left w:val="single" w:sz="4" w:space="0" w:color="auto"/>
              <w:bottom w:val="nil"/>
              <w:right w:val="nil"/>
            </w:tcBorders>
            <w:hideMark/>
          </w:tcPr>
          <w:p w14:paraId="21466E72" w14:textId="1472694A"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Yangtze Delta</w:t>
            </w:r>
          </w:p>
        </w:tc>
        <w:tc>
          <w:tcPr>
            <w:tcW w:w="738" w:type="dxa"/>
            <w:tcBorders>
              <w:top w:val="single" w:sz="4" w:space="0" w:color="auto"/>
              <w:left w:val="nil"/>
              <w:bottom w:val="nil"/>
              <w:right w:val="nil"/>
            </w:tcBorders>
          </w:tcPr>
          <w:p w14:paraId="12751F87" w14:textId="705552F1"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34</w:t>
            </w:r>
          </w:p>
        </w:tc>
        <w:tc>
          <w:tcPr>
            <w:tcW w:w="1471" w:type="dxa"/>
            <w:tcBorders>
              <w:top w:val="single" w:sz="4" w:space="0" w:color="auto"/>
              <w:left w:val="nil"/>
              <w:bottom w:val="nil"/>
              <w:right w:val="nil"/>
            </w:tcBorders>
          </w:tcPr>
          <w:p w14:paraId="32474560" w14:textId="3CE8DCFE"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14.0</w:t>
            </w:r>
          </w:p>
        </w:tc>
        <w:tc>
          <w:tcPr>
            <w:tcW w:w="720" w:type="dxa"/>
            <w:tcBorders>
              <w:top w:val="single" w:sz="4" w:space="0" w:color="auto"/>
              <w:left w:val="nil"/>
              <w:bottom w:val="nil"/>
              <w:right w:val="nil"/>
            </w:tcBorders>
          </w:tcPr>
          <w:p w14:paraId="5EF334BB" w14:textId="2236BAE5" w:rsidR="002438EE" w:rsidRPr="00714902" w:rsidRDefault="00195BA9" w:rsidP="00697918">
            <w:pPr>
              <w:spacing w:line="276" w:lineRule="auto"/>
              <w:jc w:val="both"/>
              <w:rPr>
                <w:rFonts w:ascii="Arial Narrow" w:hAnsi="Arial Narrow"/>
                <w:sz w:val="24"/>
                <w:szCs w:val="24"/>
              </w:rPr>
            </w:pPr>
            <w:r w:rsidRPr="00714902">
              <w:rPr>
                <w:rFonts w:ascii="Arial Narrow" w:hAnsi="Arial Narrow"/>
                <w:sz w:val="24"/>
                <w:szCs w:val="24"/>
              </w:rPr>
              <w:t>17.4</w:t>
            </w:r>
          </w:p>
        </w:tc>
        <w:tc>
          <w:tcPr>
            <w:tcW w:w="1210" w:type="dxa"/>
            <w:tcBorders>
              <w:top w:val="single" w:sz="4" w:space="0" w:color="auto"/>
              <w:left w:val="nil"/>
              <w:bottom w:val="nil"/>
              <w:right w:val="nil"/>
            </w:tcBorders>
          </w:tcPr>
          <w:p w14:paraId="2176BC54" w14:textId="000836B6" w:rsidR="002438EE" w:rsidRPr="00714902" w:rsidRDefault="0022642D" w:rsidP="00697918">
            <w:pPr>
              <w:spacing w:line="276" w:lineRule="auto"/>
              <w:jc w:val="both"/>
              <w:rPr>
                <w:rFonts w:ascii="Arial Narrow" w:hAnsi="Arial Narrow"/>
                <w:sz w:val="24"/>
                <w:szCs w:val="24"/>
              </w:rPr>
            </w:pPr>
            <w:r w:rsidRPr="00714902">
              <w:rPr>
                <w:rFonts w:ascii="Arial Narrow" w:hAnsi="Arial Narrow"/>
                <w:sz w:val="24"/>
                <w:szCs w:val="24"/>
              </w:rPr>
              <w:t>17.4*.</w:t>
            </w:r>
            <w:r w:rsidR="00825CEB" w:rsidRPr="00714902">
              <w:rPr>
                <w:rFonts w:ascii="Arial Narrow" w:hAnsi="Arial Narrow"/>
                <w:sz w:val="24"/>
                <w:szCs w:val="24"/>
              </w:rPr>
              <w:t>88</w:t>
            </w:r>
            <w:r w:rsidRPr="00714902">
              <w:rPr>
                <w:rFonts w:ascii="Arial Narrow" w:hAnsi="Arial Narrow"/>
                <w:sz w:val="24"/>
                <w:szCs w:val="24"/>
              </w:rPr>
              <w:t>=1</w:t>
            </w:r>
            <w:r w:rsidR="00825CEB" w:rsidRPr="00714902">
              <w:rPr>
                <w:rFonts w:ascii="Arial Narrow" w:hAnsi="Arial Narrow"/>
                <w:sz w:val="24"/>
                <w:szCs w:val="24"/>
              </w:rPr>
              <w:t>5</w:t>
            </w:r>
          </w:p>
        </w:tc>
        <w:tc>
          <w:tcPr>
            <w:tcW w:w="1006" w:type="dxa"/>
            <w:tcBorders>
              <w:top w:val="single" w:sz="4" w:space="0" w:color="auto"/>
              <w:left w:val="nil"/>
              <w:bottom w:val="nil"/>
              <w:right w:val="single" w:sz="4" w:space="0" w:color="auto"/>
            </w:tcBorders>
          </w:tcPr>
          <w:p w14:paraId="733D4AB7" w14:textId="657ADE96" w:rsidR="002438EE" w:rsidRPr="00714902" w:rsidRDefault="009F7505" w:rsidP="00697918">
            <w:pPr>
              <w:spacing w:line="276" w:lineRule="auto"/>
              <w:jc w:val="both"/>
              <w:rPr>
                <w:rFonts w:ascii="Arial Narrow" w:hAnsi="Arial Narrow"/>
                <w:sz w:val="24"/>
                <w:szCs w:val="24"/>
              </w:rPr>
            </w:pPr>
            <w:r w:rsidRPr="00714902">
              <w:rPr>
                <w:rFonts w:ascii="Arial Narrow" w:hAnsi="Arial Narrow"/>
                <w:sz w:val="24"/>
                <w:szCs w:val="24"/>
              </w:rPr>
              <w:t>600</w:t>
            </w:r>
          </w:p>
        </w:tc>
        <w:tc>
          <w:tcPr>
            <w:tcW w:w="900" w:type="dxa"/>
            <w:tcBorders>
              <w:top w:val="single" w:sz="4" w:space="0" w:color="auto"/>
              <w:left w:val="single" w:sz="4" w:space="0" w:color="auto"/>
              <w:bottom w:val="nil"/>
              <w:right w:val="nil"/>
            </w:tcBorders>
          </w:tcPr>
          <w:p w14:paraId="2B2CF280" w14:textId="79AADC1A"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 xml:space="preserve">8, </w:t>
            </w:r>
            <w:r w:rsidR="0013329E" w:rsidRPr="00714902">
              <w:rPr>
                <w:rFonts w:ascii="Arial Narrow" w:hAnsi="Arial Narrow"/>
                <w:sz w:val="24"/>
                <w:szCs w:val="24"/>
              </w:rPr>
              <w:t>2.</w:t>
            </w:r>
            <w:r w:rsidR="005D3A3E" w:rsidRPr="00714902">
              <w:rPr>
                <w:rFonts w:ascii="Arial Narrow" w:hAnsi="Arial Narrow"/>
                <w:sz w:val="24"/>
                <w:szCs w:val="24"/>
              </w:rPr>
              <w:t>22</w:t>
            </w:r>
          </w:p>
        </w:tc>
        <w:tc>
          <w:tcPr>
            <w:tcW w:w="810" w:type="dxa"/>
            <w:tcBorders>
              <w:top w:val="single" w:sz="4" w:space="0" w:color="auto"/>
              <w:left w:val="nil"/>
              <w:bottom w:val="nil"/>
              <w:right w:val="nil"/>
            </w:tcBorders>
          </w:tcPr>
          <w:p w14:paraId="158A229D" w14:textId="19B6502A"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 xml:space="preserve">10, </w:t>
            </w:r>
            <w:r w:rsidR="00BF0A67" w:rsidRPr="00714902">
              <w:rPr>
                <w:rFonts w:ascii="Arial Narrow" w:hAnsi="Arial Narrow"/>
                <w:sz w:val="24"/>
                <w:szCs w:val="24"/>
              </w:rPr>
              <w:t>1.2</w:t>
            </w:r>
          </w:p>
        </w:tc>
        <w:tc>
          <w:tcPr>
            <w:tcW w:w="990" w:type="dxa"/>
            <w:tcBorders>
              <w:top w:val="single" w:sz="4" w:space="0" w:color="auto"/>
              <w:left w:val="nil"/>
              <w:bottom w:val="nil"/>
              <w:right w:val="nil"/>
            </w:tcBorders>
          </w:tcPr>
          <w:p w14:paraId="19D50FE6" w14:textId="460DB0E5" w:rsidR="002438EE" w:rsidRPr="00714902" w:rsidRDefault="00DB42CB" w:rsidP="00697918">
            <w:pPr>
              <w:spacing w:line="276" w:lineRule="auto"/>
              <w:jc w:val="both"/>
              <w:rPr>
                <w:rFonts w:ascii="Arial Narrow" w:hAnsi="Arial Narrow"/>
                <w:sz w:val="24"/>
                <w:szCs w:val="24"/>
              </w:rPr>
            </w:pPr>
            <w:r>
              <w:rPr>
                <w:rFonts w:ascii="Arial Narrow" w:hAnsi="Arial Narrow"/>
                <w:sz w:val="24"/>
                <w:szCs w:val="24"/>
              </w:rPr>
              <w:t>1156</w:t>
            </w:r>
            <w:r w:rsidR="002438EE" w:rsidRPr="00714902">
              <w:rPr>
                <w:rFonts w:ascii="Arial Narrow" w:hAnsi="Arial Narrow"/>
                <w:sz w:val="24"/>
                <w:szCs w:val="24"/>
              </w:rPr>
              <w:t>, .</w:t>
            </w:r>
            <w:r w:rsidR="00DB12D9">
              <w:rPr>
                <w:rFonts w:ascii="Arial Narrow" w:hAnsi="Arial Narrow"/>
                <w:sz w:val="24"/>
                <w:szCs w:val="24"/>
              </w:rPr>
              <w:t>52</w:t>
            </w:r>
          </w:p>
        </w:tc>
        <w:tc>
          <w:tcPr>
            <w:tcW w:w="720" w:type="dxa"/>
            <w:tcBorders>
              <w:top w:val="single" w:sz="4" w:space="0" w:color="auto"/>
              <w:left w:val="nil"/>
              <w:bottom w:val="nil"/>
              <w:right w:val="nil"/>
            </w:tcBorders>
          </w:tcPr>
          <w:p w14:paraId="1B65B20F" w14:textId="6E676347"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1.</w:t>
            </w:r>
            <w:r w:rsidR="00797804" w:rsidRPr="00714902">
              <w:rPr>
                <w:rFonts w:ascii="Arial Narrow" w:hAnsi="Arial Narrow"/>
                <w:sz w:val="24"/>
                <w:szCs w:val="24"/>
              </w:rPr>
              <w:t>44</w:t>
            </w:r>
          </w:p>
        </w:tc>
        <w:tc>
          <w:tcPr>
            <w:tcW w:w="630" w:type="dxa"/>
            <w:tcBorders>
              <w:top w:val="single" w:sz="4" w:space="0" w:color="auto"/>
              <w:left w:val="nil"/>
              <w:bottom w:val="nil"/>
              <w:right w:val="single" w:sz="4" w:space="0" w:color="auto"/>
            </w:tcBorders>
          </w:tcPr>
          <w:p w14:paraId="3CF72EBA" w14:textId="5CCA4FBA" w:rsidR="002438EE" w:rsidRPr="00714902" w:rsidRDefault="00B14589" w:rsidP="00697918">
            <w:pPr>
              <w:spacing w:line="276" w:lineRule="auto"/>
              <w:jc w:val="both"/>
              <w:rPr>
                <w:rFonts w:ascii="Arial Narrow" w:hAnsi="Arial Narrow"/>
                <w:sz w:val="24"/>
                <w:szCs w:val="24"/>
              </w:rPr>
            </w:pPr>
            <w:r w:rsidRPr="00714902">
              <w:rPr>
                <w:rFonts w:ascii="Arial Narrow" w:hAnsi="Arial Narrow"/>
                <w:sz w:val="24"/>
                <w:szCs w:val="24"/>
              </w:rPr>
              <w:t>3.3</w:t>
            </w:r>
            <w:r w:rsidR="0043749A" w:rsidRPr="00714902">
              <w:rPr>
                <w:rFonts w:ascii="Arial Narrow" w:hAnsi="Arial Narrow"/>
                <w:sz w:val="24"/>
                <w:szCs w:val="24"/>
              </w:rPr>
              <w:t>7</w:t>
            </w:r>
          </w:p>
        </w:tc>
      </w:tr>
      <w:tr w:rsidR="009716D6" w:rsidRPr="00714902" w14:paraId="39CC874F" w14:textId="1DFC2076" w:rsidTr="009716D6">
        <w:trPr>
          <w:trHeight w:val="281"/>
        </w:trPr>
        <w:tc>
          <w:tcPr>
            <w:tcW w:w="0" w:type="auto"/>
            <w:tcBorders>
              <w:top w:val="nil"/>
              <w:left w:val="single" w:sz="4" w:space="0" w:color="auto"/>
              <w:bottom w:val="nil"/>
              <w:right w:val="nil"/>
            </w:tcBorders>
            <w:hideMark/>
          </w:tcPr>
          <w:p w14:paraId="66DF2114" w14:textId="76819517"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Pearl Delta</w:t>
            </w:r>
          </w:p>
        </w:tc>
        <w:tc>
          <w:tcPr>
            <w:tcW w:w="738" w:type="dxa"/>
            <w:tcBorders>
              <w:top w:val="nil"/>
              <w:left w:val="nil"/>
              <w:bottom w:val="nil"/>
              <w:right w:val="nil"/>
            </w:tcBorders>
          </w:tcPr>
          <w:p w14:paraId="6D708F1F" w14:textId="2E310DBB" w:rsidR="002438EE" w:rsidRPr="00714902" w:rsidRDefault="002438EE" w:rsidP="00697918">
            <w:pPr>
              <w:tabs>
                <w:tab w:val="center" w:pos="1088"/>
              </w:tabs>
              <w:spacing w:line="276" w:lineRule="auto"/>
              <w:jc w:val="both"/>
              <w:rPr>
                <w:rFonts w:ascii="Arial Narrow" w:hAnsi="Arial Narrow"/>
                <w:sz w:val="24"/>
                <w:szCs w:val="24"/>
              </w:rPr>
            </w:pPr>
            <w:r w:rsidRPr="00714902">
              <w:rPr>
                <w:rFonts w:ascii="Arial Narrow" w:hAnsi="Arial Narrow"/>
                <w:sz w:val="24"/>
                <w:szCs w:val="24"/>
              </w:rPr>
              <w:t>26</w:t>
            </w:r>
          </w:p>
        </w:tc>
        <w:tc>
          <w:tcPr>
            <w:tcW w:w="1471" w:type="dxa"/>
            <w:tcBorders>
              <w:top w:val="nil"/>
              <w:left w:val="nil"/>
              <w:bottom w:val="nil"/>
              <w:right w:val="nil"/>
            </w:tcBorders>
          </w:tcPr>
          <w:p w14:paraId="122F7793" w14:textId="59E8826E"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15.1</w:t>
            </w:r>
          </w:p>
        </w:tc>
        <w:tc>
          <w:tcPr>
            <w:tcW w:w="720" w:type="dxa"/>
            <w:tcBorders>
              <w:top w:val="nil"/>
              <w:left w:val="nil"/>
              <w:bottom w:val="nil"/>
              <w:right w:val="nil"/>
            </w:tcBorders>
          </w:tcPr>
          <w:p w14:paraId="366092DB" w14:textId="1A4403F1" w:rsidR="002438EE" w:rsidRPr="00714902" w:rsidRDefault="00195BA9" w:rsidP="00697918">
            <w:pPr>
              <w:spacing w:line="276" w:lineRule="auto"/>
              <w:jc w:val="both"/>
              <w:rPr>
                <w:rFonts w:ascii="Arial Narrow" w:hAnsi="Arial Narrow"/>
                <w:sz w:val="24"/>
                <w:szCs w:val="24"/>
              </w:rPr>
            </w:pPr>
            <w:r w:rsidRPr="00714902">
              <w:rPr>
                <w:rFonts w:ascii="Arial Narrow" w:hAnsi="Arial Narrow"/>
                <w:sz w:val="24"/>
                <w:szCs w:val="24"/>
              </w:rPr>
              <w:t>17.6</w:t>
            </w:r>
          </w:p>
        </w:tc>
        <w:tc>
          <w:tcPr>
            <w:tcW w:w="1210" w:type="dxa"/>
            <w:tcBorders>
              <w:top w:val="nil"/>
              <w:left w:val="nil"/>
              <w:bottom w:val="nil"/>
              <w:right w:val="nil"/>
            </w:tcBorders>
          </w:tcPr>
          <w:p w14:paraId="0606D735" w14:textId="6CF702A9" w:rsidR="002438EE" w:rsidRPr="00714902" w:rsidRDefault="00A3388D" w:rsidP="00697918">
            <w:pPr>
              <w:spacing w:line="276" w:lineRule="auto"/>
              <w:jc w:val="both"/>
              <w:rPr>
                <w:rFonts w:ascii="Arial Narrow" w:hAnsi="Arial Narrow"/>
                <w:sz w:val="24"/>
                <w:szCs w:val="24"/>
              </w:rPr>
            </w:pPr>
            <w:r w:rsidRPr="00714902">
              <w:rPr>
                <w:rFonts w:ascii="Arial Narrow" w:hAnsi="Arial Narrow"/>
                <w:sz w:val="24"/>
                <w:szCs w:val="24"/>
              </w:rPr>
              <w:t>17.6*.88</w:t>
            </w:r>
            <w:r w:rsidR="00B04851" w:rsidRPr="00714902">
              <w:rPr>
                <w:rFonts w:ascii="Arial Narrow" w:hAnsi="Arial Narrow"/>
                <w:sz w:val="24"/>
                <w:szCs w:val="24"/>
              </w:rPr>
              <w:t>≈</w:t>
            </w:r>
            <w:r w:rsidRPr="00714902">
              <w:rPr>
                <w:rFonts w:ascii="Arial Narrow" w:hAnsi="Arial Narrow"/>
                <w:sz w:val="24"/>
                <w:szCs w:val="24"/>
              </w:rPr>
              <w:t>15</w:t>
            </w:r>
          </w:p>
        </w:tc>
        <w:tc>
          <w:tcPr>
            <w:tcW w:w="1006" w:type="dxa"/>
            <w:tcBorders>
              <w:top w:val="nil"/>
              <w:left w:val="nil"/>
              <w:bottom w:val="nil"/>
              <w:right w:val="single" w:sz="4" w:space="0" w:color="auto"/>
            </w:tcBorders>
          </w:tcPr>
          <w:p w14:paraId="420AF7AD" w14:textId="2D131B89" w:rsidR="002438EE" w:rsidRPr="00714902" w:rsidRDefault="009F7505" w:rsidP="00697918">
            <w:pPr>
              <w:spacing w:line="276" w:lineRule="auto"/>
              <w:jc w:val="both"/>
              <w:rPr>
                <w:rFonts w:ascii="Arial Narrow" w:hAnsi="Arial Narrow"/>
                <w:sz w:val="24"/>
                <w:szCs w:val="24"/>
              </w:rPr>
            </w:pPr>
            <w:r w:rsidRPr="00714902">
              <w:rPr>
                <w:rFonts w:ascii="Arial Narrow" w:hAnsi="Arial Narrow"/>
                <w:sz w:val="24"/>
                <w:szCs w:val="24"/>
              </w:rPr>
              <w:t>600</w:t>
            </w:r>
          </w:p>
        </w:tc>
        <w:tc>
          <w:tcPr>
            <w:tcW w:w="900" w:type="dxa"/>
            <w:tcBorders>
              <w:top w:val="nil"/>
              <w:left w:val="single" w:sz="4" w:space="0" w:color="auto"/>
              <w:bottom w:val="nil"/>
              <w:right w:val="nil"/>
            </w:tcBorders>
          </w:tcPr>
          <w:p w14:paraId="0FA2F5DD" w14:textId="64A7D677" w:rsidR="002438EE" w:rsidRPr="00714902" w:rsidRDefault="005C5610" w:rsidP="00697918">
            <w:pPr>
              <w:spacing w:line="276" w:lineRule="auto"/>
              <w:jc w:val="both"/>
              <w:rPr>
                <w:rFonts w:ascii="Arial Narrow" w:hAnsi="Arial Narrow"/>
                <w:sz w:val="24"/>
                <w:szCs w:val="24"/>
              </w:rPr>
            </w:pPr>
            <w:r w:rsidRPr="00714902">
              <w:rPr>
                <w:rFonts w:ascii="Arial Narrow" w:hAnsi="Arial Narrow"/>
                <w:sz w:val="24"/>
                <w:szCs w:val="24"/>
              </w:rPr>
              <w:t>7</w:t>
            </w:r>
            <w:r w:rsidR="002438EE" w:rsidRPr="00714902">
              <w:rPr>
                <w:rFonts w:ascii="Arial Narrow" w:hAnsi="Arial Narrow"/>
                <w:sz w:val="24"/>
                <w:szCs w:val="24"/>
              </w:rPr>
              <w:t xml:space="preserve">, </w:t>
            </w:r>
            <w:r w:rsidR="005D3A3E" w:rsidRPr="00714902">
              <w:rPr>
                <w:rFonts w:ascii="Arial Narrow" w:hAnsi="Arial Narrow"/>
                <w:sz w:val="24"/>
                <w:szCs w:val="24"/>
              </w:rPr>
              <w:t>2.93</w:t>
            </w:r>
          </w:p>
        </w:tc>
        <w:tc>
          <w:tcPr>
            <w:tcW w:w="810" w:type="dxa"/>
            <w:tcBorders>
              <w:top w:val="nil"/>
              <w:left w:val="nil"/>
              <w:bottom w:val="nil"/>
              <w:right w:val="nil"/>
            </w:tcBorders>
          </w:tcPr>
          <w:p w14:paraId="115A43A3" w14:textId="3BF3B7FF" w:rsidR="002438EE" w:rsidRPr="00714902" w:rsidRDefault="009A6FD8" w:rsidP="00697918">
            <w:pPr>
              <w:spacing w:line="276" w:lineRule="auto"/>
              <w:jc w:val="both"/>
              <w:rPr>
                <w:rFonts w:ascii="Arial Narrow" w:hAnsi="Arial Narrow"/>
                <w:sz w:val="24"/>
                <w:szCs w:val="24"/>
              </w:rPr>
            </w:pPr>
            <w:r>
              <w:rPr>
                <w:rFonts w:ascii="Arial Narrow" w:hAnsi="Arial Narrow"/>
                <w:sz w:val="24"/>
                <w:szCs w:val="24"/>
              </w:rPr>
              <w:t>10</w:t>
            </w:r>
            <w:r w:rsidR="002438EE" w:rsidRPr="00714902">
              <w:rPr>
                <w:rFonts w:ascii="Arial Narrow" w:hAnsi="Arial Narrow"/>
                <w:sz w:val="24"/>
                <w:szCs w:val="24"/>
              </w:rPr>
              <w:t xml:space="preserve">, </w:t>
            </w:r>
            <w:r w:rsidR="000C1EF5" w:rsidRPr="00714902">
              <w:rPr>
                <w:rFonts w:ascii="Arial Narrow" w:hAnsi="Arial Narrow"/>
                <w:sz w:val="24"/>
                <w:szCs w:val="24"/>
              </w:rPr>
              <w:t>1.</w:t>
            </w:r>
            <w:r>
              <w:rPr>
                <w:rFonts w:ascii="Arial Narrow" w:hAnsi="Arial Narrow"/>
                <w:sz w:val="24"/>
                <w:szCs w:val="24"/>
              </w:rPr>
              <w:t>2</w:t>
            </w:r>
          </w:p>
        </w:tc>
        <w:tc>
          <w:tcPr>
            <w:tcW w:w="990" w:type="dxa"/>
            <w:tcBorders>
              <w:top w:val="nil"/>
              <w:left w:val="nil"/>
              <w:bottom w:val="nil"/>
              <w:right w:val="nil"/>
            </w:tcBorders>
          </w:tcPr>
          <w:p w14:paraId="43AB191D" w14:textId="12ED9613" w:rsidR="002438EE" w:rsidRPr="00714902" w:rsidRDefault="002F4E4B" w:rsidP="00697918">
            <w:pPr>
              <w:spacing w:line="276" w:lineRule="auto"/>
              <w:jc w:val="both"/>
              <w:rPr>
                <w:rFonts w:ascii="Arial Narrow" w:hAnsi="Arial Narrow"/>
                <w:sz w:val="24"/>
                <w:szCs w:val="24"/>
              </w:rPr>
            </w:pPr>
            <w:r>
              <w:rPr>
                <w:rFonts w:ascii="Arial Narrow" w:hAnsi="Arial Narrow"/>
                <w:sz w:val="24"/>
                <w:szCs w:val="24"/>
              </w:rPr>
              <w:t>6</w:t>
            </w:r>
            <w:r w:rsidR="005C4221">
              <w:rPr>
                <w:rFonts w:ascii="Arial Narrow" w:hAnsi="Arial Narrow"/>
                <w:sz w:val="24"/>
                <w:szCs w:val="24"/>
              </w:rPr>
              <w:t>8</w:t>
            </w:r>
            <w:r w:rsidR="002438EE" w:rsidRPr="00714902">
              <w:rPr>
                <w:rFonts w:ascii="Arial Narrow" w:hAnsi="Arial Narrow"/>
                <w:sz w:val="24"/>
                <w:szCs w:val="24"/>
              </w:rPr>
              <w:t xml:space="preserve">9, </w:t>
            </w:r>
            <w:r w:rsidR="009A6FD8">
              <w:rPr>
                <w:rFonts w:ascii="Arial Narrow" w:hAnsi="Arial Narrow"/>
                <w:sz w:val="24"/>
                <w:szCs w:val="24"/>
              </w:rPr>
              <w:t>.</w:t>
            </w:r>
            <w:r w:rsidR="004204EA">
              <w:rPr>
                <w:rFonts w:ascii="Arial Narrow" w:hAnsi="Arial Narrow"/>
                <w:sz w:val="24"/>
                <w:szCs w:val="24"/>
              </w:rPr>
              <w:t>87</w:t>
            </w:r>
          </w:p>
        </w:tc>
        <w:tc>
          <w:tcPr>
            <w:tcW w:w="720" w:type="dxa"/>
            <w:tcBorders>
              <w:top w:val="nil"/>
              <w:left w:val="nil"/>
              <w:bottom w:val="nil"/>
              <w:right w:val="nil"/>
            </w:tcBorders>
          </w:tcPr>
          <w:p w14:paraId="460A3927" w14:textId="1984A460"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1.</w:t>
            </w:r>
            <w:r w:rsidR="009A6FD8">
              <w:rPr>
                <w:rFonts w:ascii="Arial Narrow" w:hAnsi="Arial Narrow"/>
                <w:sz w:val="24"/>
                <w:szCs w:val="24"/>
              </w:rPr>
              <w:t>4</w:t>
            </w:r>
            <w:r w:rsidR="0043749A" w:rsidRPr="00714902">
              <w:rPr>
                <w:rFonts w:ascii="Arial Narrow" w:hAnsi="Arial Narrow"/>
                <w:sz w:val="24"/>
                <w:szCs w:val="24"/>
              </w:rPr>
              <w:t>5</w:t>
            </w:r>
          </w:p>
        </w:tc>
        <w:tc>
          <w:tcPr>
            <w:tcW w:w="630" w:type="dxa"/>
            <w:tcBorders>
              <w:top w:val="nil"/>
              <w:left w:val="nil"/>
              <w:bottom w:val="nil"/>
              <w:right w:val="single" w:sz="4" w:space="0" w:color="auto"/>
            </w:tcBorders>
          </w:tcPr>
          <w:p w14:paraId="6C760975" w14:textId="570D2A5A" w:rsidR="002438EE" w:rsidRPr="00714902" w:rsidRDefault="00A56D07" w:rsidP="00697918">
            <w:pPr>
              <w:spacing w:line="276" w:lineRule="auto"/>
              <w:jc w:val="both"/>
              <w:rPr>
                <w:rFonts w:ascii="Arial Narrow" w:hAnsi="Arial Narrow"/>
                <w:sz w:val="24"/>
                <w:szCs w:val="24"/>
              </w:rPr>
            </w:pPr>
            <w:r w:rsidRPr="00714902">
              <w:rPr>
                <w:rFonts w:ascii="Arial Narrow" w:hAnsi="Arial Narrow"/>
                <w:sz w:val="24"/>
                <w:szCs w:val="24"/>
              </w:rPr>
              <w:t>3.01</w:t>
            </w:r>
          </w:p>
        </w:tc>
      </w:tr>
      <w:tr w:rsidR="009716D6" w:rsidRPr="00714902" w14:paraId="29AEFE05" w14:textId="6E2CAA73" w:rsidTr="009716D6">
        <w:trPr>
          <w:trHeight w:val="281"/>
        </w:trPr>
        <w:tc>
          <w:tcPr>
            <w:tcW w:w="0" w:type="auto"/>
            <w:tcBorders>
              <w:top w:val="nil"/>
              <w:left w:val="single" w:sz="4" w:space="0" w:color="auto"/>
              <w:bottom w:val="nil"/>
              <w:right w:val="nil"/>
            </w:tcBorders>
            <w:hideMark/>
          </w:tcPr>
          <w:p w14:paraId="766FA4E8" w14:textId="4EE7C813"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Inland South</w:t>
            </w:r>
          </w:p>
        </w:tc>
        <w:tc>
          <w:tcPr>
            <w:tcW w:w="738" w:type="dxa"/>
            <w:tcBorders>
              <w:top w:val="nil"/>
              <w:left w:val="nil"/>
              <w:bottom w:val="nil"/>
              <w:right w:val="nil"/>
            </w:tcBorders>
          </w:tcPr>
          <w:p w14:paraId="57E8C33E" w14:textId="244AB8D7" w:rsidR="002438EE" w:rsidRPr="00714902" w:rsidRDefault="002438EE" w:rsidP="00697918">
            <w:pPr>
              <w:tabs>
                <w:tab w:val="center" w:pos="1088"/>
              </w:tabs>
              <w:spacing w:line="276" w:lineRule="auto"/>
              <w:jc w:val="both"/>
              <w:rPr>
                <w:rFonts w:ascii="Arial Narrow" w:hAnsi="Arial Narrow"/>
                <w:sz w:val="24"/>
                <w:szCs w:val="24"/>
              </w:rPr>
            </w:pPr>
            <w:r w:rsidRPr="00714902">
              <w:rPr>
                <w:rFonts w:ascii="Arial Narrow" w:hAnsi="Arial Narrow"/>
                <w:sz w:val="24"/>
                <w:szCs w:val="24"/>
              </w:rPr>
              <w:t>35</w:t>
            </w:r>
          </w:p>
        </w:tc>
        <w:tc>
          <w:tcPr>
            <w:tcW w:w="1471" w:type="dxa"/>
            <w:tcBorders>
              <w:top w:val="nil"/>
              <w:left w:val="nil"/>
              <w:bottom w:val="nil"/>
              <w:right w:val="nil"/>
            </w:tcBorders>
          </w:tcPr>
          <w:p w14:paraId="17971810" w14:textId="4CE3DA0C"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15.2</w:t>
            </w:r>
          </w:p>
        </w:tc>
        <w:tc>
          <w:tcPr>
            <w:tcW w:w="720" w:type="dxa"/>
            <w:tcBorders>
              <w:top w:val="nil"/>
              <w:left w:val="nil"/>
              <w:bottom w:val="nil"/>
              <w:right w:val="nil"/>
            </w:tcBorders>
          </w:tcPr>
          <w:p w14:paraId="340A709D" w14:textId="72AC410C" w:rsidR="002438EE" w:rsidRPr="00714902" w:rsidRDefault="00195BA9" w:rsidP="00697918">
            <w:pPr>
              <w:spacing w:line="276" w:lineRule="auto"/>
              <w:jc w:val="both"/>
              <w:rPr>
                <w:rFonts w:ascii="Arial Narrow" w:hAnsi="Arial Narrow"/>
                <w:sz w:val="24"/>
                <w:szCs w:val="24"/>
              </w:rPr>
            </w:pPr>
            <w:r w:rsidRPr="00714902">
              <w:rPr>
                <w:rFonts w:ascii="Arial Narrow" w:hAnsi="Arial Narrow"/>
                <w:sz w:val="24"/>
                <w:szCs w:val="24"/>
              </w:rPr>
              <w:t>17.4</w:t>
            </w:r>
          </w:p>
        </w:tc>
        <w:tc>
          <w:tcPr>
            <w:tcW w:w="1210" w:type="dxa"/>
            <w:tcBorders>
              <w:top w:val="nil"/>
              <w:left w:val="nil"/>
              <w:bottom w:val="nil"/>
              <w:right w:val="nil"/>
            </w:tcBorders>
          </w:tcPr>
          <w:p w14:paraId="46C235DD" w14:textId="78560089" w:rsidR="002438EE" w:rsidRPr="00714902" w:rsidRDefault="00B8476F" w:rsidP="00697918">
            <w:pPr>
              <w:spacing w:line="276" w:lineRule="auto"/>
              <w:jc w:val="both"/>
              <w:rPr>
                <w:rFonts w:ascii="Arial Narrow" w:hAnsi="Arial Narrow"/>
                <w:sz w:val="24"/>
                <w:szCs w:val="24"/>
              </w:rPr>
            </w:pPr>
            <w:r w:rsidRPr="00714902">
              <w:rPr>
                <w:rFonts w:ascii="Arial Narrow" w:hAnsi="Arial Narrow"/>
                <w:sz w:val="24"/>
                <w:szCs w:val="24"/>
              </w:rPr>
              <w:t>17.4*.88</w:t>
            </w:r>
            <w:r w:rsidR="00B04851" w:rsidRPr="00714902">
              <w:rPr>
                <w:rFonts w:ascii="Arial Narrow" w:hAnsi="Arial Narrow"/>
                <w:sz w:val="24"/>
                <w:szCs w:val="24"/>
              </w:rPr>
              <w:t>≈</w:t>
            </w:r>
            <w:r w:rsidR="0022642D" w:rsidRPr="00714902">
              <w:rPr>
                <w:rFonts w:ascii="Arial Narrow" w:hAnsi="Arial Narrow"/>
                <w:sz w:val="24"/>
                <w:szCs w:val="24"/>
              </w:rPr>
              <w:t>1</w:t>
            </w:r>
            <w:r w:rsidRPr="00714902">
              <w:rPr>
                <w:rFonts w:ascii="Arial Narrow" w:hAnsi="Arial Narrow"/>
                <w:sz w:val="24"/>
                <w:szCs w:val="24"/>
              </w:rPr>
              <w:t>5</w:t>
            </w:r>
          </w:p>
        </w:tc>
        <w:tc>
          <w:tcPr>
            <w:tcW w:w="1006" w:type="dxa"/>
            <w:tcBorders>
              <w:top w:val="nil"/>
              <w:left w:val="nil"/>
              <w:bottom w:val="nil"/>
              <w:right w:val="single" w:sz="4" w:space="0" w:color="auto"/>
            </w:tcBorders>
          </w:tcPr>
          <w:p w14:paraId="1A82DEEE" w14:textId="06E8CBF6" w:rsidR="002438EE" w:rsidRPr="00714902" w:rsidRDefault="009F7505" w:rsidP="00697918">
            <w:pPr>
              <w:spacing w:line="276" w:lineRule="auto"/>
              <w:jc w:val="both"/>
              <w:rPr>
                <w:rFonts w:ascii="Arial Narrow" w:hAnsi="Arial Narrow"/>
                <w:sz w:val="24"/>
                <w:szCs w:val="24"/>
              </w:rPr>
            </w:pPr>
            <w:r w:rsidRPr="00714902">
              <w:rPr>
                <w:rFonts w:ascii="Arial Narrow" w:hAnsi="Arial Narrow"/>
                <w:sz w:val="24"/>
                <w:szCs w:val="24"/>
              </w:rPr>
              <w:t>600</w:t>
            </w:r>
          </w:p>
        </w:tc>
        <w:tc>
          <w:tcPr>
            <w:tcW w:w="900" w:type="dxa"/>
            <w:tcBorders>
              <w:top w:val="nil"/>
              <w:left w:val="single" w:sz="4" w:space="0" w:color="auto"/>
              <w:bottom w:val="nil"/>
              <w:right w:val="nil"/>
            </w:tcBorders>
          </w:tcPr>
          <w:p w14:paraId="2A0A00DC" w14:textId="28933D25" w:rsidR="002438EE" w:rsidRPr="00714902" w:rsidRDefault="005C5610" w:rsidP="00697918">
            <w:pPr>
              <w:spacing w:line="276" w:lineRule="auto"/>
              <w:jc w:val="both"/>
              <w:rPr>
                <w:rFonts w:ascii="Arial Narrow" w:hAnsi="Arial Narrow"/>
                <w:sz w:val="24"/>
                <w:szCs w:val="24"/>
              </w:rPr>
            </w:pPr>
            <w:r w:rsidRPr="00714902">
              <w:rPr>
                <w:rFonts w:ascii="Arial Narrow" w:hAnsi="Arial Narrow"/>
                <w:sz w:val="24"/>
                <w:szCs w:val="24"/>
              </w:rPr>
              <w:t>5</w:t>
            </w:r>
            <w:r w:rsidR="002438EE" w:rsidRPr="00714902">
              <w:rPr>
                <w:rFonts w:ascii="Arial Narrow" w:hAnsi="Arial Narrow"/>
                <w:sz w:val="24"/>
                <w:szCs w:val="24"/>
              </w:rPr>
              <w:t xml:space="preserve">, </w:t>
            </w:r>
            <w:r w:rsidR="00BF0A67" w:rsidRPr="00714902">
              <w:rPr>
                <w:rFonts w:ascii="Arial Narrow" w:hAnsi="Arial Narrow"/>
                <w:sz w:val="24"/>
                <w:szCs w:val="24"/>
              </w:rPr>
              <w:t>3.48</w:t>
            </w:r>
          </w:p>
        </w:tc>
        <w:tc>
          <w:tcPr>
            <w:tcW w:w="810" w:type="dxa"/>
            <w:tcBorders>
              <w:top w:val="nil"/>
              <w:left w:val="nil"/>
              <w:bottom w:val="nil"/>
              <w:right w:val="nil"/>
            </w:tcBorders>
          </w:tcPr>
          <w:p w14:paraId="0CC3BB47" w14:textId="38558C3C"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 xml:space="preserve">6, </w:t>
            </w:r>
            <w:r w:rsidR="000C1EF5" w:rsidRPr="00714902">
              <w:rPr>
                <w:rFonts w:ascii="Arial Narrow" w:hAnsi="Arial Narrow"/>
                <w:sz w:val="24"/>
                <w:szCs w:val="24"/>
              </w:rPr>
              <w:t>2.0</w:t>
            </w:r>
          </w:p>
        </w:tc>
        <w:tc>
          <w:tcPr>
            <w:tcW w:w="990" w:type="dxa"/>
            <w:tcBorders>
              <w:top w:val="nil"/>
              <w:left w:val="nil"/>
              <w:bottom w:val="nil"/>
              <w:right w:val="nil"/>
            </w:tcBorders>
          </w:tcPr>
          <w:p w14:paraId="35740412" w14:textId="2086DA7F" w:rsidR="002438EE" w:rsidRPr="00714902" w:rsidRDefault="000B76DA" w:rsidP="00697918">
            <w:pPr>
              <w:spacing w:line="276" w:lineRule="auto"/>
              <w:jc w:val="both"/>
              <w:rPr>
                <w:rFonts w:ascii="Arial Narrow" w:hAnsi="Arial Narrow"/>
                <w:sz w:val="24"/>
                <w:szCs w:val="24"/>
              </w:rPr>
            </w:pPr>
            <w:r>
              <w:rPr>
                <w:rFonts w:ascii="Arial Narrow" w:hAnsi="Arial Narrow"/>
                <w:sz w:val="24"/>
                <w:szCs w:val="24"/>
              </w:rPr>
              <w:t>439</w:t>
            </w:r>
            <w:r w:rsidR="002438EE" w:rsidRPr="00714902">
              <w:rPr>
                <w:rFonts w:ascii="Arial Narrow" w:hAnsi="Arial Narrow"/>
                <w:sz w:val="24"/>
                <w:szCs w:val="24"/>
              </w:rPr>
              <w:t xml:space="preserve">, </w:t>
            </w:r>
            <w:r w:rsidR="005C4221">
              <w:rPr>
                <w:rFonts w:ascii="Arial Narrow" w:hAnsi="Arial Narrow"/>
                <w:sz w:val="24"/>
                <w:szCs w:val="24"/>
              </w:rPr>
              <w:t>1.36</w:t>
            </w:r>
          </w:p>
        </w:tc>
        <w:tc>
          <w:tcPr>
            <w:tcW w:w="720" w:type="dxa"/>
            <w:tcBorders>
              <w:top w:val="nil"/>
              <w:left w:val="nil"/>
              <w:bottom w:val="nil"/>
              <w:right w:val="nil"/>
            </w:tcBorders>
          </w:tcPr>
          <w:p w14:paraId="0CC17CC8" w14:textId="5C603402" w:rsidR="002438EE" w:rsidRPr="00714902" w:rsidRDefault="004F1704" w:rsidP="00697918">
            <w:pPr>
              <w:spacing w:line="276" w:lineRule="auto"/>
              <w:jc w:val="both"/>
              <w:rPr>
                <w:rFonts w:ascii="Arial Narrow" w:hAnsi="Arial Narrow"/>
                <w:sz w:val="24"/>
                <w:szCs w:val="24"/>
              </w:rPr>
            </w:pPr>
            <w:r w:rsidRPr="00714902">
              <w:rPr>
                <w:rFonts w:ascii="Arial Narrow" w:hAnsi="Arial Narrow"/>
                <w:sz w:val="24"/>
                <w:szCs w:val="24"/>
              </w:rPr>
              <w:t>1.20</w:t>
            </w:r>
          </w:p>
        </w:tc>
        <w:tc>
          <w:tcPr>
            <w:tcW w:w="630" w:type="dxa"/>
            <w:tcBorders>
              <w:top w:val="nil"/>
              <w:left w:val="nil"/>
              <w:bottom w:val="nil"/>
              <w:right w:val="single" w:sz="4" w:space="0" w:color="auto"/>
            </w:tcBorders>
          </w:tcPr>
          <w:p w14:paraId="4293F67D" w14:textId="4E692FC3" w:rsidR="002438EE" w:rsidRPr="00714902" w:rsidRDefault="00603D08" w:rsidP="00697918">
            <w:pPr>
              <w:spacing w:line="276" w:lineRule="auto"/>
              <w:jc w:val="both"/>
              <w:rPr>
                <w:rFonts w:ascii="Arial Narrow" w:hAnsi="Arial Narrow"/>
                <w:sz w:val="24"/>
                <w:szCs w:val="24"/>
              </w:rPr>
            </w:pPr>
            <w:r w:rsidRPr="00714902">
              <w:rPr>
                <w:rFonts w:ascii="Arial Narrow" w:hAnsi="Arial Narrow"/>
                <w:sz w:val="24"/>
                <w:szCs w:val="24"/>
              </w:rPr>
              <w:t>3.</w:t>
            </w:r>
            <w:r w:rsidR="00E53233" w:rsidRPr="00714902">
              <w:rPr>
                <w:rFonts w:ascii="Arial Narrow" w:hAnsi="Arial Narrow"/>
                <w:sz w:val="24"/>
                <w:szCs w:val="24"/>
              </w:rPr>
              <w:t>37</w:t>
            </w:r>
          </w:p>
        </w:tc>
      </w:tr>
      <w:tr w:rsidR="009716D6" w:rsidRPr="00714902" w14:paraId="41661E8E" w14:textId="4FFFF1A9" w:rsidTr="009716D6">
        <w:trPr>
          <w:trHeight w:val="281"/>
        </w:trPr>
        <w:tc>
          <w:tcPr>
            <w:tcW w:w="0" w:type="auto"/>
            <w:tcBorders>
              <w:top w:val="nil"/>
              <w:left w:val="single" w:sz="4" w:space="0" w:color="auto"/>
              <w:bottom w:val="single" w:sz="4" w:space="0" w:color="auto"/>
              <w:right w:val="nil"/>
            </w:tcBorders>
            <w:hideMark/>
          </w:tcPr>
          <w:p w14:paraId="3953CA14" w14:textId="1BE09AEF"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Inland North</w:t>
            </w:r>
          </w:p>
        </w:tc>
        <w:tc>
          <w:tcPr>
            <w:tcW w:w="738" w:type="dxa"/>
            <w:tcBorders>
              <w:top w:val="nil"/>
              <w:left w:val="nil"/>
              <w:bottom w:val="single" w:sz="4" w:space="0" w:color="auto"/>
              <w:right w:val="nil"/>
            </w:tcBorders>
          </w:tcPr>
          <w:p w14:paraId="5BEF0F45" w14:textId="7931F96B"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25</w:t>
            </w:r>
          </w:p>
        </w:tc>
        <w:tc>
          <w:tcPr>
            <w:tcW w:w="1471" w:type="dxa"/>
            <w:tcBorders>
              <w:top w:val="nil"/>
              <w:left w:val="nil"/>
              <w:bottom w:val="single" w:sz="4" w:space="0" w:color="auto"/>
              <w:right w:val="nil"/>
            </w:tcBorders>
          </w:tcPr>
          <w:p w14:paraId="7D299F7B" w14:textId="4DE95EF0" w:rsidR="002438EE" w:rsidRPr="00714902" w:rsidRDefault="002438EE" w:rsidP="00697918">
            <w:pPr>
              <w:tabs>
                <w:tab w:val="center" w:pos="1089"/>
              </w:tabs>
              <w:spacing w:line="276" w:lineRule="auto"/>
              <w:jc w:val="both"/>
              <w:rPr>
                <w:rFonts w:ascii="Arial Narrow" w:hAnsi="Arial Narrow"/>
                <w:sz w:val="24"/>
                <w:szCs w:val="24"/>
              </w:rPr>
            </w:pPr>
            <w:r w:rsidRPr="00714902">
              <w:rPr>
                <w:rFonts w:ascii="Arial Narrow" w:hAnsi="Arial Narrow"/>
                <w:sz w:val="24"/>
                <w:szCs w:val="24"/>
              </w:rPr>
              <w:t>23.1</w:t>
            </w:r>
          </w:p>
        </w:tc>
        <w:tc>
          <w:tcPr>
            <w:tcW w:w="720" w:type="dxa"/>
            <w:tcBorders>
              <w:top w:val="nil"/>
              <w:left w:val="nil"/>
              <w:bottom w:val="single" w:sz="4" w:space="0" w:color="auto"/>
              <w:right w:val="nil"/>
            </w:tcBorders>
          </w:tcPr>
          <w:p w14:paraId="6B14DA84" w14:textId="40EF885A" w:rsidR="002438EE" w:rsidRPr="00714902" w:rsidRDefault="00195BA9" w:rsidP="00697918">
            <w:pPr>
              <w:spacing w:line="276" w:lineRule="auto"/>
              <w:jc w:val="both"/>
              <w:rPr>
                <w:rFonts w:ascii="Arial Narrow" w:hAnsi="Arial Narrow"/>
                <w:sz w:val="24"/>
                <w:szCs w:val="24"/>
              </w:rPr>
            </w:pPr>
            <w:r w:rsidRPr="00714902">
              <w:rPr>
                <w:rFonts w:ascii="Arial Narrow" w:hAnsi="Arial Narrow"/>
                <w:sz w:val="24"/>
                <w:szCs w:val="24"/>
              </w:rPr>
              <w:t>1</w:t>
            </w:r>
            <w:r w:rsidR="0022642D" w:rsidRPr="00714902">
              <w:rPr>
                <w:rFonts w:ascii="Arial Narrow" w:hAnsi="Arial Narrow"/>
                <w:sz w:val="24"/>
                <w:szCs w:val="24"/>
              </w:rPr>
              <w:t>7.6</w:t>
            </w:r>
          </w:p>
        </w:tc>
        <w:tc>
          <w:tcPr>
            <w:tcW w:w="1210" w:type="dxa"/>
            <w:tcBorders>
              <w:top w:val="nil"/>
              <w:left w:val="nil"/>
              <w:bottom w:val="single" w:sz="4" w:space="0" w:color="auto"/>
              <w:right w:val="nil"/>
            </w:tcBorders>
          </w:tcPr>
          <w:p w14:paraId="041A0B84" w14:textId="3719C25E" w:rsidR="002438EE" w:rsidRPr="00714902" w:rsidRDefault="00603ED6" w:rsidP="00697918">
            <w:pPr>
              <w:spacing w:line="276" w:lineRule="auto"/>
              <w:jc w:val="both"/>
              <w:rPr>
                <w:rFonts w:ascii="Arial Narrow" w:hAnsi="Arial Narrow"/>
                <w:sz w:val="24"/>
                <w:szCs w:val="24"/>
              </w:rPr>
            </w:pPr>
            <w:r w:rsidRPr="00714902">
              <w:rPr>
                <w:rFonts w:ascii="Arial Narrow" w:hAnsi="Arial Narrow"/>
                <w:sz w:val="24"/>
                <w:szCs w:val="24"/>
              </w:rPr>
              <w:t>17.6*.</w:t>
            </w:r>
            <w:r w:rsidR="00601E2D" w:rsidRPr="00714902">
              <w:rPr>
                <w:rFonts w:ascii="Arial Narrow" w:hAnsi="Arial Narrow"/>
                <w:sz w:val="24"/>
                <w:szCs w:val="24"/>
              </w:rPr>
              <w:t>90</w:t>
            </w:r>
            <w:r w:rsidR="00B04851" w:rsidRPr="00714902">
              <w:rPr>
                <w:rFonts w:ascii="Arial Narrow" w:hAnsi="Arial Narrow"/>
                <w:sz w:val="24"/>
                <w:szCs w:val="24"/>
              </w:rPr>
              <w:t>≈</w:t>
            </w:r>
            <w:r w:rsidRPr="00714902">
              <w:rPr>
                <w:rFonts w:ascii="Arial Narrow" w:hAnsi="Arial Narrow"/>
                <w:sz w:val="24"/>
                <w:szCs w:val="24"/>
              </w:rPr>
              <w:t>16</w:t>
            </w:r>
          </w:p>
        </w:tc>
        <w:tc>
          <w:tcPr>
            <w:tcW w:w="1006" w:type="dxa"/>
            <w:tcBorders>
              <w:top w:val="nil"/>
              <w:left w:val="nil"/>
              <w:bottom w:val="single" w:sz="4" w:space="0" w:color="auto"/>
              <w:right w:val="single" w:sz="4" w:space="0" w:color="auto"/>
            </w:tcBorders>
          </w:tcPr>
          <w:p w14:paraId="40D83495" w14:textId="53CF11DA" w:rsidR="002438EE" w:rsidRPr="00714902" w:rsidRDefault="009F7505" w:rsidP="00697918">
            <w:pPr>
              <w:spacing w:line="276" w:lineRule="auto"/>
              <w:jc w:val="both"/>
              <w:rPr>
                <w:rFonts w:ascii="Arial Narrow" w:hAnsi="Arial Narrow"/>
                <w:sz w:val="24"/>
                <w:szCs w:val="24"/>
              </w:rPr>
            </w:pPr>
            <w:r w:rsidRPr="00714902">
              <w:rPr>
                <w:rFonts w:ascii="Arial Narrow" w:hAnsi="Arial Narrow"/>
                <w:sz w:val="24"/>
                <w:szCs w:val="24"/>
              </w:rPr>
              <w:t>640</w:t>
            </w:r>
          </w:p>
        </w:tc>
        <w:tc>
          <w:tcPr>
            <w:tcW w:w="900" w:type="dxa"/>
            <w:tcBorders>
              <w:top w:val="nil"/>
              <w:left w:val="single" w:sz="4" w:space="0" w:color="auto"/>
              <w:bottom w:val="single" w:sz="4" w:space="0" w:color="auto"/>
              <w:right w:val="nil"/>
            </w:tcBorders>
          </w:tcPr>
          <w:p w14:paraId="7275B468" w14:textId="3CA2A729" w:rsidR="002438EE" w:rsidRPr="00714902" w:rsidRDefault="005C5610" w:rsidP="00697918">
            <w:pPr>
              <w:spacing w:line="276" w:lineRule="auto"/>
              <w:jc w:val="both"/>
              <w:rPr>
                <w:rFonts w:ascii="Arial Narrow" w:hAnsi="Arial Narrow"/>
                <w:sz w:val="24"/>
                <w:szCs w:val="24"/>
              </w:rPr>
            </w:pPr>
            <w:r w:rsidRPr="00714902">
              <w:rPr>
                <w:rFonts w:ascii="Arial Narrow" w:hAnsi="Arial Narrow"/>
                <w:sz w:val="24"/>
                <w:szCs w:val="24"/>
              </w:rPr>
              <w:t>6</w:t>
            </w:r>
            <w:r w:rsidR="002438EE" w:rsidRPr="00714902">
              <w:rPr>
                <w:rFonts w:ascii="Arial Narrow" w:hAnsi="Arial Narrow"/>
                <w:sz w:val="24"/>
                <w:szCs w:val="24"/>
              </w:rPr>
              <w:t xml:space="preserve">, </w:t>
            </w:r>
            <w:r w:rsidR="00BF0A67" w:rsidRPr="00714902">
              <w:rPr>
                <w:rFonts w:ascii="Arial Narrow" w:hAnsi="Arial Narrow"/>
                <w:sz w:val="24"/>
                <w:szCs w:val="24"/>
              </w:rPr>
              <w:t>2.51</w:t>
            </w:r>
          </w:p>
        </w:tc>
        <w:tc>
          <w:tcPr>
            <w:tcW w:w="810" w:type="dxa"/>
            <w:tcBorders>
              <w:top w:val="nil"/>
              <w:left w:val="nil"/>
              <w:bottom w:val="single" w:sz="4" w:space="0" w:color="auto"/>
              <w:right w:val="nil"/>
            </w:tcBorders>
          </w:tcPr>
          <w:p w14:paraId="5A3CAB8A" w14:textId="0B684939"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 xml:space="preserve">10, </w:t>
            </w:r>
            <w:r w:rsidR="000C1EF5" w:rsidRPr="00714902">
              <w:rPr>
                <w:rFonts w:ascii="Arial Narrow" w:hAnsi="Arial Narrow"/>
                <w:sz w:val="24"/>
                <w:szCs w:val="24"/>
              </w:rPr>
              <w:t>1.2</w:t>
            </w:r>
          </w:p>
        </w:tc>
        <w:tc>
          <w:tcPr>
            <w:tcW w:w="990" w:type="dxa"/>
            <w:tcBorders>
              <w:top w:val="nil"/>
              <w:left w:val="nil"/>
              <w:bottom w:val="single" w:sz="4" w:space="0" w:color="auto"/>
              <w:right w:val="nil"/>
            </w:tcBorders>
          </w:tcPr>
          <w:p w14:paraId="3F440365" w14:textId="6C251687"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587, 1.</w:t>
            </w:r>
            <w:r w:rsidR="000F14A8" w:rsidRPr="00714902">
              <w:rPr>
                <w:rFonts w:ascii="Arial Narrow" w:hAnsi="Arial Narrow"/>
                <w:sz w:val="24"/>
                <w:szCs w:val="24"/>
              </w:rPr>
              <w:t>02</w:t>
            </w:r>
          </w:p>
        </w:tc>
        <w:tc>
          <w:tcPr>
            <w:tcW w:w="720" w:type="dxa"/>
            <w:tcBorders>
              <w:top w:val="nil"/>
              <w:left w:val="nil"/>
              <w:bottom w:val="single" w:sz="4" w:space="0" w:color="auto"/>
              <w:right w:val="nil"/>
            </w:tcBorders>
          </w:tcPr>
          <w:p w14:paraId="30B65049" w14:textId="29BF8306" w:rsidR="002438EE" w:rsidRPr="00714902" w:rsidRDefault="002438EE" w:rsidP="00697918">
            <w:pPr>
              <w:spacing w:line="276" w:lineRule="auto"/>
              <w:jc w:val="both"/>
              <w:rPr>
                <w:rFonts w:ascii="Arial Narrow" w:hAnsi="Arial Narrow"/>
                <w:sz w:val="24"/>
                <w:szCs w:val="24"/>
              </w:rPr>
            </w:pPr>
            <w:r w:rsidRPr="00714902">
              <w:rPr>
                <w:rFonts w:ascii="Arial Narrow" w:hAnsi="Arial Narrow"/>
                <w:sz w:val="24"/>
                <w:szCs w:val="24"/>
              </w:rPr>
              <w:t>1.</w:t>
            </w:r>
            <w:r w:rsidR="0043749A" w:rsidRPr="00714902">
              <w:rPr>
                <w:rFonts w:ascii="Arial Narrow" w:hAnsi="Arial Narrow"/>
                <w:sz w:val="24"/>
                <w:szCs w:val="24"/>
              </w:rPr>
              <w:t>41</w:t>
            </w:r>
          </w:p>
        </w:tc>
        <w:tc>
          <w:tcPr>
            <w:tcW w:w="630" w:type="dxa"/>
            <w:tcBorders>
              <w:top w:val="nil"/>
              <w:left w:val="nil"/>
              <w:bottom w:val="single" w:sz="4" w:space="0" w:color="auto"/>
              <w:right w:val="single" w:sz="4" w:space="0" w:color="auto"/>
            </w:tcBorders>
          </w:tcPr>
          <w:p w14:paraId="28E6B2F8" w14:textId="456C7ED2" w:rsidR="002438EE" w:rsidRPr="00714902" w:rsidRDefault="00603D08" w:rsidP="00697918">
            <w:pPr>
              <w:spacing w:line="276" w:lineRule="auto"/>
              <w:jc w:val="both"/>
              <w:rPr>
                <w:rFonts w:ascii="Arial Narrow" w:hAnsi="Arial Narrow"/>
                <w:sz w:val="24"/>
                <w:szCs w:val="24"/>
              </w:rPr>
            </w:pPr>
            <w:r w:rsidRPr="00714902">
              <w:rPr>
                <w:rFonts w:ascii="Arial Narrow" w:hAnsi="Arial Narrow"/>
                <w:sz w:val="24"/>
                <w:szCs w:val="24"/>
              </w:rPr>
              <w:t>2.9</w:t>
            </w:r>
            <w:r w:rsidR="00A56D07" w:rsidRPr="00714902">
              <w:rPr>
                <w:rFonts w:ascii="Arial Narrow" w:hAnsi="Arial Narrow"/>
                <w:sz w:val="24"/>
                <w:szCs w:val="24"/>
              </w:rPr>
              <w:t>3</w:t>
            </w:r>
          </w:p>
        </w:tc>
      </w:tr>
    </w:tbl>
    <w:p w14:paraId="361D3479" w14:textId="6603B91A" w:rsidR="00280AC5" w:rsidRPr="00714902" w:rsidRDefault="00280AC5" w:rsidP="003121B1">
      <w:pPr>
        <w:spacing w:line="480" w:lineRule="auto"/>
        <w:rPr>
          <w:sz w:val="24"/>
          <w:szCs w:val="24"/>
        </w:rPr>
      </w:pPr>
    </w:p>
    <w:p w14:paraId="2F51F0A1" w14:textId="77777777" w:rsidR="007A4B56" w:rsidRPr="00714902" w:rsidRDefault="00066669" w:rsidP="003121B1">
      <w:pPr>
        <w:spacing w:line="480" w:lineRule="auto"/>
        <w:rPr>
          <w:sz w:val="24"/>
          <w:szCs w:val="24"/>
        </w:rPr>
      </w:pPr>
      <w:r w:rsidRPr="00714902">
        <w:rPr>
          <w:sz w:val="24"/>
          <w:szCs w:val="24"/>
        </w:rPr>
        <w:t>Surveys with multistage complex design will sample units with unequal probability and thus require certain weighting strategies for sampling units at different levels. Ignoring weights will result in incorrect estimates and type I error in hypothesis testing. Besides adopting weights, researchers often adjust unequal probability and artificial variance resulted from clustering</w:t>
      </w:r>
      <w:r w:rsidR="007A4B56" w:rsidRPr="00714902">
        <w:rPr>
          <w:sz w:val="24"/>
          <w:szCs w:val="24"/>
        </w:rPr>
        <w:t xml:space="preserve"> by using robust errors bounded by clusters or other design-based analysis. At times, but with great caution, researchers also use model-based adjustment that corrects the probability of inclusion by controlling certain background covariates that may be related to sampling units being selected, such as digital literacy, distance to school, etc. </w:t>
      </w:r>
    </w:p>
    <w:p w14:paraId="37E0FA6E" w14:textId="7D1D42BB" w:rsidR="00814C5C" w:rsidRPr="00714902" w:rsidRDefault="007A4B56" w:rsidP="003121B1">
      <w:pPr>
        <w:spacing w:line="480" w:lineRule="auto"/>
        <w:rPr>
          <w:sz w:val="24"/>
          <w:szCs w:val="24"/>
        </w:rPr>
      </w:pPr>
      <w:r w:rsidRPr="00714902">
        <w:rPr>
          <w:sz w:val="24"/>
          <w:szCs w:val="24"/>
        </w:rPr>
        <w:t xml:space="preserve">Sampling weights that adjust for the unequal selection probability resulted from survey design features are listed in the right-side panel of Table 2. These are the inverse of the probability that a specific PSU, SSU, and respondent was included in for the survey. Users may employ the weights in the </w:t>
      </w:r>
      <w:r w:rsidRPr="00714902">
        <w:rPr>
          <w:i/>
          <w:iCs/>
          <w:sz w:val="24"/>
          <w:szCs w:val="24"/>
        </w:rPr>
        <w:t>survey, [pw], [aw]</w:t>
      </w:r>
      <w:r w:rsidRPr="00714902">
        <w:rPr>
          <w:sz w:val="24"/>
          <w:szCs w:val="24"/>
        </w:rPr>
        <w:t xml:space="preserve"> functions of Stata depending on their need. If users wish to apply post-stratification weights based on the difference between the distribution of demographic characteristics in this sample and that in the population, they may consult particular statistical yearbook or official release for the population information from the specific municipalities that were chosen in this survey. </w:t>
      </w:r>
    </w:p>
    <w:p w14:paraId="23D7ED28" w14:textId="221278BC" w:rsidR="006714B8" w:rsidRPr="00714902" w:rsidRDefault="006714B8" w:rsidP="003121B1">
      <w:pPr>
        <w:spacing w:line="480" w:lineRule="auto"/>
        <w:rPr>
          <w:sz w:val="24"/>
          <w:szCs w:val="24"/>
        </w:rPr>
      </w:pPr>
      <w:r w:rsidRPr="00714902">
        <w:rPr>
          <w:sz w:val="24"/>
          <w:szCs w:val="24"/>
        </w:rPr>
        <w:t xml:space="preserve">To estimate total, for example, first use unbiased estimator for individual in </w:t>
      </w:r>
      <w:proofErr w:type="spellStart"/>
      <w:r w:rsidRPr="00714902">
        <w:rPr>
          <w:i/>
          <w:iCs/>
          <w:sz w:val="24"/>
          <w:szCs w:val="24"/>
        </w:rPr>
        <w:t>i</w:t>
      </w:r>
      <w:r w:rsidRPr="00714902">
        <w:rPr>
          <w:sz w:val="24"/>
          <w:szCs w:val="24"/>
        </w:rPr>
        <w:t>th</w:t>
      </w:r>
      <w:proofErr w:type="spellEnd"/>
      <w:r w:rsidRPr="00714902">
        <w:rPr>
          <w:sz w:val="24"/>
          <w:szCs w:val="24"/>
        </w:rPr>
        <w:t xml:space="preserve"> SSU: </w:t>
      </w:r>
      <m:oMath>
        <m:acc>
          <m:accPr>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acc>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sub>
          <m:sup/>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ij</m:t>
                    </m:r>
                  </m:sub>
                </m:sSub>
              </m:num>
              <m:den>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den>
            </m:f>
          </m:e>
        </m:nary>
      </m:oMath>
      <w:r w:rsidRPr="00714902">
        <w:rPr>
          <w:sz w:val="24"/>
          <w:szCs w:val="24"/>
        </w:rPr>
        <w:t xml:space="preserve">. Then use Horvitz-Thompson estimator to get population total by indicating whether SSUs are in the sample: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t</m:t>
                </m:r>
              </m:e>
            </m:acc>
          </m:e>
          <m:sub>
            <m:r>
              <w:rPr>
                <w:rFonts w:ascii="Cambria Math" w:hAnsi="Cambria Math"/>
                <w:sz w:val="24"/>
                <w:szCs w:val="24"/>
              </w:rPr>
              <m:t>HT</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t</m:t>
                        </m:r>
                      </m:e>
                    </m:acc>
                  </m:e>
                  <m:sub>
                    <m:r>
                      <w:rPr>
                        <w:rFonts w:ascii="Cambria Math" w:hAnsi="Cambria Math"/>
                        <w:sz w:val="24"/>
                        <w:szCs w:val="24"/>
                      </w:rPr>
                      <m:t>i</m:t>
                    </m:r>
                  </m:sub>
                </m:sSub>
              </m:num>
              <m:den>
                <m:sSub>
                  <m:sSubPr>
                    <m:ctrlPr>
                      <w:rPr>
                        <w:rFonts w:ascii="Cambria Math" w:hAnsi="Cambria Math"/>
                        <w:sz w:val="24"/>
                        <w:szCs w:val="24"/>
                      </w:rPr>
                    </m:ctrlPr>
                  </m:sSubPr>
                  <m:e>
                    <m:r>
                      <w:rPr>
                        <w:rFonts w:ascii="Cambria Math" w:hAnsi="Cambria Math"/>
                        <w:sz w:val="24"/>
                        <w:szCs w:val="24"/>
                      </w:rPr>
                      <m:t>ψ</m:t>
                    </m:r>
                  </m:e>
                  <m:sub>
                    <m:r>
                      <w:rPr>
                        <w:rFonts w:ascii="Cambria Math" w:hAnsi="Cambria Math"/>
                        <w:sz w:val="24"/>
                        <w:szCs w:val="24"/>
                      </w:rPr>
                      <m:t>i</m:t>
                    </m:r>
                  </m:sub>
                </m:sSub>
              </m:den>
            </m:f>
          </m:e>
        </m:nary>
      </m:oMath>
      <w:r w:rsidRPr="00714902">
        <w:rPr>
          <w:sz w:val="24"/>
          <w:szCs w:val="24"/>
        </w:rPr>
        <w:t xml:space="preserve">, where Zi=1 if psu i is in the sample, </w:t>
      </w:r>
      <m:oMath>
        <m:sSub>
          <m:sSubPr>
            <m:ctrlPr>
              <w:rPr>
                <w:rFonts w:ascii="Cambria Math" w:hAnsi="Cambria Math"/>
                <w:sz w:val="24"/>
                <w:szCs w:val="24"/>
              </w:rPr>
            </m:ctrlPr>
          </m:sSubPr>
          <m:e>
            <m:r>
              <w:rPr>
                <w:rFonts w:ascii="Cambria Math" w:hAnsi="Cambria Math"/>
                <w:sz w:val="24"/>
                <w:szCs w:val="24"/>
              </w:rPr>
              <m:t>ψ</m:t>
            </m:r>
          </m:e>
          <m:sub>
            <m:r>
              <w:rPr>
                <w:rFonts w:ascii="Cambria Math" w:hAnsi="Cambria Math"/>
                <w:sz w:val="24"/>
                <w:szCs w:val="24"/>
              </w:rPr>
              <m:t>i</m:t>
            </m:r>
          </m:sub>
        </m:sSub>
      </m:oMath>
      <w:r w:rsidRPr="00714902">
        <w:rPr>
          <w:sz w:val="24"/>
          <w:szCs w:val="24"/>
        </w:rPr>
        <w:t xml:space="preserve"> is the probability that psu i was selected. </w:t>
      </w:r>
    </w:p>
    <w:p w14:paraId="2DB1D69F" w14:textId="680E59D1" w:rsidR="006714B8" w:rsidRPr="00714902" w:rsidRDefault="006714B8" w:rsidP="003121B1">
      <w:pPr>
        <w:spacing w:line="480" w:lineRule="auto"/>
        <w:rPr>
          <w:sz w:val="24"/>
          <w:szCs w:val="24"/>
        </w:rPr>
      </w:pPr>
      <w:r w:rsidRPr="00714902">
        <w:rPr>
          <w:sz w:val="24"/>
          <w:szCs w:val="24"/>
        </w:rPr>
        <w:t xml:space="preserve">Once obtained the estimated total, the population mean is total divided by weight </w:t>
      </w:r>
      <m:oMath>
        <m:sSub>
          <m:sSubPr>
            <m:ctrlPr>
              <w:rPr>
                <w:rFonts w:ascii="Cambria Math" w:hAnsi="Cambria Math"/>
                <w:sz w:val="24"/>
                <w:szCs w:val="24"/>
              </w:rPr>
            </m:ctrlPr>
          </m:sSubPr>
          <m:e>
            <m:acc>
              <m:accPr>
                <m:ctrlPr>
                  <w:rPr>
                    <w:rFonts w:ascii="Cambria Math" w:hAnsi="Cambria Math"/>
                    <w:sz w:val="24"/>
                    <w:szCs w:val="24"/>
                  </w:rPr>
                </m:ctrlPr>
              </m:accPr>
              <m:e>
                <m:acc>
                  <m:accPr>
                    <m:chr m:val="̅"/>
                    <m:ctrlPr>
                      <w:rPr>
                        <w:rFonts w:ascii="Cambria Math" w:hAnsi="Cambria Math"/>
                        <w:sz w:val="24"/>
                        <w:szCs w:val="24"/>
                      </w:rPr>
                    </m:ctrlPr>
                  </m:accPr>
                  <m:e>
                    <m:r>
                      <w:rPr>
                        <w:rFonts w:ascii="Cambria Math" w:hAnsi="Cambria Math"/>
                        <w:sz w:val="24"/>
                        <w:szCs w:val="24"/>
                      </w:rPr>
                      <m:t>y</m:t>
                    </m:r>
                  </m:e>
                </m:acc>
              </m:e>
            </m:acc>
          </m:e>
          <m:sub>
            <m:r>
              <w:rPr>
                <w:rFonts w:ascii="Cambria Math" w:hAnsi="Cambria Math"/>
                <w:sz w:val="24"/>
                <w:szCs w:val="24"/>
              </w:rPr>
              <m:t>HT</m:t>
            </m:r>
          </m:sub>
        </m:sSub>
        <m:r>
          <m:rPr>
            <m:sty m:val="p"/>
          </m:rPr>
          <w:rPr>
            <w:rFonts w:ascii="Cambria Math" w:hAnsi="Cambria Math"/>
            <w:sz w:val="24"/>
            <w:szCs w:val="24"/>
          </w:rPr>
          <m:t>=</m:t>
        </m:r>
        <m:f>
          <m:fPr>
            <m:ctrlPr>
              <w:rPr>
                <w:rFonts w:ascii="Cambria Math" w:hAnsi="Cambria Math"/>
                <w:sz w:val="24"/>
                <w:szCs w:val="24"/>
              </w:rPr>
            </m:ctrlPr>
          </m:fPr>
          <m:num>
            <m:acc>
              <m:accPr>
                <m:ctrlPr>
                  <w:rPr>
                    <w:rFonts w:ascii="Cambria Math" w:hAnsi="Cambria Math"/>
                    <w:sz w:val="24"/>
                    <w:szCs w:val="24"/>
                  </w:rPr>
                </m:ctrlPr>
              </m:acc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acc>
          </m:num>
          <m:den>
            <m:nary>
              <m:naryPr>
                <m:chr m:val="∑"/>
                <m:limLoc m:val="undOvr"/>
                <m:supHide m:val="1"/>
                <m:ctrlPr>
                  <w:rPr>
                    <w:rFonts w:ascii="Cambria Math" w:hAnsi="Cambria Math"/>
                    <w:sz w:val="24"/>
                    <w:szCs w:val="24"/>
                  </w:rPr>
                </m:ctrlPr>
              </m:naryPr>
              <m:sub>
                <m: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S</m:t>
                </m:r>
              </m:sub>
              <m:sup/>
              <m:e>
                <m:nary>
                  <m:naryPr>
                    <m:chr m:val="∑"/>
                    <m:limLoc m:val="undOvr"/>
                    <m:supHide m:val="1"/>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nary>
                      <m:naryPr>
                        <m:chr m:val="∑"/>
                        <m:limLoc m:val="undOvr"/>
                        <m:supHide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sub>
                      <m:sup/>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ijk</m:t>
                            </m:r>
                          </m:sub>
                        </m:sSub>
                      </m:e>
                    </m:nary>
                  </m:e>
                </m:nary>
              </m:e>
            </m:nary>
          </m:den>
        </m:f>
      </m:oMath>
      <w:r w:rsidRPr="00714902">
        <w:rPr>
          <w:sz w:val="24"/>
          <w:szCs w:val="24"/>
        </w:rPr>
        <w:t xml:space="preserve">. The residuals from the estimated </w:t>
      </w:r>
      <w:proofErr w:type="spellStart"/>
      <w:r w:rsidRPr="00714902">
        <w:rPr>
          <w:sz w:val="24"/>
          <w:szCs w:val="24"/>
        </w:rPr>
        <w:t>psu</w:t>
      </w:r>
      <w:proofErr w:type="spellEnd"/>
      <w:r w:rsidRPr="00714902">
        <w:rPr>
          <w:sz w:val="24"/>
          <w:szCs w:val="24"/>
        </w:rPr>
        <w:t xml:space="preserve"> totals are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e</m:t>
                </m:r>
              </m:e>
            </m:acc>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t</m:t>
                </m:r>
              </m:e>
            </m:acc>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acc>
                  <m:accPr>
                    <m:chr m:val="̅"/>
                    <m:ctrlPr>
                      <w:rPr>
                        <w:rFonts w:ascii="Cambria Math" w:hAnsi="Cambria Math"/>
                        <w:sz w:val="24"/>
                        <w:szCs w:val="24"/>
                      </w:rPr>
                    </m:ctrlPr>
                  </m:accPr>
                  <m:e>
                    <m:r>
                      <w:rPr>
                        <w:rFonts w:ascii="Cambria Math" w:hAnsi="Cambria Math"/>
                        <w:sz w:val="24"/>
                        <w:szCs w:val="24"/>
                      </w:rPr>
                      <m:t>y</m:t>
                    </m:r>
                  </m:e>
                </m:acc>
              </m:e>
            </m:acc>
          </m:e>
          <m:sub>
            <m:r>
              <w:rPr>
                <w:rFonts w:ascii="Cambria Math" w:hAnsi="Cambria Math"/>
                <w:sz w:val="24"/>
                <w:szCs w:val="24"/>
              </w:rPr>
              <m:t>HT</m:t>
            </m:r>
          </m:sub>
        </m:sSub>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M</m:t>
                </m:r>
              </m:e>
            </m:acc>
          </m:e>
          <m:sub>
            <m:r>
              <w:rPr>
                <w:rFonts w:ascii="Cambria Math" w:hAnsi="Cambria Math"/>
                <w:sz w:val="24"/>
                <w:szCs w:val="24"/>
              </w:rPr>
              <m:t>i</m:t>
            </m:r>
          </m:sub>
        </m:sSub>
      </m:oMath>
      <w:r w:rsidRPr="00714902">
        <w:rPr>
          <w:sz w:val="24"/>
          <w:szCs w:val="24"/>
        </w:rPr>
        <w:t xml:space="preserve">, we replace the total number of ssus in the population M0 for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M</m:t>
                </m:r>
              </m:e>
            </m:acc>
          </m:e>
          <m:sub>
            <m:r>
              <w:rPr>
                <w:rFonts w:ascii="Cambria Math" w:hAnsi="Cambria Math"/>
                <w:sz w:val="24"/>
                <w:szCs w:val="24"/>
              </w:rPr>
              <m:t>i</m:t>
            </m:r>
          </m:sub>
        </m:sSub>
      </m:oMath>
      <w:r w:rsidRPr="00714902">
        <w:rPr>
          <w:sz w:val="24"/>
          <w:szCs w:val="24"/>
        </w:rPr>
        <w:t xml:space="preserve"> for convenience. The estimated variance of the mean is then:</w:t>
      </w:r>
    </w:p>
    <w:p w14:paraId="1A83695B" w14:textId="77777777" w:rsidR="006714B8" w:rsidRPr="00714902" w:rsidRDefault="00E807A3" w:rsidP="003121B1">
      <w:pPr>
        <w:spacing w:line="480" w:lineRule="auto"/>
        <w:rPr>
          <w:sz w:val="24"/>
          <w:szCs w:val="24"/>
        </w:rPr>
      </w:pPr>
      <m:oMathPara>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WR</m:t>
              </m:r>
            </m:sub>
          </m:sSub>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acc>
                        <m:accPr>
                          <m:chr m:val="̅"/>
                          <m:ctrlPr>
                            <w:rPr>
                              <w:rFonts w:ascii="Cambria Math" w:hAnsi="Cambria Math"/>
                              <w:sz w:val="24"/>
                              <w:szCs w:val="24"/>
                            </w:rPr>
                          </m:ctrlPr>
                        </m:accPr>
                        <m:e>
                          <m:r>
                            <w:rPr>
                              <w:rFonts w:ascii="Cambria Math" w:hAnsi="Cambria Math"/>
                              <w:sz w:val="24"/>
                              <w:szCs w:val="24"/>
                            </w:rPr>
                            <m:t>y</m:t>
                          </m:r>
                        </m:e>
                      </m:acc>
                    </m:e>
                  </m:acc>
                </m:e>
                <m:sub>
                  <m:r>
                    <w:rPr>
                      <w:rFonts w:ascii="Cambria Math" w:hAnsi="Cambria Math"/>
                      <w:sz w:val="24"/>
                      <w:szCs w:val="24"/>
                    </w:rPr>
                    <m:t>HT</m:t>
                  </m:r>
                </m:sub>
              </m:sSub>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n</m:t>
              </m:r>
              <m:r>
                <m:rPr>
                  <m:sty m:val="p"/>
                </m:rPr>
                <w:rPr>
                  <w:rFonts w:ascii="Cambria Math" w:hAnsi="Cambria Math"/>
                  <w:sz w:val="24"/>
                  <w:szCs w:val="24"/>
                </w:rPr>
                <m:t>-1</m:t>
              </m:r>
            </m:den>
          </m:f>
          <m:nary>
            <m:naryPr>
              <m:chr m:val="∑"/>
              <m:limLoc m:val="undOvr"/>
              <m:supHide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S</m:t>
              </m:r>
            </m:sub>
            <m:sup/>
            <m:e>
              <m:sSup>
                <m:sSupPr>
                  <m:ctrlPr>
                    <w:rPr>
                      <w:rFonts w:ascii="Cambria Math" w:hAnsi="Cambria Math"/>
                      <w:sz w:val="24"/>
                      <w:szCs w:val="24"/>
                    </w:rPr>
                  </m:ctrlPr>
                </m:sSupPr>
                <m:e>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e</m:t>
                              </m:r>
                            </m:e>
                          </m:acc>
                        </m:e>
                        <m:sub>
                          <m:r>
                            <w:rPr>
                              <w:rFonts w:ascii="Cambria Math" w:hAnsi="Cambria Math"/>
                              <w:sz w:val="24"/>
                              <w:szCs w:val="24"/>
                            </w:rPr>
                            <m:t>i</m:t>
                          </m:r>
                        </m:sub>
                      </m:sSub>
                    </m:num>
                    <m:den>
                      <m:sSub>
                        <m:sSubPr>
                          <m:ctrlPr>
                            <w:rPr>
                              <w:rFonts w:ascii="Cambria Math" w:hAnsi="Cambria Math"/>
                              <w:sz w:val="24"/>
                              <w:szCs w:val="24"/>
                            </w:rPr>
                          </m:ctrlPr>
                        </m:sSubPr>
                        <m:e>
                          <m:r>
                            <w:rPr>
                              <w:rFonts w:ascii="Cambria Math" w:hAnsi="Cambria Math"/>
                              <w:sz w:val="24"/>
                              <w:szCs w:val="24"/>
                            </w:rPr>
                            <m:t>M</m:t>
                          </m:r>
                        </m:e>
                        <m:sub>
                          <m:r>
                            <m:rPr>
                              <m:sty m:val="p"/>
                            </m:rPr>
                            <w:rPr>
                              <w:rFonts w:ascii="Cambria Math" w:hAnsi="Cambria Math"/>
                              <w:sz w:val="24"/>
                              <w:szCs w:val="24"/>
                            </w:rPr>
                            <m:t>0</m:t>
                          </m:r>
                        </m:sub>
                      </m:sSub>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i</m:t>
                          </m:r>
                        </m:sub>
                      </m:sSub>
                    </m:den>
                  </m:f>
                  <m:r>
                    <m:rPr>
                      <m:sty m:val="p"/>
                    </m:rPr>
                    <w:rPr>
                      <w:rFonts w:ascii="Cambria Math" w:hAnsi="Cambria Math"/>
                      <w:sz w:val="24"/>
                      <w:szCs w:val="24"/>
                    </w:rPr>
                    <m:t>)</m:t>
                  </m:r>
                </m:e>
                <m:sup>
                  <m:r>
                    <m:rPr>
                      <m:sty m:val="p"/>
                    </m:rPr>
                    <w:rPr>
                      <w:rFonts w:ascii="Cambria Math" w:hAnsi="Cambria Math"/>
                      <w:sz w:val="24"/>
                      <w:szCs w:val="24"/>
                    </w:rPr>
                    <m:t>2</m:t>
                  </m:r>
                </m:sup>
              </m:sSup>
            </m:e>
          </m:nary>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num>
            <m:den>
              <m:r>
                <w:rPr>
                  <w:rFonts w:ascii="Cambria Math" w:hAnsi="Cambria Math"/>
                  <w:sz w:val="24"/>
                  <w:szCs w:val="24"/>
                </w:rPr>
                <m:t>n</m:t>
              </m:r>
              <m:r>
                <m:rPr>
                  <m:sty m:val="p"/>
                </m:rPr>
                <w:rPr>
                  <w:rFonts w:ascii="Cambria Math" w:hAnsi="Cambria Math"/>
                  <w:sz w:val="24"/>
                  <w:szCs w:val="24"/>
                </w:rPr>
                <m:t>-1</m:t>
              </m:r>
            </m:den>
          </m:f>
          <m:nary>
            <m:naryPr>
              <m:chr m:val="∑"/>
              <m:limLoc m:val="undOvr"/>
              <m:supHide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S</m:t>
              </m:r>
            </m:sub>
            <m:sup/>
            <m:e>
              <m:sSup>
                <m:sSupPr>
                  <m:ctrlPr>
                    <w:rPr>
                      <w:rFonts w:ascii="Cambria Math" w:hAnsi="Cambria Math"/>
                      <w:sz w:val="24"/>
                      <w:szCs w:val="24"/>
                    </w:rPr>
                  </m:ctrlPr>
                </m:sSupPr>
                <m:e>
                  <m:r>
                    <m:rPr>
                      <m:sty m:val="p"/>
                    </m:rPr>
                    <w:rPr>
                      <w:rFonts w:ascii="Cambria Math" w:hAnsi="Cambria Math"/>
                      <w:sz w:val="24"/>
                      <w:szCs w:val="24"/>
                    </w:rPr>
                    <m:t>(</m:t>
                  </m:r>
                  <m:f>
                    <m:fPr>
                      <m:ctrlPr>
                        <w:rPr>
                          <w:rFonts w:ascii="Cambria Math" w:hAnsi="Cambria Math"/>
                          <w:sz w:val="24"/>
                          <w:szCs w:val="24"/>
                        </w:rPr>
                      </m:ctrlPr>
                    </m:fPr>
                    <m:num>
                      <m:nary>
                        <m:naryPr>
                          <m:chr m:val="∑"/>
                          <m:limLoc m:val="undOvr"/>
                          <m:supHide m:val="1"/>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nary>
                            <m:naryPr>
                              <m:chr m:val="∑"/>
                              <m:limLoc m:val="undOvr"/>
                              <m:supHide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sub>
                            <m:sup/>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ijk</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ijk</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acc>
                                        <m:accPr>
                                          <m:chr m:val="̅"/>
                                          <m:ctrlPr>
                                            <w:rPr>
                                              <w:rFonts w:ascii="Cambria Math" w:hAnsi="Cambria Math"/>
                                              <w:sz w:val="24"/>
                                              <w:szCs w:val="24"/>
                                            </w:rPr>
                                          </m:ctrlPr>
                                        </m:accPr>
                                        <m:e>
                                          <m:r>
                                            <w:rPr>
                                              <w:rFonts w:ascii="Cambria Math" w:hAnsi="Cambria Math"/>
                                              <w:sz w:val="24"/>
                                              <w:szCs w:val="24"/>
                                            </w:rPr>
                                            <m:t>y</m:t>
                                          </m:r>
                                        </m:e>
                                      </m:acc>
                                    </m:e>
                                  </m:acc>
                                </m:e>
                                <m:sub>
                                  <m:r>
                                    <w:rPr>
                                      <w:rFonts w:ascii="Cambria Math" w:hAnsi="Cambria Math"/>
                                      <w:sz w:val="24"/>
                                      <w:szCs w:val="24"/>
                                    </w:rPr>
                                    <m:t>HT</m:t>
                                  </m:r>
                                </m:sub>
                              </m:sSub>
                              <m:r>
                                <m:rPr>
                                  <m:sty m:val="p"/>
                                </m:rPr>
                                <w:rPr>
                                  <w:rFonts w:ascii="Cambria Math" w:hAnsi="Cambria Math"/>
                                  <w:sz w:val="24"/>
                                  <w:szCs w:val="24"/>
                                </w:rPr>
                                <m:t>)</m:t>
                              </m:r>
                            </m:e>
                          </m:nary>
                        </m:e>
                      </m:nary>
                    </m:num>
                    <m:den>
                      <m:nary>
                        <m:naryPr>
                          <m:chr m:val="∑"/>
                          <m:limLoc m:val="undOvr"/>
                          <m:supHide m:val="1"/>
                          <m:ctrlPr>
                            <w:rPr>
                              <w:rFonts w:ascii="Cambria Math" w:hAnsi="Cambria Math"/>
                              <w:sz w:val="24"/>
                              <w:szCs w:val="24"/>
                            </w:rPr>
                          </m:ctrlPr>
                        </m:naryPr>
                        <m:sub>
                          <m:r>
                            <w:rPr>
                              <w:rFonts w:ascii="Cambria Math" w:hAnsi="Cambria Math"/>
                              <w:sz w:val="24"/>
                              <w:szCs w:val="24"/>
                            </w:rPr>
                            <m:t>k</m:t>
                          </m:r>
                          <m:r>
                            <m:rPr>
                              <m:sty m:val="p"/>
                            </m:rPr>
                            <w:rPr>
                              <w:rFonts w:ascii="Cambria Math" w:hAnsi="Cambria Math"/>
                              <w:sz w:val="24"/>
                              <w:szCs w:val="24"/>
                            </w:rPr>
                            <m:t>∈</m:t>
                          </m:r>
                          <m:r>
                            <w:rPr>
                              <w:rFonts w:ascii="Cambria Math" w:hAnsi="Cambria Math"/>
                              <w:sz w:val="24"/>
                              <w:szCs w:val="24"/>
                            </w:rPr>
                            <m:t>S</m:t>
                          </m:r>
                        </m:sub>
                        <m:sup/>
                        <m:e>
                          <m:nary>
                            <m:naryPr>
                              <m:chr m:val="∑"/>
                              <m:limLoc m:val="subSup"/>
                              <m:supHide m:val="1"/>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sub>
                            <m:sup/>
                            <m:e>
                              <m:nary>
                                <m:naryPr>
                                  <m:chr m:val="∑"/>
                                  <m:limLoc m:val="undOvr"/>
                                  <m:supHide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sub>
                                <m:sup/>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ijk</m:t>
                                      </m:r>
                                    </m:sub>
                                  </m:sSub>
                                </m:e>
                              </m:nary>
                            </m:e>
                          </m:nary>
                        </m:e>
                      </m:nary>
                    </m:den>
                  </m:f>
                  <m:r>
                    <m:rPr>
                      <m:sty m:val="p"/>
                    </m:rPr>
                    <w:rPr>
                      <w:rFonts w:ascii="Cambria Math" w:hAnsi="Cambria Math"/>
                      <w:sz w:val="24"/>
                      <w:szCs w:val="24"/>
                    </w:rPr>
                    <m:t>)</m:t>
                  </m:r>
                </m:e>
                <m:sup>
                  <m:r>
                    <m:rPr>
                      <m:sty m:val="p"/>
                    </m:rPr>
                    <w:rPr>
                      <w:rFonts w:ascii="Cambria Math" w:hAnsi="Cambria Math"/>
                      <w:sz w:val="24"/>
                      <w:szCs w:val="24"/>
                    </w:rPr>
                    <m:t>2</m:t>
                  </m:r>
                </m:sup>
              </m:sSup>
            </m:e>
          </m:nary>
        </m:oMath>
      </m:oMathPara>
    </w:p>
    <w:p w14:paraId="3E6D887F" w14:textId="270F07BC" w:rsidR="006714B8" w:rsidRPr="00714902" w:rsidRDefault="006714B8" w:rsidP="003121B1">
      <w:pPr>
        <w:spacing w:line="480" w:lineRule="auto"/>
        <w:rPr>
          <w:sz w:val="24"/>
          <w:szCs w:val="24"/>
        </w:rPr>
      </w:pPr>
      <w:r w:rsidRPr="00714902">
        <w:rPr>
          <w:sz w:val="24"/>
          <w:szCs w:val="24"/>
        </w:rPr>
        <w:t xml:space="preserve">Standard error is the root squared variance, due to design effects, </w:t>
      </w:r>
      <w:r w:rsidR="000555F8" w:rsidRPr="00714902">
        <w:rPr>
          <w:sz w:val="24"/>
          <w:szCs w:val="24"/>
        </w:rPr>
        <w:t xml:space="preserve">the </w:t>
      </w:r>
      <w:r w:rsidRPr="00714902">
        <w:rPr>
          <w:sz w:val="24"/>
          <w:szCs w:val="24"/>
        </w:rPr>
        <w:t xml:space="preserve">95% CI is </w:t>
      </w:r>
      <m:oMath>
        <m:sSub>
          <m:sSubPr>
            <m:ctrlPr>
              <w:rPr>
                <w:rFonts w:ascii="Cambria Math" w:hAnsi="Cambria Math"/>
                <w:sz w:val="24"/>
                <w:szCs w:val="24"/>
              </w:rPr>
            </m:ctrlPr>
          </m:sSubPr>
          <m:e>
            <m:acc>
              <m:accPr>
                <m:ctrlPr>
                  <w:rPr>
                    <w:rFonts w:ascii="Cambria Math" w:hAnsi="Cambria Math"/>
                    <w:sz w:val="24"/>
                    <w:szCs w:val="24"/>
                  </w:rPr>
                </m:ctrlPr>
              </m:accPr>
              <m:e>
                <m:acc>
                  <m:accPr>
                    <m:chr m:val="̅"/>
                    <m:ctrlPr>
                      <w:rPr>
                        <w:rFonts w:ascii="Cambria Math" w:hAnsi="Cambria Math"/>
                        <w:sz w:val="24"/>
                        <w:szCs w:val="24"/>
                      </w:rPr>
                    </m:ctrlPr>
                  </m:accPr>
                  <m:e>
                    <m:r>
                      <w:rPr>
                        <w:rFonts w:ascii="Cambria Math" w:hAnsi="Cambria Math"/>
                        <w:sz w:val="24"/>
                        <w:szCs w:val="24"/>
                      </w:rPr>
                      <m:t>y</m:t>
                    </m:r>
                  </m:e>
                </m:acc>
              </m:e>
            </m:acc>
          </m:e>
          <m:sub>
            <m:r>
              <w:rPr>
                <w:rFonts w:ascii="Cambria Math" w:hAnsi="Cambria Math"/>
                <w:sz w:val="24"/>
                <w:szCs w:val="24"/>
              </w:rPr>
              <m:t>HT</m:t>
            </m:r>
          </m:sub>
        </m:sSub>
        <m:r>
          <m:rPr>
            <m:sty m:val="p"/>
          </m:rPr>
          <w:rPr>
            <w:rFonts w:ascii="Cambria Math" w:hAnsi="Cambria Math"/>
            <w:sz w:val="24"/>
            <w:szCs w:val="24"/>
          </w:rPr>
          <m:t>±1.96</m:t>
        </m:r>
        <m:rad>
          <m:radPr>
            <m:degHide m:val="1"/>
            <m:ctrlPr>
              <w:rPr>
                <w:rFonts w:ascii="Cambria Math" w:hAnsi="Cambria Math"/>
                <w:sz w:val="24"/>
                <w:szCs w:val="24"/>
              </w:rPr>
            </m:ctrlPr>
          </m:radPr>
          <m:deg/>
          <m:e>
            <m:r>
              <w:rPr>
                <w:rFonts w:ascii="Cambria Math" w:hAnsi="Cambria Math"/>
                <w:sz w:val="24"/>
                <w:szCs w:val="24"/>
              </w:rPr>
              <m:t>deff</m:t>
            </m:r>
          </m:e>
        </m:rad>
        <m:rad>
          <m:radPr>
            <m:degHide m:val="1"/>
            <m:ctrlPr>
              <w:rPr>
                <w:rFonts w:ascii="Cambria Math" w:hAnsi="Cambria Math"/>
                <w:sz w:val="24"/>
                <w:szCs w:val="24"/>
              </w:rPr>
            </m:ctrlPr>
          </m:radPr>
          <m:deg/>
          <m:e>
            <m:f>
              <m:fPr>
                <m:ctrlPr>
                  <w:rPr>
                    <w:rFonts w:ascii="Cambria Math" w:hAnsi="Cambria Math"/>
                    <w:sz w:val="24"/>
                    <w:szCs w:val="24"/>
                  </w:rPr>
                </m:ctrlPr>
              </m:fPr>
              <m:num>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WR</m:t>
                    </m:r>
                  </m:sub>
                </m:sSub>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acc>
                              <m:accPr>
                                <m:chr m:val="̅"/>
                                <m:ctrlPr>
                                  <w:rPr>
                                    <w:rFonts w:ascii="Cambria Math" w:hAnsi="Cambria Math"/>
                                    <w:sz w:val="24"/>
                                    <w:szCs w:val="24"/>
                                  </w:rPr>
                                </m:ctrlPr>
                              </m:accPr>
                              <m:e>
                                <m:r>
                                  <w:rPr>
                                    <w:rFonts w:ascii="Cambria Math" w:hAnsi="Cambria Math"/>
                                    <w:sz w:val="24"/>
                                    <w:szCs w:val="24"/>
                                  </w:rPr>
                                  <m:t>y</m:t>
                                </m:r>
                              </m:e>
                            </m:acc>
                          </m:e>
                        </m:acc>
                      </m:e>
                      <m:sub>
                        <m:r>
                          <w:rPr>
                            <w:rFonts w:ascii="Cambria Math" w:hAnsi="Cambria Math"/>
                            <w:sz w:val="24"/>
                            <w:szCs w:val="24"/>
                          </w:rPr>
                          <m:t>HT</m:t>
                        </m:r>
                      </m:sub>
                    </m:sSub>
                  </m:e>
                </m:d>
              </m:num>
              <m:den>
                <m:r>
                  <w:rPr>
                    <w:rFonts w:ascii="Cambria Math" w:hAnsi="Cambria Math"/>
                    <w:sz w:val="24"/>
                    <w:szCs w:val="24"/>
                  </w:rPr>
                  <m:t>n</m:t>
                </m:r>
              </m:den>
            </m:f>
          </m:e>
        </m:rad>
      </m:oMath>
      <w:r w:rsidRPr="00714902">
        <w:rPr>
          <w:sz w:val="24"/>
          <w:szCs w:val="24"/>
        </w:rPr>
        <w:t>.</w:t>
      </w:r>
    </w:p>
    <w:p w14:paraId="66960202" w14:textId="77777777" w:rsidR="006714B8" w:rsidRPr="00714902" w:rsidRDefault="006714B8" w:rsidP="003121B1">
      <w:pPr>
        <w:spacing w:line="480" w:lineRule="auto"/>
        <w:rPr>
          <w:sz w:val="24"/>
          <w:szCs w:val="24"/>
        </w:rPr>
      </w:pPr>
    </w:p>
    <w:p w14:paraId="4B385926" w14:textId="77C77770" w:rsidR="005619FB" w:rsidRPr="00714902" w:rsidRDefault="005619FB" w:rsidP="003121B1">
      <w:pPr>
        <w:spacing w:line="480" w:lineRule="auto"/>
        <w:rPr>
          <w:sz w:val="24"/>
          <w:szCs w:val="24"/>
        </w:rPr>
      </w:pPr>
      <w:r w:rsidRPr="00714902">
        <w:rPr>
          <w:b/>
          <w:bCs/>
          <w:sz w:val="24"/>
          <w:szCs w:val="24"/>
        </w:rPr>
        <w:t>Field Procedures</w:t>
      </w:r>
    </w:p>
    <w:p w14:paraId="776D3C0E" w14:textId="64D138BD" w:rsidR="005619FB" w:rsidRPr="00714902" w:rsidRDefault="005619FB" w:rsidP="003121B1">
      <w:pPr>
        <w:spacing w:line="480" w:lineRule="auto"/>
        <w:rPr>
          <w:i/>
          <w:iCs/>
          <w:sz w:val="24"/>
          <w:szCs w:val="24"/>
        </w:rPr>
      </w:pPr>
      <w:r w:rsidRPr="00714902">
        <w:rPr>
          <w:i/>
          <w:iCs/>
          <w:sz w:val="24"/>
          <w:szCs w:val="24"/>
        </w:rPr>
        <w:t>Pretest</w:t>
      </w:r>
    </w:p>
    <w:p w14:paraId="7C39F42B" w14:textId="48C188B8" w:rsidR="005619FB" w:rsidRPr="00714902" w:rsidRDefault="00AC5A5C" w:rsidP="003121B1">
      <w:pPr>
        <w:spacing w:line="480" w:lineRule="auto"/>
        <w:rPr>
          <w:sz w:val="24"/>
          <w:szCs w:val="24"/>
        </w:rPr>
      </w:pPr>
      <w:r w:rsidRPr="00714902">
        <w:rPr>
          <w:sz w:val="24"/>
          <w:szCs w:val="24"/>
        </w:rPr>
        <w:t xml:space="preserve">A pretest study was initially conducted in two schools </w:t>
      </w:r>
      <w:r w:rsidR="004230F8" w:rsidRPr="00714902">
        <w:rPr>
          <w:sz w:val="24"/>
          <w:szCs w:val="24"/>
        </w:rPr>
        <w:t>in Guangdong</w:t>
      </w:r>
      <w:r w:rsidR="000D647D" w:rsidRPr="00714902">
        <w:rPr>
          <w:sz w:val="24"/>
          <w:szCs w:val="24"/>
        </w:rPr>
        <w:t xml:space="preserve"> to test the completion time, questionnaire item</w:t>
      </w:r>
      <w:r w:rsidR="008B4031" w:rsidRPr="00714902">
        <w:rPr>
          <w:sz w:val="24"/>
          <w:szCs w:val="24"/>
        </w:rPr>
        <w:t xml:space="preserve"> orders</w:t>
      </w:r>
      <w:r w:rsidR="000D647D" w:rsidRPr="00714902">
        <w:rPr>
          <w:sz w:val="24"/>
          <w:szCs w:val="24"/>
        </w:rPr>
        <w:t xml:space="preserve">, sensitivity, completion rate, </w:t>
      </w:r>
      <w:r w:rsidR="0015409F" w:rsidRPr="00714902">
        <w:rPr>
          <w:sz w:val="24"/>
          <w:szCs w:val="24"/>
        </w:rPr>
        <w:t xml:space="preserve">semantic validity via electronic questionnaires. </w:t>
      </w:r>
      <w:r w:rsidR="009F47FD">
        <w:rPr>
          <w:sz w:val="24"/>
          <w:szCs w:val="24"/>
        </w:rPr>
        <w:t>A separate earlier project</w:t>
      </w:r>
      <w:r w:rsidR="00866D44">
        <w:rPr>
          <w:sz w:val="24"/>
          <w:szCs w:val="24"/>
        </w:rPr>
        <w:t xml:space="preserve"> (n=7</w:t>
      </w:r>
      <w:r w:rsidR="007537B7">
        <w:rPr>
          <w:sz w:val="24"/>
          <w:szCs w:val="24"/>
        </w:rPr>
        <w:t>27</w:t>
      </w:r>
      <w:r w:rsidR="00866D44">
        <w:rPr>
          <w:sz w:val="24"/>
          <w:szCs w:val="24"/>
        </w:rPr>
        <w:t>)</w:t>
      </w:r>
      <w:r w:rsidR="005C3763">
        <w:rPr>
          <w:sz w:val="24"/>
          <w:szCs w:val="24"/>
        </w:rPr>
        <w:t xml:space="preserve"> using</w:t>
      </w:r>
      <w:r w:rsidR="009F47FD">
        <w:rPr>
          <w:sz w:val="24"/>
          <w:szCs w:val="24"/>
        </w:rPr>
        <w:t xml:space="preserve"> stratified sampling across the 21 municipals of Guangdong province </w:t>
      </w:r>
      <w:r w:rsidR="005C3763">
        <w:rPr>
          <w:sz w:val="24"/>
          <w:szCs w:val="24"/>
        </w:rPr>
        <w:t xml:space="preserve">on the young adult population was conducted in early 2022 </w:t>
      </w:r>
      <w:r w:rsidR="006D1AFF">
        <w:rPr>
          <w:sz w:val="24"/>
          <w:szCs w:val="24"/>
        </w:rPr>
        <w:t xml:space="preserve">with </w:t>
      </w:r>
      <w:r w:rsidR="00CB1C71">
        <w:rPr>
          <w:sz w:val="24"/>
          <w:szCs w:val="24"/>
        </w:rPr>
        <w:t>a majority of</w:t>
      </w:r>
      <w:r w:rsidR="006D1AFF">
        <w:rPr>
          <w:sz w:val="24"/>
          <w:szCs w:val="24"/>
        </w:rPr>
        <w:t xml:space="preserve"> similar questions that were later reused in th</w:t>
      </w:r>
      <w:r w:rsidR="00D7258E">
        <w:rPr>
          <w:sz w:val="24"/>
          <w:szCs w:val="24"/>
        </w:rPr>
        <w:t>e current</w:t>
      </w:r>
      <w:r w:rsidR="006D1AFF">
        <w:rPr>
          <w:sz w:val="24"/>
          <w:szCs w:val="24"/>
        </w:rPr>
        <w:t xml:space="preserve"> survey. </w:t>
      </w:r>
      <w:r w:rsidR="00D7258E">
        <w:rPr>
          <w:sz w:val="24"/>
          <w:szCs w:val="24"/>
        </w:rPr>
        <w:t xml:space="preserve">The pre-test survey was retrieved and revised per the feedbacks on semantic understanding, face validity, and cognitive difficulty of </w:t>
      </w:r>
      <w:r w:rsidR="00983980">
        <w:rPr>
          <w:sz w:val="24"/>
          <w:szCs w:val="24"/>
        </w:rPr>
        <w:t xml:space="preserve">the </w:t>
      </w:r>
      <w:r w:rsidR="00D7258E">
        <w:rPr>
          <w:sz w:val="24"/>
          <w:szCs w:val="24"/>
        </w:rPr>
        <w:t xml:space="preserve">responses. </w:t>
      </w:r>
      <w:r w:rsidR="00983980">
        <w:rPr>
          <w:sz w:val="24"/>
          <w:szCs w:val="24"/>
        </w:rPr>
        <w:t xml:space="preserve">A panel consisted of </w:t>
      </w:r>
      <w:r w:rsidR="00EB6716">
        <w:rPr>
          <w:sz w:val="24"/>
          <w:szCs w:val="24"/>
        </w:rPr>
        <w:t>three faculty members from three different institutions and</w:t>
      </w:r>
      <w:r w:rsidR="00983980">
        <w:rPr>
          <w:sz w:val="24"/>
          <w:szCs w:val="24"/>
        </w:rPr>
        <w:t xml:space="preserve"> six graduate students</w:t>
      </w:r>
      <w:r w:rsidR="00EB6716">
        <w:rPr>
          <w:sz w:val="24"/>
          <w:szCs w:val="24"/>
        </w:rPr>
        <w:t xml:space="preserve"> was invited and involved in the revision </w:t>
      </w:r>
      <w:r w:rsidR="00B91DA4">
        <w:rPr>
          <w:sz w:val="24"/>
          <w:szCs w:val="24"/>
        </w:rPr>
        <w:t xml:space="preserve">of the questionnaire based on the pre-test results. </w:t>
      </w:r>
    </w:p>
    <w:p w14:paraId="38901596" w14:textId="255BE553" w:rsidR="00136B28" w:rsidRPr="00714902" w:rsidRDefault="00136B28" w:rsidP="003121B1">
      <w:pPr>
        <w:spacing w:line="480" w:lineRule="auto"/>
        <w:rPr>
          <w:i/>
          <w:iCs/>
          <w:sz w:val="24"/>
          <w:szCs w:val="24"/>
        </w:rPr>
      </w:pPr>
      <w:r w:rsidRPr="00714902">
        <w:rPr>
          <w:i/>
          <w:iCs/>
          <w:sz w:val="24"/>
          <w:szCs w:val="24"/>
        </w:rPr>
        <w:t>Interviewer training</w:t>
      </w:r>
    </w:p>
    <w:p w14:paraId="6C35551B" w14:textId="2A4DE9B2" w:rsidR="00164698" w:rsidRPr="00164698" w:rsidRDefault="00164698" w:rsidP="003121B1">
      <w:pPr>
        <w:spacing w:line="480" w:lineRule="auto"/>
        <w:rPr>
          <w:sz w:val="24"/>
          <w:szCs w:val="24"/>
        </w:rPr>
      </w:pPr>
      <w:r>
        <w:rPr>
          <w:sz w:val="24"/>
          <w:szCs w:val="24"/>
        </w:rPr>
        <w:t xml:space="preserve">The </w:t>
      </w:r>
      <w:r w:rsidR="00F21CAD">
        <w:rPr>
          <w:sz w:val="24"/>
          <w:szCs w:val="24"/>
        </w:rPr>
        <w:t>survey was self-administered by students attending the class or allowing them to complete at any time at home</w:t>
      </w:r>
      <w:r w:rsidR="008117D3">
        <w:rPr>
          <w:sz w:val="24"/>
          <w:szCs w:val="24"/>
        </w:rPr>
        <w:t>. The local coordinators at each school informed the students of the nature and confidentiality of the survey</w:t>
      </w:r>
      <w:r w:rsidR="000D75D1">
        <w:rPr>
          <w:sz w:val="24"/>
          <w:szCs w:val="24"/>
        </w:rPr>
        <w:t>, before distributing the paper-form questionnaires (in minority cases) or the link to the encrypted online survey platform (in majority cases)</w:t>
      </w:r>
      <w:r w:rsidR="005F2D21">
        <w:rPr>
          <w:sz w:val="24"/>
          <w:szCs w:val="24"/>
        </w:rPr>
        <w:t xml:space="preserve">. The coordinators were instructed to orally </w:t>
      </w:r>
      <w:r w:rsidR="009666FA">
        <w:rPr>
          <w:sz w:val="24"/>
          <w:szCs w:val="24"/>
        </w:rPr>
        <w:t>or in written form remind the respondents of the survey</w:t>
      </w:r>
      <w:r w:rsidR="00AA1225">
        <w:rPr>
          <w:sz w:val="24"/>
          <w:szCs w:val="24"/>
        </w:rPr>
        <w:t xml:space="preserve"> twice</w:t>
      </w:r>
      <w:r w:rsidR="009666FA">
        <w:rPr>
          <w:sz w:val="24"/>
          <w:szCs w:val="24"/>
        </w:rPr>
        <w:t xml:space="preserve"> if completion rate was lower than 50% in each instance. </w:t>
      </w:r>
      <w:r w:rsidR="00AA1225">
        <w:rPr>
          <w:sz w:val="24"/>
          <w:szCs w:val="24"/>
        </w:rPr>
        <w:t xml:space="preserve">A letter to respondents and letter to coordinators were </w:t>
      </w:r>
      <w:r w:rsidR="00757286">
        <w:rPr>
          <w:sz w:val="24"/>
          <w:szCs w:val="24"/>
        </w:rPr>
        <w:t xml:space="preserve">both made available at each participating school, the content of which </w:t>
      </w:r>
      <w:r w:rsidR="008B0EAC">
        <w:rPr>
          <w:sz w:val="24"/>
          <w:szCs w:val="24"/>
        </w:rPr>
        <w:t>conveyed the nature, confidentiality, anonymity policy, source of funding, and purposes of the survey.</w:t>
      </w:r>
      <w:r w:rsidR="00004318">
        <w:rPr>
          <w:sz w:val="24"/>
          <w:szCs w:val="24"/>
        </w:rPr>
        <w:t xml:space="preserve"> Communication</w:t>
      </w:r>
      <w:r w:rsidR="00E226A0">
        <w:rPr>
          <w:sz w:val="24"/>
          <w:szCs w:val="24"/>
        </w:rPr>
        <w:t xml:space="preserve"> with coordinators and interviewers were made timely accessible via the survey teams</w:t>
      </w:r>
      <w:r w:rsidR="00A528BE">
        <w:rPr>
          <w:sz w:val="24"/>
          <w:szCs w:val="24"/>
        </w:rPr>
        <w:t>’ cell phone</w:t>
      </w:r>
      <w:r w:rsidR="00E43A70">
        <w:rPr>
          <w:sz w:val="24"/>
          <w:szCs w:val="24"/>
        </w:rPr>
        <w:t>s</w:t>
      </w:r>
      <w:r w:rsidR="00A528BE">
        <w:rPr>
          <w:sz w:val="24"/>
          <w:szCs w:val="24"/>
        </w:rPr>
        <w:t xml:space="preserve"> and email</w:t>
      </w:r>
      <w:r w:rsidR="00E43A70">
        <w:rPr>
          <w:sz w:val="24"/>
          <w:szCs w:val="24"/>
        </w:rPr>
        <w:t>s</w:t>
      </w:r>
      <w:r w:rsidR="00143620">
        <w:rPr>
          <w:sz w:val="24"/>
          <w:szCs w:val="24"/>
        </w:rPr>
        <w:t xml:space="preserve">, in order to </w:t>
      </w:r>
      <w:r w:rsidR="00143620" w:rsidRPr="00143620">
        <w:rPr>
          <w:sz w:val="24"/>
          <w:szCs w:val="24"/>
        </w:rPr>
        <w:t>offer ongoing support and guidance throughout the survey administration process.</w:t>
      </w:r>
    </w:p>
    <w:p w14:paraId="391D5A3A" w14:textId="65B502B2" w:rsidR="00136B28" w:rsidRDefault="00136B28" w:rsidP="003121B1">
      <w:pPr>
        <w:spacing w:line="480" w:lineRule="auto"/>
        <w:rPr>
          <w:i/>
          <w:iCs/>
          <w:sz w:val="24"/>
          <w:szCs w:val="24"/>
        </w:rPr>
      </w:pPr>
      <w:r w:rsidRPr="00714902">
        <w:rPr>
          <w:i/>
          <w:iCs/>
          <w:sz w:val="24"/>
          <w:szCs w:val="24"/>
        </w:rPr>
        <w:t>Incentives</w:t>
      </w:r>
    </w:p>
    <w:p w14:paraId="6B2456B6" w14:textId="69FA1831" w:rsidR="00E43A70" w:rsidRPr="00E43A70" w:rsidRDefault="00842D57" w:rsidP="003121B1">
      <w:pPr>
        <w:spacing w:line="480" w:lineRule="auto"/>
        <w:rPr>
          <w:sz w:val="24"/>
          <w:szCs w:val="24"/>
        </w:rPr>
      </w:pPr>
      <w:r>
        <w:rPr>
          <w:sz w:val="24"/>
          <w:szCs w:val="24"/>
        </w:rPr>
        <w:t xml:space="preserve">In the letter to coordinators, </w:t>
      </w:r>
      <w:r w:rsidR="00531135">
        <w:rPr>
          <w:sz w:val="24"/>
          <w:szCs w:val="24"/>
        </w:rPr>
        <w:t xml:space="preserve">the compensation and incentive policy to participating coordinators and teachers </w:t>
      </w:r>
      <w:r w:rsidR="00377E5B">
        <w:rPr>
          <w:sz w:val="24"/>
          <w:szCs w:val="24"/>
        </w:rPr>
        <w:t xml:space="preserve">detailed: for each participating class </w:t>
      </w:r>
      <w:r w:rsidR="002856DD">
        <w:rPr>
          <w:sz w:val="24"/>
          <w:szCs w:val="24"/>
        </w:rPr>
        <w:t>with more than 30 students</w:t>
      </w:r>
      <w:r w:rsidR="000572F3">
        <w:rPr>
          <w:sz w:val="24"/>
          <w:szCs w:val="24"/>
        </w:rPr>
        <w:t xml:space="preserve"> and fewer than 60 students, 800 Yuan will be paid to the coordinator/teacher </w:t>
      </w:r>
      <w:r w:rsidR="00341459">
        <w:rPr>
          <w:sz w:val="24"/>
          <w:szCs w:val="24"/>
        </w:rPr>
        <w:t xml:space="preserve">for each cohort of 25 </w:t>
      </w:r>
      <w:r w:rsidR="008434E8">
        <w:rPr>
          <w:sz w:val="24"/>
          <w:szCs w:val="24"/>
        </w:rPr>
        <w:t>returned</w:t>
      </w:r>
      <w:r w:rsidR="00341459">
        <w:rPr>
          <w:sz w:val="24"/>
          <w:szCs w:val="24"/>
        </w:rPr>
        <w:t xml:space="preserve"> questionnaires</w:t>
      </w:r>
      <w:r w:rsidR="008434E8">
        <w:rPr>
          <w:sz w:val="24"/>
          <w:szCs w:val="24"/>
        </w:rPr>
        <w:t>. Each additional cohort in the size of 25 will be compensated by 500 Yuan.</w:t>
      </w:r>
      <w:r w:rsidR="00DB39F3">
        <w:rPr>
          <w:sz w:val="24"/>
          <w:szCs w:val="24"/>
        </w:rPr>
        <w:t xml:space="preserve"> The coordinators reserve the arbitration about how to compensate the students. </w:t>
      </w:r>
      <w:r w:rsidR="001F5089">
        <w:rPr>
          <w:sz w:val="24"/>
          <w:szCs w:val="24"/>
        </w:rPr>
        <w:t xml:space="preserve">In many cases the coordinators refused the monetary compensation </w:t>
      </w:r>
      <w:r w:rsidR="00B07C06">
        <w:rPr>
          <w:sz w:val="24"/>
          <w:szCs w:val="24"/>
        </w:rPr>
        <w:t xml:space="preserve">citing good faith, friendship, devotion </w:t>
      </w:r>
      <w:r w:rsidR="00AF7B77">
        <w:rPr>
          <w:sz w:val="24"/>
          <w:szCs w:val="24"/>
        </w:rPr>
        <w:t>to</w:t>
      </w:r>
      <w:r w:rsidR="00B07C06">
        <w:rPr>
          <w:sz w:val="24"/>
          <w:szCs w:val="24"/>
        </w:rPr>
        <w:t xml:space="preserve"> research</w:t>
      </w:r>
      <w:r w:rsidR="00CF2722">
        <w:rPr>
          <w:sz w:val="24"/>
          <w:szCs w:val="24"/>
        </w:rPr>
        <w:t xml:space="preserve">, </w:t>
      </w:r>
      <w:r w:rsidR="00AF7B77">
        <w:rPr>
          <w:sz w:val="24"/>
          <w:szCs w:val="24"/>
        </w:rPr>
        <w:t>so</w:t>
      </w:r>
      <w:r w:rsidR="00CF2722">
        <w:rPr>
          <w:sz w:val="24"/>
          <w:szCs w:val="24"/>
        </w:rPr>
        <w:t xml:space="preserve"> we have compensated them out of good faith by </w:t>
      </w:r>
      <w:r w:rsidR="00DA034A">
        <w:rPr>
          <w:sz w:val="24"/>
          <w:szCs w:val="24"/>
        </w:rPr>
        <w:t xml:space="preserve">gifting </w:t>
      </w:r>
      <w:r w:rsidR="00AF7B77">
        <w:rPr>
          <w:sz w:val="24"/>
          <w:szCs w:val="24"/>
        </w:rPr>
        <w:t xml:space="preserve">token </w:t>
      </w:r>
      <w:r w:rsidR="00DA034A">
        <w:rPr>
          <w:sz w:val="24"/>
          <w:szCs w:val="24"/>
        </w:rPr>
        <w:t>food such as</w:t>
      </w:r>
      <w:r w:rsidR="00AF7B77">
        <w:rPr>
          <w:sz w:val="24"/>
          <w:szCs w:val="24"/>
        </w:rPr>
        <w:t xml:space="preserve"> several pounds of</w:t>
      </w:r>
      <w:r w:rsidR="00DA034A">
        <w:rPr>
          <w:sz w:val="24"/>
          <w:szCs w:val="24"/>
        </w:rPr>
        <w:t xml:space="preserve"> beef</w:t>
      </w:r>
      <w:r w:rsidR="004F4A83">
        <w:rPr>
          <w:sz w:val="24"/>
          <w:szCs w:val="24"/>
        </w:rPr>
        <w:t xml:space="preserve"> flank</w:t>
      </w:r>
      <w:r w:rsidR="00DA034A">
        <w:rPr>
          <w:sz w:val="24"/>
          <w:szCs w:val="24"/>
        </w:rPr>
        <w:t xml:space="preserve"> and </w:t>
      </w:r>
      <w:r w:rsidR="004F4A83">
        <w:rPr>
          <w:sz w:val="24"/>
          <w:szCs w:val="24"/>
        </w:rPr>
        <w:t xml:space="preserve">beef </w:t>
      </w:r>
      <w:r w:rsidR="00DA034A">
        <w:rPr>
          <w:sz w:val="24"/>
          <w:szCs w:val="24"/>
        </w:rPr>
        <w:t xml:space="preserve">meatballs. </w:t>
      </w:r>
    </w:p>
    <w:p w14:paraId="6BEEEB20" w14:textId="096B0862" w:rsidR="00136B28" w:rsidRDefault="00136B28" w:rsidP="003121B1">
      <w:pPr>
        <w:spacing w:line="480" w:lineRule="auto"/>
        <w:rPr>
          <w:i/>
          <w:iCs/>
          <w:sz w:val="24"/>
          <w:szCs w:val="24"/>
        </w:rPr>
      </w:pPr>
      <w:r w:rsidRPr="00714902">
        <w:rPr>
          <w:i/>
          <w:iCs/>
          <w:sz w:val="24"/>
          <w:szCs w:val="24"/>
        </w:rPr>
        <w:t>Screening and consent</w:t>
      </w:r>
    </w:p>
    <w:p w14:paraId="360BD903" w14:textId="1866ADAD" w:rsidR="00324818" w:rsidRPr="00324818" w:rsidRDefault="005D3A40" w:rsidP="003121B1">
      <w:pPr>
        <w:spacing w:line="480" w:lineRule="auto"/>
        <w:rPr>
          <w:sz w:val="24"/>
          <w:szCs w:val="24"/>
        </w:rPr>
      </w:pPr>
      <w:r>
        <w:rPr>
          <w:sz w:val="24"/>
          <w:szCs w:val="24"/>
        </w:rPr>
        <w:t>The survey design was approved by the ethics committee of the School of Sociology and Anthropology at Sun Yat-</w:t>
      </w:r>
      <w:proofErr w:type="spellStart"/>
      <w:r>
        <w:rPr>
          <w:sz w:val="24"/>
          <w:szCs w:val="24"/>
        </w:rPr>
        <w:t>sen</w:t>
      </w:r>
      <w:proofErr w:type="spellEnd"/>
      <w:r>
        <w:rPr>
          <w:sz w:val="24"/>
          <w:szCs w:val="24"/>
        </w:rPr>
        <w:t xml:space="preserve"> University.</w:t>
      </w:r>
      <w:r w:rsidR="004B6EE7">
        <w:rPr>
          <w:sz w:val="24"/>
          <w:szCs w:val="24"/>
        </w:rPr>
        <w:t xml:space="preserve"> Funding comes from the US-China Medical Board</w:t>
      </w:r>
      <w:r w:rsidR="000F4962">
        <w:rPr>
          <w:sz w:val="24"/>
          <w:szCs w:val="24"/>
        </w:rPr>
        <w:t xml:space="preserve"> (#21-436)</w:t>
      </w:r>
      <w:r w:rsidR="00E807A3">
        <w:rPr>
          <w:sz w:val="24"/>
          <w:szCs w:val="24"/>
        </w:rPr>
        <w:t>.</w:t>
      </w:r>
      <w:r>
        <w:rPr>
          <w:sz w:val="24"/>
          <w:szCs w:val="24"/>
        </w:rPr>
        <w:t xml:space="preserve"> </w:t>
      </w:r>
      <w:r w:rsidR="00324818">
        <w:rPr>
          <w:sz w:val="24"/>
          <w:szCs w:val="24"/>
        </w:rPr>
        <w:t>The respondents were informed with consent to withdraw at any stage of the survey. The instruction at the beginning of the questionnaire, in both paper-form and electronic form, described the funding source</w:t>
      </w:r>
      <w:r w:rsidR="00F73B80">
        <w:rPr>
          <w:sz w:val="24"/>
          <w:szCs w:val="24"/>
        </w:rPr>
        <w:t xml:space="preserve"> </w:t>
      </w:r>
      <w:r w:rsidR="0095267C">
        <w:rPr>
          <w:sz w:val="24"/>
          <w:szCs w:val="24"/>
        </w:rPr>
        <w:t>and purpose of the study</w:t>
      </w:r>
      <w:r w:rsidR="005C3D9F">
        <w:rPr>
          <w:sz w:val="24"/>
          <w:szCs w:val="24"/>
        </w:rPr>
        <w:t>, as well as how long it will take</w:t>
      </w:r>
      <w:r w:rsidR="000F14E8">
        <w:rPr>
          <w:sz w:val="24"/>
          <w:szCs w:val="24"/>
        </w:rPr>
        <w:t xml:space="preserve"> (between </w:t>
      </w:r>
      <w:r w:rsidR="004C6EFA">
        <w:rPr>
          <w:sz w:val="24"/>
          <w:szCs w:val="24"/>
        </w:rPr>
        <w:t>6</w:t>
      </w:r>
      <w:r w:rsidR="000F14E8">
        <w:rPr>
          <w:sz w:val="24"/>
          <w:szCs w:val="24"/>
        </w:rPr>
        <w:t xml:space="preserve"> to 12 minutes based on the pre-test).</w:t>
      </w:r>
      <w:r w:rsidR="0095267C">
        <w:rPr>
          <w:sz w:val="24"/>
          <w:szCs w:val="24"/>
        </w:rPr>
        <w:t xml:space="preserve"> The respondents were also ensured that th</w:t>
      </w:r>
      <w:r w:rsidR="004C7438">
        <w:rPr>
          <w:sz w:val="24"/>
          <w:szCs w:val="24"/>
        </w:rPr>
        <w:t xml:space="preserve">eir teacher coordinators </w:t>
      </w:r>
      <w:r w:rsidR="005C3D9F">
        <w:rPr>
          <w:sz w:val="24"/>
          <w:szCs w:val="24"/>
        </w:rPr>
        <w:t xml:space="preserve">will not access the data collected by the survey. </w:t>
      </w:r>
      <w:r w:rsidR="000F14E8">
        <w:rPr>
          <w:sz w:val="24"/>
          <w:szCs w:val="24"/>
        </w:rPr>
        <w:t xml:space="preserve">Once the respondents “agreed” to </w:t>
      </w:r>
      <w:r w:rsidR="00D02351">
        <w:rPr>
          <w:sz w:val="24"/>
          <w:szCs w:val="24"/>
        </w:rPr>
        <w:t xml:space="preserve">participating, they will proceed to the next page of the questionnaire. In the electronic survey, five questions at the very beginning </w:t>
      </w:r>
      <w:r w:rsidR="005F1988">
        <w:rPr>
          <w:sz w:val="24"/>
          <w:szCs w:val="24"/>
        </w:rPr>
        <w:t>are required to be completed before proceeding to the next, they are</w:t>
      </w:r>
      <w:r w:rsidR="00D25F77">
        <w:rPr>
          <w:sz w:val="24"/>
          <w:szCs w:val="24"/>
        </w:rPr>
        <w:t xml:space="preserve"> the</w:t>
      </w:r>
      <w:r w:rsidR="005F1988">
        <w:rPr>
          <w:sz w:val="24"/>
          <w:szCs w:val="24"/>
        </w:rPr>
        <w:t xml:space="preserve"> basic demographic questions on age, gender, </w:t>
      </w:r>
      <w:r w:rsidR="00D25F77">
        <w:rPr>
          <w:sz w:val="24"/>
          <w:szCs w:val="24"/>
        </w:rPr>
        <w:t xml:space="preserve">ethnicity, </w:t>
      </w:r>
      <w:r w:rsidR="00C02CFD">
        <w:rPr>
          <w:sz w:val="24"/>
          <w:szCs w:val="24"/>
        </w:rPr>
        <w:t xml:space="preserve">estimated academic ranking, and relationship status. These required questions can be used in the imputation of missing data should some respondents </w:t>
      </w:r>
      <w:r w:rsidR="00966A98">
        <w:rPr>
          <w:sz w:val="24"/>
          <w:szCs w:val="24"/>
        </w:rPr>
        <w:t xml:space="preserve">leave a large chunk of the survey unfilled. </w:t>
      </w:r>
    </w:p>
    <w:p w14:paraId="0CF3B6CB" w14:textId="77777777" w:rsidR="00EC2300" w:rsidRPr="00714902" w:rsidRDefault="00EC2300" w:rsidP="003121B1">
      <w:pPr>
        <w:spacing w:line="480" w:lineRule="auto"/>
        <w:rPr>
          <w:sz w:val="24"/>
          <w:szCs w:val="24"/>
        </w:rPr>
      </w:pPr>
    </w:p>
    <w:sectPr w:rsidR="00EC2300" w:rsidRPr="00714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xszQ1tzQxM7IwMDRS0lEKTi0uzszPAymwrAUAuJ+/CSwAAAA="/>
  </w:docVars>
  <w:rsids>
    <w:rsidRoot w:val="008468D8"/>
    <w:rsid w:val="00004318"/>
    <w:rsid w:val="0001753C"/>
    <w:rsid w:val="00020F9A"/>
    <w:rsid w:val="000218A2"/>
    <w:rsid w:val="00023D75"/>
    <w:rsid w:val="000251FA"/>
    <w:rsid w:val="00036422"/>
    <w:rsid w:val="000555F8"/>
    <w:rsid w:val="000572F3"/>
    <w:rsid w:val="000664DA"/>
    <w:rsid w:val="00066669"/>
    <w:rsid w:val="00070257"/>
    <w:rsid w:val="00077DC5"/>
    <w:rsid w:val="00083987"/>
    <w:rsid w:val="000858C7"/>
    <w:rsid w:val="00086A48"/>
    <w:rsid w:val="000A5084"/>
    <w:rsid w:val="000B6B8D"/>
    <w:rsid w:val="000B76DA"/>
    <w:rsid w:val="000C1EF5"/>
    <w:rsid w:val="000C29C1"/>
    <w:rsid w:val="000D20DC"/>
    <w:rsid w:val="000D647D"/>
    <w:rsid w:val="000D735B"/>
    <w:rsid w:val="000D75D1"/>
    <w:rsid w:val="000E6CBD"/>
    <w:rsid w:val="000E7217"/>
    <w:rsid w:val="000F14A8"/>
    <w:rsid w:val="000F14E8"/>
    <w:rsid w:val="000F4962"/>
    <w:rsid w:val="00100F80"/>
    <w:rsid w:val="00112CCD"/>
    <w:rsid w:val="00130D5E"/>
    <w:rsid w:val="00133171"/>
    <w:rsid w:val="0013329E"/>
    <w:rsid w:val="00136B28"/>
    <w:rsid w:val="00141C6E"/>
    <w:rsid w:val="00143620"/>
    <w:rsid w:val="0015291A"/>
    <w:rsid w:val="0015409F"/>
    <w:rsid w:val="00157F3D"/>
    <w:rsid w:val="00164698"/>
    <w:rsid w:val="00170206"/>
    <w:rsid w:val="0017621D"/>
    <w:rsid w:val="001817C4"/>
    <w:rsid w:val="00182404"/>
    <w:rsid w:val="00184744"/>
    <w:rsid w:val="00190875"/>
    <w:rsid w:val="00195BA9"/>
    <w:rsid w:val="001964D1"/>
    <w:rsid w:val="001A1EB9"/>
    <w:rsid w:val="001B14A6"/>
    <w:rsid w:val="001B3CA1"/>
    <w:rsid w:val="001B4882"/>
    <w:rsid w:val="001C6EE9"/>
    <w:rsid w:val="001D4083"/>
    <w:rsid w:val="001D4137"/>
    <w:rsid w:val="001D62B5"/>
    <w:rsid w:val="001E46E1"/>
    <w:rsid w:val="001F20CD"/>
    <w:rsid w:val="001F2B8F"/>
    <w:rsid w:val="001F36E8"/>
    <w:rsid w:val="001F5089"/>
    <w:rsid w:val="00204D22"/>
    <w:rsid w:val="00205F47"/>
    <w:rsid w:val="00206FBB"/>
    <w:rsid w:val="00215959"/>
    <w:rsid w:val="002212CF"/>
    <w:rsid w:val="00222219"/>
    <w:rsid w:val="002229F8"/>
    <w:rsid w:val="0022642D"/>
    <w:rsid w:val="002319B9"/>
    <w:rsid w:val="002377AB"/>
    <w:rsid w:val="002438EE"/>
    <w:rsid w:val="00244F76"/>
    <w:rsid w:val="0025291F"/>
    <w:rsid w:val="00253E42"/>
    <w:rsid w:val="00257821"/>
    <w:rsid w:val="00273263"/>
    <w:rsid w:val="00274364"/>
    <w:rsid w:val="00280AC5"/>
    <w:rsid w:val="002856DD"/>
    <w:rsid w:val="00287BB9"/>
    <w:rsid w:val="002960B2"/>
    <w:rsid w:val="002967FC"/>
    <w:rsid w:val="002A1F78"/>
    <w:rsid w:val="002B65D6"/>
    <w:rsid w:val="002C1F68"/>
    <w:rsid w:val="002C6D03"/>
    <w:rsid w:val="002F1754"/>
    <w:rsid w:val="002F4E4B"/>
    <w:rsid w:val="00305A9B"/>
    <w:rsid w:val="00306649"/>
    <w:rsid w:val="003121B1"/>
    <w:rsid w:val="003239ED"/>
    <w:rsid w:val="00324818"/>
    <w:rsid w:val="00341459"/>
    <w:rsid w:val="00342DED"/>
    <w:rsid w:val="0034717A"/>
    <w:rsid w:val="003616BC"/>
    <w:rsid w:val="003621A3"/>
    <w:rsid w:val="003644AD"/>
    <w:rsid w:val="00366B3E"/>
    <w:rsid w:val="00367D6F"/>
    <w:rsid w:val="003710F1"/>
    <w:rsid w:val="00373FE4"/>
    <w:rsid w:val="00374158"/>
    <w:rsid w:val="00376763"/>
    <w:rsid w:val="00377E5B"/>
    <w:rsid w:val="003834E2"/>
    <w:rsid w:val="003878F3"/>
    <w:rsid w:val="00394A21"/>
    <w:rsid w:val="003A5D22"/>
    <w:rsid w:val="003A75AB"/>
    <w:rsid w:val="003C057A"/>
    <w:rsid w:val="003C6A00"/>
    <w:rsid w:val="003C7E4B"/>
    <w:rsid w:val="00407914"/>
    <w:rsid w:val="004149BA"/>
    <w:rsid w:val="004150B6"/>
    <w:rsid w:val="004204EA"/>
    <w:rsid w:val="004230F8"/>
    <w:rsid w:val="00432547"/>
    <w:rsid w:val="0043749A"/>
    <w:rsid w:val="00450B07"/>
    <w:rsid w:val="0046373D"/>
    <w:rsid w:val="004873E4"/>
    <w:rsid w:val="00492689"/>
    <w:rsid w:val="004A6D0D"/>
    <w:rsid w:val="004B6EE7"/>
    <w:rsid w:val="004C0806"/>
    <w:rsid w:val="004C6EFA"/>
    <w:rsid w:val="004C7438"/>
    <w:rsid w:val="004E1F53"/>
    <w:rsid w:val="004E715A"/>
    <w:rsid w:val="004F1704"/>
    <w:rsid w:val="004F4A83"/>
    <w:rsid w:val="00501118"/>
    <w:rsid w:val="0050216C"/>
    <w:rsid w:val="00504E29"/>
    <w:rsid w:val="00505C61"/>
    <w:rsid w:val="0050744B"/>
    <w:rsid w:val="00510FB3"/>
    <w:rsid w:val="0051155A"/>
    <w:rsid w:val="0051637C"/>
    <w:rsid w:val="00520720"/>
    <w:rsid w:val="00527D5B"/>
    <w:rsid w:val="00531135"/>
    <w:rsid w:val="00535571"/>
    <w:rsid w:val="00535E86"/>
    <w:rsid w:val="00553EF9"/>
    <w:rsid w:val="005564C4"/>
    <w:rsid w:val="005619FB"/>
    <w:rsid w:val="005663BB"/>
    <w:rsid w:val="0057087F"/>
    <w:rsid w:val="00586E21"/>
    <w:rsid w:val="005A50D7"/>
    <w:rsid w:val="005A5238"/>
    <w:rsid w:val="005B166F"/>
    <w:rsid w:val="005B1A47"/>
    <w:rsid w:val="005B1ABB"/>
    <w:rsid w:val="005B4B9B"/>
    <w:rsid w:val="005C096E"/>
    <w:rsid w:val="005C3763"/>
    <w:rsid w:val="005C3D9F"/>
    <w:rsid w:val="005C4221"/>
    <w:rsid w:val="005C5610"/>
    <w:rsid w:val="005C6D41"/>
    <w:rsid w:val="005D3A3E"/>
    <w:rsid w:val="005D3A40"/>
    <w:rsid w:val="005D553F"/>
    <w:rsid w:val="005E4C66"/>
    <w:rsid w:val="005E51F3"/>
    <w:rsid w:val="005F1988"/>
    <w:rsid w:val="005F2D21"/>
    <w:rsid w:val="005F6683"/>
    <w:rsid w:val="00601E2D"/>
    <w:rsid w:val="00603D08"/>
    <w:rsid w:val="00603ED6"/>
    <w:rsid w:val="00605A3A"/>
    <w:rsid w:val="00615127"/>
    <w:rsid w:val="00615D99"/>
    <w:rsid w:val="006211A5"/>
    <w:rsid w:val="006309F6"/>
    <w:rsid w:val="0063235A"/>
    <w:rsid w:val="00635628"/>
    <w:rsid w:val="00636ABF"/>
    <w:rsid w:val="006424B4"/>
    <w:rsid w:val="00643108"/>
    <w:rsid w:val="006468EF"/>
    <w:rsid w:val="00650C20"/>
    <w:rsid w:val="00666EC7"/>
    <w:rsid w:val="006677E8"/>
    <w:rsid w:val="006714B8"/>
    <w:rsid w:val="006734A2"/>
    <w:rsid w:val="00674B7D"/>
    <w:rsid w:val="006819C0"/>
    <w:rsid w:val="006865F1"/>
    <w:rsid w:val="00687D07"/>
    <w:rsid w:val="00693D7A"/>
    <w:rsid w:val="00694221"/>
    <w:rsid w:val="00694CA6"/>
    <w:rsid w:val="006955DA"/>
    <w:rsid w:val="00697918"/>
    <w:rsid w:val="006B29F7"/>
    <w:rsid w:val="006B7AFE"/>
    <w:rsid w:val="006D1AFF"/>
    <w:rsid w:val="006D56F6"/>
    <w:rsid w:val="00704109"/>
    <w:rsid w:val="00714591"/>
    <w:rsid w:val="00714902"/>
    <w:rsid w:val="00715F1B"/>
    <w:rsid w:val="0071713C"/>
    <w:rsid w:val="0072215F"/>
    <w:rsid w:val="007225F4"/>
    <w:rsid w:val="00727B46"/>
    <w:rsid w:val="00727F45"/>
    <w:rsid w:val="00752860"/>
    <w:rsid w:val="007537B7"/>
    <w:rsid w:val="00755130"/>
    <w:rsid w:val="00757286"/>
    <w:rsid w:val="00761230"/>
    <w:rsid w:val="00761794"/>
    <w:rsid w:val="00763445"/>
    <w:rsid w:val="0076702A"/>
    <w:rsid w:val="00767BC5"/>
    <w:rsid w:val="00781C58"/>
    <w:rsid w:val="00786968"/>
    <w:rsid w:val="0079122F"/>
    <w:rsid w:val="00794F72"/>
    <w:rsid w:val="00797804"/>
    <w:rsid w:val="007A0BC1"/>
    <w:rsid w:val="007A4732"/>
    <w:rsid w:val="007A4B56"/>
    <w:rsid w:val="007A71F6"/>
    <w:rsid w:val="007A7FBF"/>
    <w:rsid w:val="007C15C2"/>
    <w:rsid w:val="007D6A0C"/>
    <w:rsid w:val="007E0DD0"/>
    <w:rsid w:val="00802539"/>
    <w:rsid w:val="0080473B"/>
    <w:rsid w:val="00810F8B"/>
    <w:rsid w:val="008117D3"/>
    <w:rsid w:val="00812A08"/>
    <w:rsid w:val="00813EA5"/>
    <w:rsid w:val="00814C5C"/>
    <w:rsid w:val="00820D7E"/>
    <w:rsid w:val="00820DD1"/>
    <w:rsid w:val="00825CEB"/>
    <w:rsid w:val="00842D57"/>
    <w:rsid w:val="008434E8"/>
    <w:rsid w:val="0084494F"/>
    <w:rsid w:val="008468D8"/>
    <w:rsid w:val="00850C69"/>
    <w:rsid w:val="008573DE"/>
    <w:rsid w:val="008612DE"/>
    <w:rsid w:val="00863B7D"/>
    <w:rsid w:val="00864C88"/>
    <w:rsid w:val="008651E6"/>
    <w:rsid w:val="008666E2"/>
    <w:rsid w:val="00866D44"/>
    <w:rsid w:val="0087219B"/>
    <w:rsid w:val="00872A7F"/>
    <w:rsid w:val="00876598"/>
    <w:rsid w:val="008833CC"/>
    <w:rsid w:val="00887529"/>
    <w:rsid w:val="00890D2D"/>
    <w:rsid w:val="00896D20"/>
    <w:rsid w:val="008A57D0"/>
    <w:rsid w:val="008A66E7"/>
    <w:rsid w:val="008B0EAC"/>
    <w:rsid w:val="008B4031"/>
    <w:rsid w:val="008B7A19"/>
    <w:rsid w:val="008C5084"/>
    <w:rsid w:val="008D183E"/>
    <w:rsid w:val="008D70C3"/>
    <w:rsid w:val="008E48EC"/>
    <w:rsid w:val="008E72CD"/>
    <w:rsid w:val="008E776A"/>
    <w:rsid w:val="009207BE"/>
    <w:rsid w:val="00926BEA"/>
    <w:rsid w:val="00926CBB"/>
    <w:rsid w:val="00930646"/>
    <w:rsid w:val="00944898"/>
    <w:rsid w:val="00944C02"/>
    <w:rsid w:val="0095267C"/>
    <w:rsid w:val="00952CF2"/>
    <w:rsid w:val="009541FF"/>
    <w:rsid w:val="009631C2"/>
    <w:rsid w:val="009666FA"/>
    <w:rsid w:val="00966808"/>
    <w:rsid w:val="00966A98"/>
    <w:rsid w:val="009716D6"/>
    <w:rsid w:val="00976826"/>
    <w:rsid w:val="00983980"/>
    <w:rsid w:val="009908ED"/>
    <w:rsid w:val="0099386B"/>
    <w:rsid w:val="00995F61"/>
    <w:rsid w:val="00997F46"/>
    <w:rsid w:val="009A1C96"/>
    <w:rsid w:val="009A3346"/>
    <w:rsid w:val="009A6FD8"/>
    <w:rsid w:val="009B5E82"/>
    <w:rsid w:val="009C2944"/>
    <w:rsid w:val="009C7055"/>
    <w:rsid w:val="009C750B"/>
    <w:rsid w:val="009D4465"/>
    <w:rsid w:val="009E17C7"/>
    <w:rsid w:val="009E7895"/>
    <w:rsid w:val="009F0703"/>
    <w:rsid w:val="009F11B8"/>
    <w:rsid w:val="009F47FD"/>
    <w:rsid w:val="009F7505"/>
    <w:rsid w:val="00A00542"/>
    <w:rsid w:val="00A0215B"/>
    <w:rsid w:val="00A11C34"/>
    <w:rsid w:val="00A17B28"/>
    <w:rsid w:val="00A27647"/>
    <w:rsid w:val="00A31194"/>
    <w:rsid w:val="00A315D9"/>
    <w:rsid w:val="00A3388D"/>
    <w:rsid w:val="00A41BE5"/>
    <w:rsid w:val="00A510E2"/>
    <w:rsid w:val="00A528BE"/>
    <w:rsid w:val="00A53A13"/>
    <w:rsid w:val="00A56D07"/>
    <w:rsid w:val="00A57393"/>
    <w:rsid w:val="00A607DD"/>
    <w:rsid w:val="00A801AA"/>
    <w:rsid w:val="00A80662"/>
    <w:rsid w:val="00A91FFE"/>
    <w:rsid w:val="00A957D1"/>
    <w:rsid w:val="00AA1225"/>
    <w:rsid w:val="00AA5F2E"/>
    <w:rsid w:val="00AC5A5C"/>
    <w:rsid w:val="00AD0BCC"/>
    <w:rsid w:val="00AD1C04"/>
    <w:rsid w:val="00AD55F3"/>
    <w:rsid w:val="00AE04C5"/>
    <w:rsid w:val="00AE764B"/>
    <w:rsid w:val="00AF7B77"/>
    <w:rsid w:val="00B04851"/>
    <w:rsid w:val="00B07C06"/>
    <w:rsid w:val="00B14589"/>
    <w:rsid w:val="00B174F4"/>
    <w:rsid w:val="00B32967"/>
    <w:rsid w:val="00B37904"/>
    <w:rsid w:val="00B40C83"/>
    <w:rsid w:val="00B56B40"/>
    <w:rsid w:val="00B67BC0"/>
    <w:rsid w:val="00B75A23"/>
    <w:rsid w:val="00B8476F"/>
    <w:rsid w:val="00B866F9"/>
    <w:rsid w:val="00B906B7"/>
    <w:rsid w:val="00B91DA4"/>
    <w:rsid w:val="00B92670"/>
    <w:rsid w:val="00B9637F"/>
    <w:rsid w:val="00B970E7"/>
    <w:rsid w:val="00BA16A9"/>
    <w:rsid w:val="00BA6D8C"/>
    <w:rsid w:val="00BD654A"/>
    <w:rsid w:val="00BE0FA5"/>
    <w:rsid w:val="00BE6868"/>
    <w:rsid w:val="00BF0A67"/>
    <w:rsid w:val="00C02CFD"/>
    <w:rsid w:val="00C03D0D"/>
    <w:rsid w:val="00C14A5C"/>
    <w:rsid w:val="00C26D78"/>
    <w:rsid w:val="00C36F95"/>
    <w:rsid w:val="00C40B67"/>
    <w:rsid w:val="00C45A0B"/>
    <w:rsid w:val="00C62457"/>
    <w:rsid w:val="00C84937"/>
    <w:rsid w:val="00C97A54"/>
    <w:rsid w:val="00CA5DE1"/>
    <w:rsid w:val="00CB1C71"/>
    <w:rsid w:val="00CB65BE"/>
    <w:rsid w:val="00CC304A"/>
    <w:rsid w:val="00CC648A"/>
    <w:rsid w:val="00CD6A55"/>
    <w:rsid w:val="00CD6A8F"/>
    <w:rsid w:val="00CE0568"/>
    <w:rsid w:val="00CE1B51"/>
    <w:rsid w:val="00CE24FB"/>
    <w:rsid w:val="00CF2722"/>
    <w:rsid w:val="00CF2AB0"/>
    <w:rsid w:val="00D02351"/>
    <w:rsid w:val="00D03875"/>
    <w:rsid w:val="00D223D8"/>
    <w:rsid w:val="00D25F77"/>
    <w:rsid w:val="00D4155A"/>
    <w:rsid w:val="00D52282"/>
    <w:rsid w:val="00D523E3"/>
    <w:rsid w:val="00D61781"/>
    <w:rsid w:val="00D65C2F"/>
    <w:rsid w:val="00D66DF1"/>
    <w:rsid w:val="00D7258E"/>
    <w:rsid w:val="00D848A2"/>
    <w:rsid w:val="00D86E27"/>
    <w:rsid w:val="00D9063D"/>
    <w:rsid w:val="00D96C29"/>
    <w:rsid w:val="00DA034A"/>
    <w:rsid w:val="00DA10A0"/>
    <w:rsid w:val="00DA336D"/>
    <w:rsid w:val="00DB09CF"/>
    <w:rsid w:val="00DB12D9"/>
    <w:rsid w:val="00DB39F3"/>
    <w:rsid w:val="00DB42CB"/>
    <w:rsid w:val="00DC49CE"/>
    <w:rsid w:val="00DF199F"/>
    <w:rsid w:val="00E10C2D"/>
    <w:rsid w:val="00E226A0"/>
    <w:rsid w:val="00E41556"/>
    <w:rsid w:val="00E42291"/>
    <w:rsid w:val="00E43A70"/>
    <w:rsid w:val="00E53233"/>
    <w:rsid w:val="00E71851"/>
    <w:rsid w:val="00E807A3"/>
    <w:rsid w:val="00E86F73"/>
    <w:rsid w:val="00E90AD0"/>
    <w:rsid w:val="00E9410B"/>
    <w:rsid w:val="00EB3F8C"/>
    <w:rsid w:val="00EB6716"/>
    <w:rsid w:val="00EC2300"/>
    <w:rsid w:val="00ED02FD"/>
    <w:rsid w:val="00ED0B99"/>
    <w:rsid w:val="00ED65F7"/>
    <w:rsid w:val="00EE4045"/>
    <w:rsid w:val="00EF355A"/>
    <w:rsid w:val="00F12C09"/>
    <w:rsid w:val="00F13F12"/>
    <w:rsid w:val="00F21CAD"/>
    <w:rsid w:val="00F25D69"/>
    <w:rsid w:val="00F2686B"/>
    <w:rsid w:val="00F30534"/>
    <w:rsid w:val="00F36A6E"/>
    <w:rsid w:val="00F4283C"/>
    <w:rsid w:val="00F433CF"/>
    <w:rsid w:val="00F45311"/>
    <w:rsid w:val="00F71969"/>
    <w:rsid w:val="00F73B80"/>
    <w:rsid w:val="00F8587D"/>
    <w:rsid w:val="00F85AB9"/>
    <w:rsid w:val="00F95724"/>
    <w:rsid w:val="00FA1027"/>
    <w:rsid w:val="00FB099B"/>
    <w:rsid w:val="00FB18F8"/>
    <w:rsid w:val="00FB79AD"/>
    <w:rsid w:val="00FD65FB"/>
    <w:rsid w:val="00FF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302C"/>
  <w15:chartTrackingRefBased/>
  <w15:docId w15:val="{993CE521-39DD-4A38-B3C1-69941341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A0C"/>
    <w:rPr>
      <w:color w:val="808080"/>
    </w:rPr>
  </w:style>
  <w:style w:type="paragraph" w:styleId="ListParagraph">
    <w:name w:val="List Paragraph"/>
    <w:basedOn w:val="Normal"/>
    <w:uiPriority w:val="34"/>
    <w:qFormat/>
    <w:rsid w:val="00BE6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8274">
      <w:bodyDiv w:val="1"/>
      <w:marLeft w:val="0"/>
      <w:marRight w:val="0"/>
      <w:marTop w:val="0"/>
      <w:marBottom w:val="0"/>
      <w:divBdr>
        <w:top w:val="none" w:sz="0" w:space="0" w:color="auto"/>
        <w:left w:val="none" w:sz="0" w:space="0" w:color="auto"/>
        <w:bottom w:val="none" w:sz="0" w:space="0" w:color="auto"/>
        <w:right w:val="none" w:sz="0" w:space="0" w:color="auto"/>
      </w:divBdr>
    </w:div>
    <w:div w:id="6678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11</Pages>
  <Words>2452</Words>
  <Characters>13978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Yousef Yang</dc:creator>
  <cp:keywords/>
  <dc:description/>
  <cp:lastModifiedBy>X. Yousef Yang</cp:lastModifiedBy>
  <cp:revision>178</cp:revision>
  <dcterms:created xsi:type="dcterms:W3CDTF">2023-03-05T06:11:00Z</dcterms:created>
  <dcterms:modified xsi:type="dcterms:W3CDTF">2023-04-20T04:42:00Z</dcterms:modified>
</cp:coreProperties>
</file>