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47A" w:rsidRDefault="008710CF">
      <w:pPr>
        <w:pStyle w:val="ac"/>
        <w:numPr>
          <w:ilvl w:val="0"/>
          <w:numId w:val="1"/>
        </w:numPr>
      </w:pPr>
      <w:r>
        <w:t>绪论</w:t>
      </w:r>
    </w:p>
    <w:p w:rsidR="009D147A" w:rsidRDefault="008710CF">
      <w:pPr>
        <w:pStyle w:val="ac"/>
        <w:numPr>
          <w:ilvl w:val="1"/>
          <w:numId w:val="2"/>
        </w:numPr>
      </w:pPr>
      <w:r>
        <w:t>矩阵变换器</w:t>
      </w:r>
    </w:p>
    <w:p w:rsidR="009D147A" w:rsidRDefault="008710CF">
      <w:pPr>
        <w:pStyle w:val="ac"/>
        <w:numPr>
          <w:ilvl w:val="2"/>
          <w:numId w:val="2"/>
        </w:numPr>
      </w:pPr>
      <w:r>
        <w:t>传统电力变换器</w:t>
      </w:r>
    </w:p>
    <w:p w:rsidR="009D147A" w:rsidRDefault="008710CF">
      <w:pPr>
        <w:pStyle w:val="ac"/>
        <w:numPr>
          <w:ilvl w:val="2"/>
          <w:numId w:val="2"/>
        </w:numPr>
      </w:pPr>
      <w:r>
        <w:t>传统矩阵变换器</w:t>
      </w:r>
    </w:p>
    <w:p w:rsidR="009D147A" w:rsidRDefault="008710CF">
      <w:pPr>
        <w:pStyle w:val="ac"/>
        <w:numPr>
          <w:ilvl w:val="2"/>
          <w:numId w:val="2"/>
        </w:numPr>
      </w:pPr>
      <w:r>
        <w:t>双级矩阵变换器</w:t>
      </w:r>
    </w:p>
    <w:p w:rsidR="009D147A" w:rsidRDefault="008710CF">
      <w:pPr>
        <w:pStyle w:val="ac"/>
        <w:numPr>
          <w:ilvl w:val="1"/>
          <w:numId w:val="2"/>
        </w:numPr>
      </w:pPr>
      <w:r>
        <w:t>异步电机直接转矩控制</w:t>
      </w:r>
    </w:p>
    <w:p w:rsidR="009D147A" w:rsidRDefault="008710CF">
      <w:pPr>
        <w:pStyle w:val="ac"/>
        <w:numPr>
          <w:ilvl w:val="1"/>
          <w:numId w:val="2"/>
        </w:numPr>
      </w:pPr>
      <w:r>
        <w:t>无位置传感器</w:t>
      </w:r>
    </w:p>
    <w:p w:rsidR="009D147A" w:rsidRDefault="009D147A">
      <w:pPr>
        <w:pStyle w:val="ac"/>
      </w:pPr>
    </w:p>
    <w:p w:rsidR="009D147A" w:rsidRDefault="008710CF">
      <w:pPr>
        <w:pStyle w:val="ac"/>
        <w:ind w:firstLine="0"/>
      </w:pPr>
      <w:r>
        <w:t>二、双级矩阵变换器调制策略</w:t>
      </w:r>
    </w:p>
    <w:p w:rsidR="009D147A" w:rsidRDefault="008710CF">
      <w:pPr>
        <w:pStyle w:val="ac"/>
        <w:widowControl w:val="0"/>
        <w:numPr>
          <w:ilvl w:val="1"/>
          <w:numId w:val="4"/>
        </w:numPr>
        <w:ind w:left="454" w:firstLine="0"/>
        <w:jc w:val="both"/>
        <w:rPr>
          <w:color w:val="00000A"/>
          <w:sz w:val="21"/>
        </w:rPr>
      </w:pPr>
      <w:r>
        <w:rPr>
          <w:color w:val="00000A"/>
          <w:sz w:val="21"/>
        </w:rPr>
        <w:t xml:space="preserve"> </w:t>
      </w:r>
      <w:r>
        <w:rPr>
          <w:color w:val="00000A"/>
          <w:sz w:val="21"/>
        </w:rPr>
        <w:t>引言</w:t>
      </w:r>
    </w:p>
    <w:p w:rsidR="009D147A" w:rsidRDefault="008710CF">
      <w:pPr>
        <w:pStyle w:val="ac"/>
      </w:pPr>
      <w:r>
        <w:rPr>
          <w:color w:val="00000A"/>
          <w:sz w:val="21"/>
        </w:rPr>
        <w:t>双级矩阵变换器结构上分为电网侧和负载侧两级，故称作双级矩阵变换器，两级间的直流侧和传统的交直交不同，无大电容进行滤波和储能，所以其控制策略既包含了两级分别的控制，又包含了相互配合的控制方法。本章的主要内容如下：</w:t>
      </w:r>
    </w:p>
    <w:p w:rsidR="009D147A" w:rsidRDefault="008710CF">
      <w:pPr>
        <w:pStyle w:val="ac"/>
        <w:numPr>
          <w:ilvl w:val="0"/>
          <w:numId w:val="5"/>
        </w:numPr>
      </w:pPr>
      <w:r>
        <w:rPr>
          <w:color w:val="00000A"/>
          <w:sz w:val="21"/>
        </w:rPr>
        <w:t>双级矩阵变换器电路结构介绍；</w:t>
      </w:r>
    </w:p>
    <w:p w:rsidR="009D147A" w:rsidRDefault="008710CF">
      <w:pPr>
        <w:pStyle w:val="ac"/>
        <w:numPr>
          <w:ilvl w:val="0"/>
          <w:numId w:val="5"/>
        </w:numPr>
      </w:pPr>
      <w:r>
        <w:rPr>
          <w:color w:val="00000A"/>
          <w:sz w:val="21"/>
        </w:rPr>
        <w:t>整流级无零</w:t>
      </w:r>
      <w:r>
        <w:rPr>
          <w:color w:val="00000A"/>
          <w:sz w:val="21"/>
        </w:rPr>
        <w:t>矢量控制策略；</w:t>
      </w:r>
    </w:p>
    <w:p w:rsidR="009D147A" w:rsidRDefault="008710CF">
      <w:pPr>
        <w:pStyle w:val="ac"/>
        <w:numPr>
          <w:ilvl w:val="0"/>
          <w:numId w:val="5"/>
        </w:numPr>
      </w:pPr>
      <w:r>
        <w:rPr>
          <w:color w:val="00000A"/>
          <w:sz w:val="21"/>
        </w:rPr>
        <w:t>整流级有零矢量控制策略；</w:t>
      </w:r>
    </w:p>
    <w:p w:rsidR="009D147A" w:rsidRDefault="008710CF">
      <w:pPr>
        <w:pStyle w:val="ac"/>
        <w:widowControl w:val="0"/>
        <w:numPr>
          <w:ilvl w:val="1"/>
          <w:numId w:val="4"/>
        </w:numPr>
        <w:ind w:left="454" w:firstLine="0"/>
        <w:jc w:val="both"/>
      </w:pPr>
      <w:r>
        <w:t xml:space="preserve"> </w:t>
      </w:r>
      <w:r>
        <w:t>双级矩阵变换器的拓扑结构</w:t>
      </w:r>
    </w:p>
    <w:p w:rsidR="009D147A" w:rsidRDefault="008710CF">
      <w:pPr>
        <w:pStyle w:val="ac"/>
        <w:widowControl w:val="0"/>
        <w:ind w:firstLine="0"/>
        <w:jc w:val="both"/>
      </w:pPr>
      <w:r>
        <w:t xml:space="preserve">       </w:t>
      </w:r>
      <w:r>
        <w:t>双级矩阵变换器的拓扑结构是通过对传统矩阵变换器输入输出函数的演变得到的。传统矩阵变换器的结构图如图</w:t>
      </w:r>
      <w:r>
        <w:t>2.1</w:t>
      </w:r>
      <w:r>
        <w:t>所示</w:t>
      </w:r>
    </w:p>
    <w:p w:rsidR="009D147A" w:rsidRDefault="008710CF">
      <w:pPr>
        <w:pStyle w:val="ac"/>
        <w:widowControl w:val="0"/>
        <w:ind w:left="454" w:firstLine="0"/>
        <w:jc w:val="both"/>
        <w:rPr>
          <w:color w:val="800000"/>
        </w:rPr>
      </w:pPr>
      <w:r>
        <w:rPr>
          <w:color w:val="800000"/>
        </w:rPr>
        <w:t>图</w:t>
      </w:r>
      <w:r>
        <w:rPr>
          <w:color w:val="800000"/>
        </w:rPr>
        <w:t>2.1</w:t>
      </w:r>
    </w:p>
    <w:p w:rsidR="009D147A" w:rsidRDefault="008710CF">
      <w:pPr>
        <w:pStyle w:val="ac"/>
        <w:widowControl w:val="0"/>
        <w:ind w:firstLine="0"/>
        <w:jc w:val="both"/>
        <w:rPr>
          <w:color w:val="00000A"/>
          <w:sz w:val="21"/>
        </w:rPr>
      </w:pPr>
      <w:r>
        <w:rPr>
          <w:color w:val="00000A"/>
          <w:sz w:val="21"/>
        </w:rPr>
        <w:t>其输入输出变换关系如下：</w:t>
      </w:r>
    </w:p>
    <w:p w:rsidR="009D147A" w:rsidRDefault="008710CF">
      <w:pPr>
        <w:pStyle w:val="ac"/>
        <w:widowControl w:val="0"/>
        <w:ind w:left="454" w:firstLine="0"/>
        <w:jc w:val="both"/>
        <w:rPr>
          <w:color w:val="800000"/>
        </w:rPr>
      </w:pPr>
      <w:r>
        <w:rPr>
          <w:color w:val="800000"/>
        </w:rPr>
        <w:t>式</w:t>
      </w:r>
      <w:r>
        <w:rPr>
          <w:color w:val="800000"/>
        </w:rPr>
        <w:t>2-1</w:t>
      </w:r>
    </w:p>
    <w:p w:rsidR="009D147A" w:rsidRDefault="008710CF">
      <w:pPr>
        <w:pStyle w:val="ac"/>
        <w:widowControl w:val="0"/>
        <w:ind w:firstLine="0"/>
        <w:jc w:val="both"/>
        <w:rPr>
          <w:color w:val="00000A"/>
          <w:sz w:val="21"/>
        </w:rPr>
      </w:pPr>
      <w:r>
        <w:rPr>
          <w:color w:val="00000A"/>
          <w:sz w:val="21"/>
        </w:rPr>
        <w:t>假设其中有</w:t>
      </w:r>
      <w:r>
        <w:rPr>
          <w:color w:val="00000A"/>
          <w:sz w:val="21"/>
        </w:rPr>
        <w:t>V+</w:t>
      </w:r>
      <w:r>
        <w:rPr>
          <w:color w:val="00000A"/>
          <w:sz w:val="21"/>
        </w:rPr>
        <w:t>和</w:t>
      </w:r>
      <w:r>
        <w:rPr>
          <w:color w:val="00000A"/>
          <w:sz w:val="21"/>
        </w:rPr>
        <w:t>V-</w:t>
      </w:r>
      <w:r>
        <w:rPr>
          <w:color w:val="00000A"/>
          <w:sz w:val="21"/>
        </w:rPr>
        <w:t>两点夹在输入和输出之间，其电压和输入输出关系如下表示：</w:t>
      </w:r>
    </w:p>
    <w:p w:rsidR="009D147A" w:rsidRDefault="008710CF">
      <w:pPr>
        <w:pStyle w:val="ac"/>
        <w:widowControl w:val="0"/>
        <w:ind w:firstLine="0"/>
        <w:jc w:val="both"/>
        <w:rPr>
          <w:color w:val="800000"/>
          <w:sz w:val="21"/>
        </w:rPr>
      </w:pPr>
      <w:r>
        <w:rPr>
          <w:color w:val="800000"/>
          <w:sz w:val="21"/>
        </w:rPr>
        <w:t xml:space="preserve">        </w:t>
      </w:r>
      <w:r>
        <w:rPr>
          <w:color w:val="800000"/>
          <w:sz w:val="21"/>
        </w:rPr>
        <w:t>式</w:t>
      </w:r>
      <w:r>
        <w:rPr>
          <w:color w:val="800000"/>
          <w:sz w:val="21"/>
        </w:rPr>
        <w:t>2-2</w:t>
      </w:r>
    </w:p>
    <w:p w:rsidR="009D147A" w:rsidRDefault="008710CF">
      <w:pPr>
        <w:pStyle w:val="ac"/>
        <w:widowControl w:val="0"/>
        <w:ind w:firstLine="0"/>
        <w:jc w:val="both"/>
        <w:rPr>
          <w:color w:val="800000"/>
          <w:sz w:val="21"/>
        </w:rPr>
      </w:pPr>
      <w:r>
        <w:rPr>
          <w:color w:val="800000"/>
          <w:sz w:val="21"/>
        </w:rPr>
        <w:t xml:space="preserve">        </w:t>
      </w:r>
      <w:r>
        <w:rPr>
          <w:color w:val="800000"/>
          <w:sz w:val="21"/>
        </w:rPr>
        <w:t>式</w:t>
      </w:r>
      <w:r>
        <w:rPr>
          <w:color w:val="800000"/>
          <w:sz w:val="21"/>
        </w:rPr>
        <w:t>2-3</w:t>
      </w:r>
    </w:p>
    <w:p w:rsidR="009D147A" w:rsidRDefault="008710CF">
      <w:pPr>
        <w:pStyle w:val="ac"/>
        <w:widowControl w:val="0"/>
        <w:ind w:firstLine="0"/>
        <w:jc w:val="both"/>
        <w:rPr>
          <w:color w:val="00000A"/>
          <w:sz w:val="21"/>
        </w:rPr>
      </w:pPr>
      <w:r>
        <w:rPr>
          <w:color w:val="00000A"/>
          <w:sz w:val="21"/>
        </w:rPr>
        <w:t>整合上述两个式子得：</w:t>
      </w:r>
    </w:p>
    <w:p w:rsidR="009D147A" w:rsidRDefault="008710CF">
      <w:pPr>
        <w:pStyle w:val="ac"/>
        <w:widowControl w:val="0"/>
        <w:ind w:firstLine="0"/>
        <w:jc w:val="both"/>
        <w:rPr>
          <w:color w:val="800000"/>
          <w:sz w:val="21"/>
        </w:rPr>
      </w:pPr>
      <w:r>
        <w:rPr>
          <w:color w:val="800000"/>
          <w:sz w:val="21"/>
        </w:rPr>
        <w:t xml:space="preserve">        </w:t>
      </w:r>
      <w:r>
        <w:rPr>
          <w:color w:val="800000"/>
          <w:sz w:val="21"/>
        </w:rPr>
        <w:t>式</w:t>
      </w:r>
      <w:r>
        <w:rPr>
          <w:color w:val="800000"/>
          <w:sz w:val="21"/>
        </w:rPr>
        <w:t>2-3</w:t>
      </w:r>
    </w:p>
    <w:p w:rsidR="009D147A" w:rsidRDefault="008710CF">
      <w:pPr>
        <w:pStyle w:val="ac"/>
        <w:widowControl w:val="0"/>
        <w:ind w:firstLine="0"/>
        <w:jc w:val="both"/>
        <w:rPr>
          <w:color w:val="00000A"/>
          <w:sz w:val="21"/>
        </w:rPr>
      </w:pPr>
      <w:r>
        <w:rPr>
          <w:color w:val="00000A"/>
          <w:sz w:val="21"/>
        </w:rPr>
        <w:t>该式子和式</w:t>
      </w:r>
      <w:r>
        <w:rPr>
          <w:color w:val="00000A"/>
          <w:sz w:val="21"/>
        </w:rPr>
        <w:t>2-1</w:t>
      </w:r>
      <w:r>
        <w:rPr>
          <w:color w:val="00000A"/>
          <w:sz w:val="21"/>
        </w:rPr>
        <w:t>等效。双级矩阵变换器就是从该分析中演变而来，将虚拟的</w:t>
      </w:r>
      <w:r>
        <w:rPr>
          <w:color w:val="00000A"/>
          <w:sz w:val="21"/>
        </w:rPr>
        <w:t>V+</w:t>
      </w:r>
      <w:r>
        <w:rPr>
          <w:color w:val="00000A"/>
          <w:sz w:val="21"/>
        </w:rPr>
        <w:t>和</w:t>
      </w:r>
      <w:r>
        <w:rPr>
          <w:color w:val="00000A"/>
          <w:sz w:val="21"/>
        </w:rPr>
        <w:t>V-</w:t>
      </w:r>
      <w:r>
        <w:rPr>
          <w:color w:val="00000A"/>
          <w:sz w:val="21"/>
        </w:rPr>
        <w:t>化成</w:t>
      </w:r>
      <w:r>
        <w:rPr>
          <w:color w:val="00000A"/>
          <w:sz w:val="21"/>
        </w:rPr>
        <w:lastRenderedPageBreak/>
        <w:t>实际的直流侧从而得到如图</w:t>
      </w:r>
      <w:r>
        <w:rPr>
          <w:color w:val="00000A"/>
          <w:sz w:val="21"/>
        </w:rPr>
        <w:t>2-2</w:t>
      </w:r>
      <w:r>
        <w:rPr>
          <w:color w:val="00000A"/>
          <w:sz w:val="21"/>
        </w:rPr>
        <w:t>的结构：</w:t>
      </w:r>
    </w:p>
    <w:p w:rsidR="009D147A" w:rsidRDefault="008710CF">
      <w:pPr>
        <w:pStyle w:val="ac"/>
        <w:widowControl w:val="0"/>
        <w:ind w:left="454" w:firstLine="0"/>
        <w:jc w:val="both"/>
        <w:rPr>
          <w:color w:val="800000"/>
          <w:sz w:val="21"/>
        </w:rPr>
      </w:pPr>
      <w:r>
        <w:rPr>
          <w:color w:val="800000"/>
          <w:sz w:val="21"/>
        </w:rPr>
        <w:t>图</w:t>
      </w:r>
      <w:r>
        <w:rPr>
          <w:color w:val="800000"/>
          <w:sz w:val="21"/>
        </w:rPr>
        <w:t>2.2</w:t>
      </w:r>
    </w:p>
    <w:p w:rsidR="009D147A" w:rsidRDefault="008710CF">
      <w:pPr>
        <w:pStyle w:val="ac"/>
        <w:widowControl w:val="0"/>
        <w:ind w:firstLine="0"/>
        <w:jc w:val="both"/>
        <w:rPr>
          <w:color w:val="000000"/>
          <w:sz w:val="21"/>
        </w:rPr>
      </w:pPr>
      <w:r>
        <w:rPr>
          <w:color w:val="000000"/>
          <w:sz w:val="21"/>
        </w:rPr>
        <w:t>其中，电网侧的开关由双向开关构成，以实现电流的双向流动。双向开关的构成方式有如下几种【】：</w:t>
      </w:r>
      <w:bookmarkStart w:id="0" w:name="_GoBack"/>
      <w:bookmarkEnd w:id="0"/>
    </w:p>
    <w:p w:rsidR="009D147A" w:rsidRDefault="008710CF">
      <w:pPr>
        <w:pStyle w:val="ac"/>
        <w:widowControl w:val="0"/>
        <w:ind w:firstLine="0"/>
        <w:jc w:val="both"/>
        <w:rPr>
          <w:color w:val="FF3333"/>
          <w:sz w:val="21"/>
        </w:rPr>
      </w:pPr>
      <w:r>
        <w:rPr>
          <w:color w:val="FF3333"/>
          <w:sz w:val="21"/>
        </w:rPr>
        <w:t>双向开关介绍</w:t>
      </w:r>
    </w:p>
    <w:p w:rsidR="009D147A" w:rsidRDefault="008710CF">
      <w:pPr>
        <w:pStyle w:val="ac"/>
        <w:widowControl w:val="0"/>
        <w:ind w:firstLine="0"/>
        <w:jc w:val="both"/>
        <w:rPr>
          <w:rFonts w:hint="eastAsia"/>
          <w:color w:val="000000"/>
          <w:sz w:val="21"/>
        </w:rPr>
      </w:pPr>
      <w:r>
        <w:rPr>
          <w:color w:val="000000"/>
          <w:sz w:val="21"/>
        </w:rPr>
        <w:t>负载侧和普通的三相电压源型逆变器相同，只需要单向开关，因此双级矩阵变换器总的功率器件数量和传统矩阵变换器相同，均为</w:t>
      </w:r>
      <w:r>
        <w:rPr>
          <w:color w:val="000000"/>
          <w:sz w:val="21"/>
        </w:rPr>
        <w:t>18</w:t>
      </w:r>
      <w:r>
        <w:rPr>
          <w:color w:val="000000"/>
          <w:sz w:val="21"/>
        </w:rPr>
        <w:t>个，具体如图</w:t>
      </w:r>
      <w:r>
        <w:rPr>
          <w:color w:val="000000"/>
          <w:sz w:val="21"/>
        </w:rPr>
        <w:t>2.3</w:t>
      </w:r>
      <w:r>
        <w:rPr>
          <w:color w:val="000000"/>
          <w:sz w:val="21"/>
        </w:rPr>
        <w:t>所示。由图可知双级矩阵变换器输入和输出直接耦合，电网侧采用</w:t>
      </w:r>
      <w:r>
        <w:rPr>
          <w:color w:val="000000"/>
          <w:sz w:val="21"/>
        </w:rPr>
        <w:t>PWM</w:t>
      </w:r>
      <w:r>
        <w:rPr>
          <w:color w:val="000000"/>
          <w:sz w:val="21"/>
        </w:rPr>
        <w:t>调制生成脉冲波形，负载侧将直流侧的脉冲波形再调制成变频变压的交流电。如果有更多的限制条件，使用的功率器件可以再减少到</w:t>
      </w:r>
      <w:r>
        <w:rPr>
          <w:color w:val="000000"/>
          <w:sz w:val="21"/>
        </w:rPr>
        <w:t>15</w:t>
      </w:r>
      <w:r>
        <w:rPr>
          <w:color w:val="000000"/>
          <w:sz w:val="21"/>
        </w:rPr>
        <w:t>，</w:t>
      </w:r>
      <w:r>
        <w:rPr>
          <w:color w:val="000000"/>
          <w:sz w:val="21"/>
        </w:rPr>
        <w:t>12</w:t>
      </w:r>
      <w:r>
        <w:rPr>
          <w:color w:val="000000"/>
          <w:sz w:val="21"/>
        </w:rPr>
        <w:t>甚至是</w:t>
      </w:r>
      <w:r>
        <w:rPr>
          <w:color w:val="000000"/>
          <w:sz w:val="21"/>
        </w:rPr>
        <w:t>9</w:t>
      </w:r>
      <w:r>
        <w:rPr>
          <w:color w:val="000000"/>
          <w:sz w:val="21"/>
        </w:rPr>
        <w:t>个，以下均采用</w:t>
      </w:r>
      <w:r>
        <w:rPr>
          <w:color w:val="000000"/>
          <w:sz w:val="21"/>
        </w:rPr>
        <w:t>18</w:t>
      </w:r>
      <w:r>
        <w:rPr>
          <w:color w:val="000000"/>
          <w:sz w:val="21"/>
        </w:rPr>
        <w:t>个功率器件的双级矩阵变换器进行说明。</w:t>
      </w:r>
    </w:p>
    <w:p w:rsidR="009D147A" w:rsidRDefault="008710CF">
      <w:pPr>
        <w:pStyle w:val="ac"/>
        <w:widowControl w:val="0"/>
        <w:numPr>
          <w:ilvl w:val="1"/>
          <w:numId w:val="4"/>
        </w:numPr>
        <w:ind w:left="454" w:firstLine="0"/>
        <w:jc w:val="both"/>
        <w:rPr>
          <w:color w:val="00000A"/>
          <w:sz w:val="21"/>
        </w:rPr>
      </w:pPr>
      <w:r>
        <w:rPr>
          <w:color w:val="00000A"/>
          <w:sz w:val="21"/>
        </w:rPr>
        <w:t>整流级无零矢量调制策略</w:t>
      </w:r>
    </w:p>
    <w:p w:rsidR="009D147A" w:rsidRDefault="009D147A">
      <w:pPr>
        <w:pStyle w:val="ac"/>
        <w:widowControl w:val="0"/>
        <w:ind w:firstLine="0"/>
        <w:jc w:val="both"/>
        <w:rPr>
          <w:color w:val="00000A"/>
          <w:sz w:val="21"/>
        </w:rPr>
      </w:pPr>
    </w:p>
    <w:p w:rsidR="009D147A" w:rsidRDefault="008710CF">
      <w:pPr>
        <w:pStyle w:val="ac"/>
        <w:widowControl w:val="0"/>
        <w:numPr>
          <w:ilvl w:val="1"/>
          <w:numId w:val="4"/>
        </w:numPr>
        <w:ind w:left="454" w:firstLine="0"/>
        <w:jc w:val="both"/>
      </w:pPr>
      <w:r>
        <w:t>整流级有零矢量调制策略</w:t>
      </w:r>
    </w:p>
    <w:p w:rsidR="009D147A" w:rsidRDefault="008710CF">
      <w:pPr>
        <w:pStyle w:val="ac"/>
        <w:widowControl w:val="0"/>
        <w:numPr>
          <w:ilvl w:val="1"/>
          <w:numId w:val="4"/>
        </w:numPr>
        <w:ind w:left="454" w:firstLine="0"/>
        <w:jc w:val="both"/>
      </w:pPr>
      <w:r>
        <w:t>仿真研究</w:t>
      </w:r>
    </w:p>
    <w:p w:rsidR="009D147A" w:rsidRDefault="008710CF">
      <w:pPr>
        <w:pStyle w:val="ac"/>
        <w:widowControl w:val="0"/>
        <w:numPr>
          <w:ilvl w:val="1"/>
          <w:numId w:val="4"/>
        </w:numPr>
        <w:ind w:left="454" w:firstLine="0"/>
        <w:jc w:val="both"/>
      </w:pPr>
      <w:r>
        <w:t>本章总结</w:t>
      </w:r>
    </w:p>
    <w:p w:rsidR="009D147A" w:rsidRDefault="009D147A">
      <w:pPr>
        <w:pStyle w:val="ac"/>
      </w:pPr>
    </w:p>
    <w:p w:rsidR="009D147A" w:rsidRDefault="008710CF">
      <w:pPr>
        <w:pStyle w:val="ac"/>
        <w:ind w:firstLine="0"/>
      </w:pPr>
      <w:r>
        <w:t>三、</w:t>
      </w:r>
      <w:r>
        <w:t xml:space="preserve"> </w:t>
      </w:r>
      <w:r>
        <w:t>异步电机直接转矩控制</w:t>
      </w:r>
    </w:p>
    <w:p w:rsidR="009D147A" w:rsidRDefault="008710CF">
      <w:pPr>
        <w:pStyle w:val="ac"/>
        <w:numPr>
          <w:ilvl w:val="0"/>
          <w:numId w:val="3"/>
        </w:numPr>
      </w:pPr>
      <w:r>
        <w:t>异步电机动态模型</w:t>
      </w:r>
    </w:p>
    <w:p w:rsidR="009D147A" w:rsidRDefault="008710CF">
      <w:pPr>
        <w:pStyle w:val="ac"/>
        <w:numPr>
          <w:ilvl w:val="0"/>
          <w:numId w:val="3"/>
        </w:numPr>
      </w:pPr>
      <w:r>
        <w:t>直接转矩控制原理</w:t>
      </w:r>
    </w:p>
    <w:p w:rsidR="009D147A" w:rsidRDefault="008710CF">
      <w:pPr>
        <w:pStyle w:val="ac"/>
        <w:numPr>
          <w:ilvl w:val="1"/>
          <w:numId w:val="3"/>
        </w:numPr>
      </w:pPr>
      <w:r>
        <w:t>查表法</w:t>
      </w:r>
    </w:p>
    <w:p w:rsidR="009D147A" w:rsidRDefault="008710CF">
      <w:pPr>
        <w:pStyle w:val="ac"/>
        <w:numPr>
          <w:ilvl w:val="1"/>
          <w:numId w:val="3"/>
        </w:numPr>
      </w:pPr>
      <w:r>
        <w:t>预测法</w:t>
      </w:r>
    </w:p>
    <w:p w:rsidR="009D147A" w:rsidRDefault="008710CF">
      <w:pPr>
        <w:pStyle w:val="ac"/>
        <w:numPr>
          <w:ilvl w:val="0"/>
          <w:numId w:val="3"/>
        </w:numPr>
      </w:pPr>
      <w:r>
        <w:t>无位置传感器</w:t>
      </w:r>
    </w:p>
    <w:p w:rsidR="009D147A" w:rsidRDefault="008710CF">
      <w:pPr>
        <w:pStyle w:val="ac"/>
        <w:numPr>
          <w:ilvl w:val="0"/>
          <w:numId w:val="3"/>
        </w:numPr>
      </w:pPr>
      <w:r>
        <w:t>仿真研究</w:t>
      </w:r>
    </w:p>
    <w:p w:rsidR="009D147A" w:rsidRDefault="008710CF">
      <w:pPr>
        <w:pStyle w:val="ac"/>
        <w:numPr>
          <w:ilvl w:val="0"/>
          <w:numId w:val="3"/>
        </w:numPr>
      </w:pPr>
      <w:r>
        <w:t>本章总结</w:t>
      </w:r>
    </w:p>
    <w:p w:rsidR="009D147A" w:rsidRDefault="009D147A">
      <w:pPr>
        <w:pStyle w:val="ac"/>
      </w:pPr>
    </w:p>
    <w:p w:rsidR="009D147A" w:rsidRDefault="008710CF">
      <w:pPr>
        <w:pStyle w:val="ac"/>
        <w:ind w:firstLine="0"/>
      </w:pPr>
      <w:r>
        <w:t>四、</w:t>
      </w:r>
      <w:r>
        <w:t xml:space="preserve"> </w:t>
      </w:r>
      <w:r>
        <w:t>双级矩阵变换器直接转矩控制</w:t>
      </w:r>
    </w:p>
    <w:p w:rsidR="009D147A" w:rsidRDefault="009D147A">
      <w:pPr>
        <w:pStyle w:val="ac"/>
        <w:ind w:firstLine="0"/>
      </w:pPr>
    </w:p>
    <w:sectPr w:rsidR="009D147A">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A11E6"/>
    <w:multiLevelType w:val="multilevel"/>
    <w:tmpl w:val="FFFFFFFF"/>
    <w:lvl w:ilvl="0">
      <w:start w:val="1"/>
      <w:numFmt w:val="taiwaneseCountingThousand"/>
      <w:lvlText w:val="%1、"/>
      <w:lvlJc w:val="left"/>
      <w:pPr>
        <w:ind w:left="432" w:hanging="432"/>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1C6CB2"/>
    <w:multiLevelType w:val="multilevel"/>
    <w:tmpl w:val="FFFFFFFF"/>
    <w:lvl w:ilvl="0">
      <w:start w:val="1"/>
      <w:numFmt w:val="decimal"/>
      <w:lvlText w:val="%1"/>
      <w:lvlJc w:val="left"/>
      <w:pPr>
        <w:ind w:left="372" w:hanging="372"/>
      </w:pPr>
    </w:lvl>
    <w:lvl w:ilvl="1">
      <w:start w:val="1"/>
      <w:numFmt w:val="decimal"/>
      <w:lvlText w:val="%1.%2"/>
      <w:lvlJc w:val="left"/>
      <w:pPr>
        <w:ind w:left="792" w:hanging="372"/>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2" w15:restartNumberingAfterBreak="0">
    <w:nsid w:val="26D3155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582C7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046BE2"/>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91F644D"/>
    <w:multiLevelType w:val="multilevel"/>
    <w:tmpl w:val="FFFFFFFF"/>
    <w:lvl w:ilvl="0">
      <w:start w:val="1"/>
      <w:numFmt w:val="decimal"/>
      <w:lvlText w:val="%1"/>
      <w:lvlJc w:val="left"/>
      <w:pPr>
        <w:ind w:left="372" w:hanging="372"/>
      </w:pPr>
    </w:lvl>
    <w:lvl w:ilvl="1">
      <w:start w:val="1"/>
      <w:numFmt w:val="decimal"/>
      <w:lvlText w:val="%1.%2"/>
      <w:lvlJc w:val="left"/>
      <w:pPr>
        <w:ind w:left="792" w:hanging="372"/>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7A"/>
    <w:rsid w:val="008710CF"/>
    <w:rsid w:val="009D14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5:docId w15:val="{45DF49FF-4CC7-43AE-A317-91A2D301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pPr>
      <w:spacing w:after="140" w:line="288" w:lineRule="auto"/>
    </w:pPr>
  </w:style>
  <w:style w:type="paragraph" w:styleId="1">
    <w:name w:val="heading 1"/>
    <w:basedOn w:val="a"/>
    <w:link w:val="10"/>
    <w:uiPriority w:val="9"/>
    <w:qFormat/>
    <w:rsid w:val="005803A2"/>
    <w:pPr>
      <w:keepNext/>
      <w:keepLines/>
      <w:spacing w:before="340" w:after="330" w:line="578" w:lineRule="auto"/>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803A2"/>
    <w:rPr>
      <w:sz w:val="18"/>
      <w:szCs w:val="18"/>
    </w:rPr>
  </w:style>
  <w:style w:type="character" w:customStyle="1" w:styleId="a4">
    <w:name w:val="页脚 字符"/>
    <w:basedOn w:val="a0"/>
    <w:uiPriority w:val="99"/>
    <w:qFormat/>
    <w:rsid w:val="005803A2"/>
    <w:rPr>
      <w:sz w:val="18"/>
      <w:szCs w:val="18"/>
    </w:rPr>
  </w:style>
  <w:style w:type="character" w:customStyle="1" w:styleId="10">
    <w:name w:val="标题 1 字符"/>
    <w:basedOn w:val="a0"/>
    <w:link w:val="1"/>
    <w:uiPriority w:val="9"/>
    <w:qFormat/>
    <w:rsid w:val="005803A2"/>
    <w:rPr>
      <w:b/>
      <w:bCs/>
      <w:sz w:val="44"/>
      <w:szCs w:val="44"/>
    </w:rPr>
  </w:style>
  <w:style w:type="character" w:customStyle="1" w:styleId="a5">
    <w:name w:val="编号符号"/>
    <w:qFormat/>
  </w:style>
  <w:style w:type="paragraph" w:styleId="a6">
    <w:name w:val="Title"/>
    <w:basedOn w:val="a"/>
    <w:next w:val="a"/>
    <w:qFormat/>
    <w:pPr>
      <w:keepNext/>
      <w:spacing w:before="240" w:after="120"/>
    </w:pPr>
    <w:rPr>
      <w:rFonts w:ascii="Liberation Sans" w:eastAsia="微软雅黑" w:hAnsi="Liberation Sans" w:cs="Arial"/>
      <w:sz w:val="28"/>
      <w:szCs w:val="28"/>
    </w:rPr>
  </w:style>
  <w:style w:type="paragraph" w:styleId="a7">
    <w:name w:val="List"/>
    <w:basedOn w:val="a"/>
    <w:rPr>
      <w:rFonts w:cs="Arial"/>
    </w:rPr>
  </w:style>
  <w:style w:type="paragraph" w:styleId="a8">
    <w:name w:val="caption"/>
    <w:basedOn w:val="a"/>
    <w:pPr>
      <w:suppressLineNumbers/>
      <w:spacing w:before="120" w:after="120"/>
    </w:pPr>
    <w:rPr>
      <w:rFonts w:cs="Arial"/>
      <w:i/>
      <w:iCs/>
      <w:sz w:val="24"/>
      <w:szCs w:val="24"/>
    </w:rPr>
  </w:style>
  <w:style w:type="paragraph" w:customStyle="1" w:styleId="a9">
    <w:name w:val="索引"/>
    <w:basedOn w:val="a"/>
    <w:qFormat/>
    <w:pPr>
      <w:suppressLineNumbers/>
    </w:pPr>
    <w:rPr>
      <w:rFonts w:cs="Arial"/>
    </w:rPr>
  </w:style>
  <w:style w:type="paragraph" w:styleId="aa">
    <w:name w:val="header"/>
    <w:basedOn w:val="a"/>
    <w:uiPriority w:val="99"/>
    <w:unhideWhenUsed/>
    <w:rsid w:val="005803A2"/>
    <w:pPr>
      <w:pBdr>
        <w:bottom w:val="single" w:sz="6" w:space="1" w:color="00000A"/>
      </w:pBdr>
      <w:tabs>
        <w:tab w:val="center" w:pos="4153"/>
        <w:tab w:val="right" w:pos="8306"/>
      </w:tabs>
      <w:snapToGrid w:val="0"/>
      <w:jc w:val="center"/>
    </w:pPr>
    <w:rPr>
      <w:sz w:val="18"/>
      <w:szCs w:val="18"/>
    </w:rPr>
  </w:style>
  <w:style w:type="paragraph" w:styleId="ab">
    <w:name w:val="footer"/>
    <w:basedOn w:val="a"/>
    <w:uiPriority w:val="99"/>
    <w:unhideWhenUsed/>
    <w:rsid w:val="005803A2"/>
    <w:pPr>
      <w:tabs>
        <w:tab w:val="center" w:pos="4153"/>
        <w:tab w:val="right" w:pos="8306"/>
      </w:tabs>
      <w:snapToGrid w:val="0"/>
    </w:pPr>
    <w:rPr>
      <w:sz w:val="18"/>
      <w:szCs w:val="18"/>
    </w:rPr>
  </w:style>
  <w:style w:type="paragraph" w:styleId="ac">
    <w:name w:val="List Paragraph"/>
    <w:basedOn w:val="a"/>
    <w:uiPriority w:val="34"/>
    <w:qFormat/>
    <w:rsid w:val="00451C9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游帅</dc:creator>
  <cp:lastModifiedBy>游帅</cp:lastModifiedBy>
  <cp:revision>100</cp:revision>
  <dcterms:created xsi:type="dcterms:W3CDTF">2016-04-23T14:33:00Z</dcterms:created>
  <dcterms:modified xsi:type="dcterms:W3CDTF">2016-05-11T15:42:00Z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