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</w:rPr>
        <w:t>公司章程与治理规则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文件编号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生效日期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责任部门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GOV-001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V2.0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董事会办公室</w:t>
            </w:r>
          </w:p>
        </w:tc>
      </w:tr>
    </w:tbl>
    <w:p>
      <w:pPr>
        <w:spacing w:before="160"/>
      </w:pPr>
      <w:r>
        <w:rPr>
          <w:rFonts w:ascii="Arial Unicode MS" w:hAnsi="Arial Unicode MS" w:eastAsia="Arial Unicode MS"/>
        </w:rPr>
        <w:t>虚构企业与合成数据，仅用于 RAG 教学。所有客户、价格、参数与业绩均为模拟。</w:t>
      </w:r>
    </w:p>
    <w:p>
      <w:pPr>
        <w:pStyle w:val="Heading1"/>
      </w:pPr>
      <w:r>
        <w:rPr>
          <w:rFonts w:ascii="Arial Unicode MS" w:hAnsi="Arial Unicode MS" w:eastAsia="Arial Unicode MS"/>
        </w:rPr>
        <w:t>公司基本情况与治理架构</w:t>
      </w:r>
    </w:p>
    <w:p>
      <w:pPr>
        <w:pStyle w:val="Heading2"/>
      </w:pPr>
      <w:r>
        <w:rPr>
          <w:rFonts w:ascii="Arial Unicode MS" w:hAnsi="Arial Unicode MS" w:eastAsia="Arial Unicode MS"/>
        </w:rPr>
        <w:t>第一条 公司定位与业务范围</w:t>
      </w:r>
    </w:p>
    <w:p>
      <w:r>
        <w:rPr>
          <w:rFonts w:ascii="Arial Unicode MS" w:hAnsi="Arial Unicode MS" w:eastAsia="Arial Unicode MS"/>
        </w:rPr>
        <w:t>澜川智联科技有限公司为本训练数据集中的虚构有限责任公司，简称澜川智联。公司设研发中心、供应链部、销售部、交付服务部、质量部、财务部和综合管理部。总部与装配中心均设于虚构的临江智造园。</w:t>
      </w:r>
    </w:p>
    <w:p>
      <w:r>
        <w:rPr>
          <w:rFonts w:ascii="Arial Unicode MS" w:hAnsi="Arial Unicode MS" w:eastAsia="Arial Unicode MS"/>
        </w:rPr>
        <w:t>公司面向离散制造、能源管理、仓储物流和设施运维提供工业数据采集产品。产品分为GW网关、TH温湿度、EM电表、VS振动、PT压力、FL流量、IO模块、SW交换机、VC相机和WS无线接收站十个系列。具体型号以PRD-01至PRD-10产品数据表为准。</w:t>
      </w:r>
    </w:p>
    <w:p>
      <w:pPr>
        <w:pStyle w:val="Heading2"/>
      </w:pPr>
      <w:r>
        <w:rPr>
          <w:rFonts w:ascii="Arial Unicode MS" w:hAnsi="Arial Unicode MS" w:eastAsia="Arial Unicode MS"/>
        </w:rPr>
        <w:t>第二条 股东会与董事会</w:t>
      </w:r>
    </w:p>
    <w:p>
      <w:r>
        <w:rPr>
          <w:rFonts w:ascii="Arial Unicode MS" w:hAnsi="Arial Unicode MS" w:eastAsia="Arial Unicode MS"/>
        </w:rPr>
        <w:t>公司注册资本设定为人民币1000万元。股东陈知远持股50%，许岚持股30%，周宁持股20%。股东会为重大事项决策机构，董事会由三名董事组成，设董事长一名，经理一名。</w:t>
      </w:r>
    </w:p>
    <w:p>
      <w:r>
        <w:rPr>
          <w:rFonts w:ascii="Arial Unicode MS" w:hAnsi="Arial Unicode MS" w:eastAsia="Arial Unicode MS"/>
        </w:rPr>
        <w:t>日常经营事项按职权清单处理。修改章程、增减注册资本和公司合并等本训练设定中的保留事项，须取得代表三分之二以上表决权的股东同意，并形成书面决议。本条是模拟内部治理规则，不作为现实法律意见。</w:t>
      </w:r>
    </w:p>
    <w:p>
      <w:pPr>
        <w:pStyle w:val="Heading2"/>
      </w:pPr>
      <w:r>
        <w:rPr>
          <w:rFonts w:ascii="Arial Unicode MS" w:hAnsi="Arial Unicode MS" w:eastAsia="Arial Unicode MS"/>
        </w:rPr>
        <w:t>第三条 职责分离</w:t>
      </w:r>
    </w:p>
    <w:p>
      <w:r>
        <w:rPr>
          <w:rFonts w:ascii="Arial Unicode MS" w:hAnsi="Arial Unicode MS" w:eastAsia="Arial Unicode MS"/>
        </w:rPr>
        <w:t>销售负责需求与商务沟通，交付负责实施与验收，质量部独立作出产品放行决定。财务部保管付款和开票记录。销售不得独立批准本人项目的价格例外，采购不得独立验收本人采购的物料。</w:t>
      </w:r>
    </w:p>
    <w:p>
      <w:r>
        <w:rPr>
          <w:rFonts w:ascii="Arial Unicode MS" w:hAnsi="Arial Unicode MS" w:eastAsia="Arial Unicode MS"/>
        </w:rPr>
        <w:t>质量部对未通过出厂检查的批次具有暂停发货权。任何经营负责人不得口头要求删除不合格记录。发生争议时，由经理组织复核并在两个工作日内给出书面结论。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授权与经营控制</w:t>
      </w:r>
    </w:p>
    <w:p>
      <w:pPr>
        <w:pStyle w:val="Heading2"/>
      </w:pPr>
      <w:r>
        <w:rPr>
          <w:rFonts w:ascii="Arial Unicode MS" w:hAnsi="Arial Unicode MS" w:eastAsia="Arial Unicode MS"/>
        </w:rPr>
        <w:t>第四条 采购与付款权限</w:t>
      </w:r>
    </w:p>
    <w:p>
      <w:r>
        <w:rPr>
          <w:rFonts w:ascii="Arial Unicode MS" w:hAnsi="Arial Unicode MS" w:eastAsia="Arial Unicode MS"/>
        </w:rPr>
        <w:t>单笔含税采购金额不超过20000元，由部门负责人审批；超过20000元且不超过100000元，由经理审批；超过100000元由董事会审批。金额恰好20000元仍属部门负责人权限，恰好100000元属经理权限。</w:t>
      </w:r>
    </w:p>
    <w:p>
      <w:r>
        <w:rPr>
          <w:rFonts w:ascii="Arial Unicode MS" w:hAnsi="Arial Unicode MS" w:eastAsia="Arial Unicode MS"/>
        </w:rPr>
        <w:t>同一供应商、同一项目在七个自然日内的关联采购应合并计算，不得拆单规避审批。财务执行付款前核验合同、到货或服务证明、发票和审批记录，预付款按合同约定补充担保或里程碑说明。</w:t>
      </w:r>
    </w:p>
    <w:p>
      <w:pPr>
        <w:pStyle w:val="Heading2"/>
      </w:pPr>
      <w:r>
        <w:rPr>
          <w:rFonts w:ascii="Arial Unicode MS" w:hAnsi="Arial Unicode MS" w:eastAsia="Arial Unicode MS"/>
        </w:rPr>
        <w:t>第五条 合同与信息披露</w:t>
      </w:r>
    </w:p>
    <w:p>
      <w:r>
        <w:rPr>
          <w:rFonts w:ascii="Arial Unicode MS" w:hAnsi="Arial Unicode MS" w:eastAsia="Arial Unicode MS"/>
        </w:rPr>
        <w:t>标准销售合同由销售发起，交付确认范围，财务确认账期，授权签字人签署。涉及独家代理、源代码移交、无限责任或特殊质量保证的条款，须经理与质量部共同复核。</w:t>
      </w:r>
    </w:p>
    <w:p>
      <w:r>
        <w:rPr>
          <w:rFonts w:ascii="Arial Unicode MS" w:hAnsi="Arial Unicode MS" w:eastAsia="Arial Unicode MS"/>
        </w:rPr>
        <w:t>对外披露客户名称、现场照片、产线指标或技术方案，必须取得客户书面授权并登记可公开范围。资料中的CASE-01至CASE-10均为模拟合作案例，不代表任何真实客户背书。</w:t>
      </w:r>
    </w:p>
    <w:p>
      <w:pPr>
        <w:pStyle w:val="Heading2"/>
      </w:pPr>
      <w:r>
        <w:rPr>
          <w:rFonts w:ascii="Arial Unicode MS" w:hAnsi="Arial Unicode MS" w:eastAsia="Arial Unicode MS"/>
        </w:rPr>
        <w:t>第六条 利益冲突与资料留存</w:t>
      </w:r>
    </w:p>
    <w:p>
      <w:r>
        <w:rPr>
          <w:rFonts w:ascii="Arial Unicode MS" w:hAnsi="Arial Unicode MS" w:eastAsia="Arial Unicode MS"/>
        </w:rPr>
        <w:t>员工及其近亲属与供应商存在投资、任职或其他利益关系时，应在评审前向综合管理部申报，并退出该供应商的定价和验收决定。隐瞒利益关系的事件由经理组织专项复核。</w:t>
      </w:r>
    </w:p>
    <w:p>
      <w:r>
        <w:rPr>
          <w:rFonts w:ascii="Arial Unicode MS" w:hAnsi="Arial Unicode MS" w:eastAsia="Arial Unicode MS"/>
        </w:rPr>
        <w:t>章程和有效决议长期留存；合同、验收单及审批记录按本训练设定保存十年。客户运行日志按SEC-006限定期限保存，不因合同保存十年而自动扩大日志保存期限。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修订与执行</w:t>
      </w:r>
    </w:p>
    <w:p>
      <w:pPr>
        <w:pStyle w:val="Heading2"/>
      </w:pPr>
      <w:r>
        <w:rPr>
          <w:rFonts w:ascii="Arial Unicode MS" w:hAnsi="Arial Unicode MS" w:eastAsia="Arial Unicode MS"/>
        </w:rPr>
        <w:t>第七条 文件层级与冲突处理</w:t>
      </w:r>
    </w:p>
    <w:p>
      <w:r>
        <w:rPr>
          <w:rFonts w:ascii="Arial Unicode MS" w:hAnsi="Arial Unicode MS" w:eastAsia="Arial Unicode MS"/>
        </w:rPr>
        <w:t>本章程优先于公司通用制度；产品具体技术边界以有效的PRD技术参数页为准；项目验收指标以已签署项目验收附件为准。项目附件不得自行改变产品的物理极限或认证状态。</w:t>
      </w:r>
    </w:p>
    <w:p>
      <w:r>
        <w:rPr>
          <w:rFonts w:ascii="Arial Unicode MS" w:hAnsi="Arial Unicode MS" w:eastAsia="Arial Unicode MS"/>
        </w:rPr>
        <w:t>如项目案例出现低于产品上限的实测值，应理解为该项目配置与现场条件的结果。案例历史采购价格只解释当时项目，不用于替代2026年10月的产品目录价。</w:t>
      </w:r>
    </w:p>
    <w:p>
      <w:pPr>
        <w:pStyle w:val="Heading2"/>
      </w:pPr>
      <w:r>
        <w:rPr>
          <w:rFonts w:ascii="Arial Unicode MS" w:hAnsi="Arial Unicode MS" w:eastAsia="Arial Unicode MS"/>
        </w:rPr>
        <w:t>第八条 监督与申诉</w:t>
      </w:r>
    </w:p>
    <w:p>
      <w:r>
        <w:rPr>
          <w:rFonts w:ascii="Arial Unicode MS" w:hAnsi="Arial Unicode MS" w:eastAsia="Arial Unicode MS"/>
        </w:rPr>
        <w:t>员工可向质量部提交质量异议，向综合管理部提交流程申诉。受理部门应在两个工作日内确认收件，五个工作日内给出调查安排。涉及受理部门自身的事项，由经理指定其他部门复核。</w:t>
      </w:r>
    </w:p>
    <w:p>
      <w:r>
        <w:rPr>
          <w:rFonts w:ascii="Arial Unicode MS" w:hAnsi="Arial Unicode MS" w:eastAsia="Arial Unicode MS"/>
        </w:rPr>
        <w:t>投诉材料使用事件编号和最小必要个人信息。调查期间保留原始证据，不得要求提交人修改原始时间戳。对善意报告质量或信息安全风险的员工，不得采取报复措施。</w:t>
      </w:r>
    </w:p>
    <w:p>
      <w:pPr>
        <w:pStyle w:val="Heading2"/>
      </w:pPr>
      <w:r>
        <w:rPr>
          <w:rFonts w:ascii="Arial Unicode MS" w:hAnsi="Arial Unicode MS" w:eastAsia="Arial Unicode MS"/>
        </w:rPr>
        <w:t>第九条 生效与修订记录</w:t>
      </w:r>
    </w:p>
    <w:p>
      <w:r>
        <w:rPr>
          <w:rFonts w:ascii="Arial Unicode MS" w:hAnsi="Arial Unicode MS" w:eastAsia="Arial Unicode MS"/>
        </w:rPr>
        <w:t>本版本GOV-001 V2.0于2026年10月1日生效，替代2025年7月1日的V1.0。V1.0曾将部门负责人采购上限设为10000元，该旧值仅作版本识别训练，当前执行20000元。</w:t>
      </w:r>
    </w:p>
    <w:p>
      <w:r>
        <w:rPr>
          <w:rFonts w:ascii="Arial Unicode MS" w:hAnsi="Arial Unicode MS" w:eastAsia="Arial Unicode MS"/>
        </w:rPr>
        <w:t>章程修订由董事会办公室起草，股东会按第二条程序批准。每次修订须登记变更原因、生效日期和受影响的制度清单。员工应通过TRN-002中的制度学习测验确认已理解更新。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GOV-001  V2.0  |  合成教学数据  |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澜川智联科技有限公司  内部培训资料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hAnsi="Arial Unicode MS" w:eastAsia="Arial Unicode MS" w:cs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12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12" w:lineRule="auto"/>
      <w:outlineLvl w:val="1"/>
    </w:pPr>
    <w:rPr>
      <w:rFonts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12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