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</w:rPr>
        <w:t>新员工入职培训手册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文件编号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生效日期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责任部门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TRN-002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V1.3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综合管理部</w:t>
            </w:r>
          </w:p>
        </w:tc>
      </w:tr>
    </w:tbl>
    <w:p>
      <w:pPr>
        <w:spacing w:before="160"/>
      </w:pPr>
      <w:r>
        <w:rPr>
          <w:rFonts w:ascii="Arial Unicode MS" w:hAnsi="Arial Unicode MS" w:eastAsia="Arial Unicode MS"/>
        </w:rPr>
        <w:t>虚构企业与合成数据，仅用于 RAG 教学。所有客户、价格、参数与业绩均为模拟。</w:t>
      </w:r>
    </w:p>
    <w:p>
      <w:pPr>
        <w:pStyle w:val="Heading1"/>
      </w:pPr>
      <w:r>
        <w:rPr>
          <w:rFonts w:ascii="Arial Unicode MS" w:hAnsi="Arial Unicode MS" w:eastAsia="Arial Unicode MS"/>
        </w:rPr>
        <w:t>入职准备与学习安排</w:t>
      </w:r>
    </w:p>
    <w:p>
      <w:pPr>
        <w:pStyle w:val="Heading2"/>
      </w:pPr>
      <w:r>
        <w:rPr>
          <w:rFonts w:ascii="Arial Unicode MS" w:hAnsi="Arial Unicode MS" w:eastAsia="Arial Unicode MS"/>
        </w:rPr>
        <w:t>培训目标与适用人员</w:t>
      </w:r>
    </w:p>
    <w:p>
      <w:r>
        <w:rPr>
          <w:rFonts w:ascii="Arial Unicode MS" w:hAnsi="Arial Unicode MS" w:eastAsia="Arial Unicode MS"/>
        </w:rPr>
        <w:t>本手册适用于澜川智联所有新入职员工及转岗至销售、研发、交付岗位的员工。培训目标是识别十个产品系列、知道资料应在哪里查找，并能按岗位权限处理客户需求。</w:t>
      </w:r>
    </w:p>
    <w:p>
      <w:r>
        <w:rPr>
          <w:rFonts w:ascii="Arial Unicode MS" w:hAnsi="Arial Unicode MS" w:eastAsia="Arial Unicode MS"/>
        </w:rPr>
        <w:t>培训采用首日导入、首周通识、首月岗位实践三个阶段。实习生可参加产品与安全课程，但未经导师授权不得独立向客户承诺参数、交期或售后时限。</w:t>
      </w:r>
    </w:p>
    <w:p>
      <w:pPr>
        <w:pStyle w:val="Heading2"/>
      </w:pPr>
      <w:r>
        <w:rPr>
          <w:rFonts w:ascii="Arial Unicode MS" w:hAnsi="Arial Unicode MS" w:eastAsia="Arial Unicode MS"/>
        </w:rPr>
        <w:t>首日办理与账号</w:t>
      </w:r>
    </w:p>
    <w:p>
      <w:r>
        <w:rPr>
          <w:rFonts w:ascii="Arial Unicode MS" w:hAnsi="Arial Unicode MS" w:eastAsia="Arial Unicode MS"/>
        </w:rPr>
        <w:t>综合管理部在入职首日核对人员编号、岗位、导师和设备领用单。信息管理员开通办公账号并启用多因素认证，员工首次登录后修改临时口令。</w:t>
      </w:r>
    </w:p>
    <w:p>
      <w:r>
        <w:rPr>
          <w:rFonts w:ascii="Arial Unicode MS" w:hAnsi="Arial Unicode MS" w:eastAsia="Arial Unicode MS"/>
        </w:rPr>
        <w:t>导师须讲解GOV-001、SEC-006、OPS-007及SVC-008。账号申请至少写明系统名称、业务目的、访问范围与有效期；不得借用离职员工账号或共享售后管理员口令。</w:t>
      </w:r>
    </w:p>
    <w:p>
      <w:pPr>
        <w:pStyle w:val="Heading2"/>
      </w:pPr>
      <w:r>
        <w:rPr>
          <w:rFonts w:ascii="Arial Unicode MS" w:hAnsi="Arial Unicode MS" w:eastAsia="Arial Unicode MS"/>
        </w:rPr>
        <w:t>首周课程与考核</w:t>
      </w:r>
    </w:p>
    <w:p>
      <w:r>
        <w:rPr>
          <w:rFonts w:ascii="Arial Unicode MS" w:hAnsi="Arial Unicode MS" w:eastAsia="Arial Unicode MS"/>
        </w:rPr>
        <w:t>首周课程共12学时：公司治理2学时、产品体系4学时、信息安全2学时、质量与现场安全2学时、客户沟通2学时。出勤率必须达到100%，请假后补课记录计入出勤。</w:t>
      </w:r>
    </w:p>
    <w:p>
      <w:r>
        <w:rPr>
          <w:rFonts w:ascii="Arial Unicode MS" w:hAnsi="Arial Unicode MS" w:eastAsia="Arial Unicode MS"/>
        </w:rPr>
        <w:t>通识测验满分100分，80分及以上合格。第一次未通过者应在五个工作日内补训并补考；第二次未通过由部门负责人制定辅导计划，不能直接取消安全培训要求。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岗位实践与客户沟通</w:t>
      </w:r>
    </w:p>
    <w:p>
      <w:pPr>
        <w:pStyle w:val="Heading2"/>
      </w:pPr>
      <w:r>
        <w:rPr>
          <w:rFonts w:ascii="Arial Unicode MS" w:hAnsi="Arial Unicode MS" w:eastAsia="Arial Unicode MS"/>
        </w:rPr>
        <w:t>岗位实践任务</w:t>
      </w:r>
    </w:p>
    <w:p>
      <w:r>
        <w:rPr>
          <w:rFonts w:ascii="Arial Unicode MS" w:hAnsi="Arial Unicode MS" w:eastAsia="Arial Unicode MS"/>
        </w:rPr>
        <w:t>销售学员完成一份含两个可替代型号的选型说明；交付学员完成一份设备点表与现场回滚方案；研发学员完成一次变更影响分析；供应链学员完成供应商来料核验练习。</w:t>
      </w:r>
    </w:p>
    <w:p>
      <w:r>
        <w:rPr>
          <w:rFonts w:ascii="Arial Unicode MS" w:hAnsi="Arial Unicode MS" w:eastAsia="Arial Unicode MS"/>
        </w:rPr>
        <w:t>所有实践任务应引用PRD编号和型号。举例：LC-TH-300采用4-20mA输出，不能写成全部TH型号均支持RS485。导师评审应同时检查推荐理由和不适用条件。</w:t>
      </w:r>
    </w:p>
    <w:p>
      <w:pPr>
        <w:pStyle w:val="Heading2"/>
      </w:pPr>
      <w:r>
        <w:rPr>
          <w:rFonts w:ascii="Arial Unicode MS" w:hAnsi="Arial Unicode MS" w:eastAsia="Arial Unicode MS"/>
        </w:rPr>
        <w:t>跨文件检索练习</w:t>
      </w:r>
    </w:p>
    <w:p>
      <w:r>
        <w:rPr>
          <w:rFonts w:ascii="Arial Unicode MS" w:hAnsi="Arial Unicode MS" w:eastAsia="Arial Unicode MS"/>
        </w:rPr>
        <w:t>学员应先检索产品技术参数，再核对交付规则和案例条件。查询无线振动方案时，应同时检查PRD-04无线制式与PRD-10节点兼容范围。只看到LoRa字样不足以确认兼容。</w:t>
      </w:r>
    </w:p>
    <w:p>
      <w:r>
        <w:rPr>
          <w:rFonts w:ascii="Arial Unicode MS" w:hAnsi="Arial Unicode MS" w:eastAsia="Arial Unicode MS"/>
        </w:rPr>
        <w:t>案例CASE-04说明特定现场的实测丢包率；产品表给出空旷距离。两者口径不同，不得把案例中穿墙距离写入产品标准规格。不能从资料中确认的问题，应明确说明资料不足并记录待核实项。</w:t>
      </w:r>
    </w:p>
    <w:p>
      <w:pPr>
        <w:pStyle w:val="Heading2"/>
      </w:pPr>
      <w:r>
        <w:rPr>
          <w:rFonts w:ascii="Arial Unicode MS" w:hAnsi="Arial Unicode MS" w:eastAsia="Arial Unicode MS"/>
        </w:rPr>
        <w:t>客户问题记录标准</w:t>
      </w:r>
    </w:p>
    <w:p>
      <w:r>
        <w:rPr>
          <w:rFonts w:ascii="Arial Unicode MS" w:hAnsi="Arial Unicode MS" w:eastAsia="Arial Unicode MS"/>
        </w:rPr>
        <w:t>客户需求单必须包含介质、环境温度、采样频率、接口、数量、预算、期望到货时间及验收方式。相机需求额外记录视野、缺陷尺寸和节拍；流量计需求额外记录管径、材质和满管条件。</w:t>
      </w:r>
    </w:p>
    <w:p>
      <w:r>
        <w:rPr>
          <w:rFonts w:ascii="Arial Unicode MS" w:hAnsi="Arial Unicode MS" w:eastAsia="Arial Unicode MS"/>
        </w:rPr>
        <w:t>员工给出答复时需附文件编号、版本及具体条目。客户要求的认证、接口或环境条件超出资料范围时，提交产品负责人评估，不以其他型号、其他案例或推测代替确认。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培训结业与持续学习</w:t>
      </w:r>
    </w:p>
    <w:p>
      <w:pPr>
        <w:pStyle w:val="Heading2"/>
      </w:pPr>
      <w:r>
        <w:rPr>
          <w:rFonts w:ascii="Arial Unicode MS" w:hAnsi="Arial Unicode MS" w:eastAsia="Arial Unicode MS"/>
        </w:rPr>
        <w:t>首月结业标准</w:t>
      </w:r>
    </w:p>
    <w:p>
      <w:r>
        <w:rPr>
          <w:rFonts w:ascii="Arial Unicode MS" w:hAnsi="Arial Unicode MS" w:eastAsia="Arial Unicode MS"/>
        </w:rPr>
        <w:t>结业须同时满足通识测验不低于80分、岗位实践导师评分不低于85分、现场安全课程通过三个条件。单项不合格不能用其他科目高分抵消。</w:t>
      </w:r>
    </w:p>
    <w:p>
      <w:r>
        <w:rPr>
          <w:rFonts w:ascii="Arial Unicode MS" w:hAnsi="Arial Unicode MS" w:eastAsia="Arial Unicode MS"/>
        </w:rPr>
        <w:t>结业记录由员工、导师和部门负责人确认，综合管理部归档。完成结业不自动获得合同审批、生产放行或高权限系统操作资格，相关权限仍按岗位授权表开通。</w:t>
      </w:r>
    </w:p>
    <w:p>
      <w:pPr>
        <w:pStyle w:val="Heading2"/>
      </w:pPr>
      <w:r>
        <w:rPr>
          <w:rFonts w:ascii="Arial Unicode MS" w:hAnsi="Arial Unicode MS" w:eastAsia="Arial Unicode MS"/>
        </w:rPr>
        <w:t>转岗与复训</w:t>
      </w:r>
    </w:p>
    <w:p>
      <w:r>
        <w:rPr>
          <w:rFonts w:ascii="Arial Unicode MS" w:hAnsi="Arial Unicode MS" w:eastAsia="Arial Unicode MS"/>
        </w:rPr>
        <w:t>转入交付岗位者须在独立出差前补修现场安全和售后升级流程；转入销售岗位者须补修报价权限与参数承诺边界。连续六个月未参与现场作业者，下一次独立作业前复训。</w:t>
      </w:r>
    </w:p>
    <w:p>
      <w:r>
        <w:rPr>
          <w:rFonts w:ascii="Arial Unicode MS" w:hAnsi="Arial Unicode MS" w:eastAsia="Arial Unicode MS"/>
        </w:rPr>
        <w:t>产品发布新固件或修订参数时，产品负责人应在生效后十个工作日内发布差异说明。受影响岗位学习差异内容并完成三道检查题，无需重复全部通识课程。</w:t>
      </w:r>
    </w:p>
    <w:p>
      <w:pPr>
        <w:pStyle w:val="Heading2"/>
      </w:pPr>
      <w:r>
        <w:rPr>
          <w:rFonts w:ascii="Arial Unicode MS" w:hAnsi="Arial Unicode MS" w:eastAsia="Arial Unicode MS"/>
        </w:rPr>
        <w:t>记录与版本</w:t>
      </w:r>
    </w:p>
    <w:p>
      <w:r>
        <w:rPr>
          <w:rFonts w:ascii="Arial Unicode MS" w:hAnsi="Arial Unicode MS" w:eastAsia="Arial Unicode MS"/>
        </w:rPr>
        <w:t>培训记录保存三年，含课程签到、考试成绩、实践评语和复训记录。仅导师与直属负责人可查看详细评语；对其他部门提供完成状态即可，按SEC-006控制个人信息。</w:t>
      </w:r>
    </w:p>
    <w:p>
      <w:r>
        <w:rPr>
          <w:rFonts w:ascii="Arial Unicode MS" w:hAnsi="Arial Unicode MS" w:eastAsia="Arial Unicode MS"/>
        </w:rPr>
        <w:t>TRN-002 V1.3于2026年10月1日生效。相较V1.2新增跨文件检索练习和转岗培训要求，通识合格线仍为80分，岗位实践合格线仍为85分。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TRN-002  V1.3  |  合成教学数据  |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澜川智联科技有限公司  内部培训资料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hAnsi="Arial Unicode MS" w:eastAsia="Arial Unicode MS" w:cs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12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12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