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产品体系与选型培训手册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PRD-TRN-003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V2.1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产品中心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产品架构与接口识别</w:t>
      </w:r>
    </w:p>
    <w:p>
      <w:pPr>
        <w:pStyle w:val="Heading2"/>
      </w:pPr>
      <w:r>
        <w:rPr>
          <w:rFonts w:ascii="Arial Unicode MS" w:hAnsi="Arial Unicode MS" w:eastAsia="Arial Unicode MS"/>
        </w:rPr>
        <w:t>十个系列的分工</w:t>
      </w:r>
    </w:p>
    <w:p>
      <w:r>
        <w:rPr>
          <w:rFonts w:ascii="Arial Unicode MS" w:hAnsi="Arial Unicode MS" w:eastAsia="Arial Unicode MS"/>
        </w:rPr>
        <w:t>GW负责工业协议采集和边缘转发，TH测环境温湿度，EM测三相电能，VS监测振动，PT测压力，FL测流量。IO扩展信号输入输出，SW提供工业网络，VC采集图像，WS汇聚无线节点。</w:t>
      </w:r>
    </w:p>
    <w:p>
      <w:r>
        <w:rPr>
          <w:rFonts w:ascii="Arial Unicode MS" w:hAnsi="Arial Unicode MS" w:eastAsia="Arial Unicode MS"/>
        </w:rPr>
        <w:t>每个系列六个型号，100至600后缀表示系列内不同配置，不表示跨系列性能可比较。LC-GW-300与LC-WS-300属于不同产品，不能因后缀相同推断互通或相同算力。</w:t>
      </w:r>
    </w:p>
    <w:p>
      <w:pPr>
        <w:pStyle w:val="Heading2"/>
      </w:pPr>
      <w:r>
        <w:rPr>
          <w:rFonts w:ascii="Arial Unicode MS" w:hAnsi="Arial Unicode MS" w:eastAsia="Arial Unicode MS"/>
        </w:rPr>
        <w:t>接口与协议的区别</w:t>
      </w:r>
    </w:p>
    <w:p>
      <w:r>
        <w:rPr>
          <w:rFonts w:ascii="Arial Unicode MS" w:hAnsi="Arial Unicode MS" w:eastAsia="Arial Unicode MS"/>
        </w:rPr>
        <w:t>RS485是电气接口，Modbus RTU是应用通信协议；以太网接口不代表默认支持所有工业协议。选型需核对物理接口、协议、地址、波特率和供电条件。</w:t>
      </w:r>
    </w:p>
    <w:p>
      <w:r>
        <w:rPr>
          <w:rFonts w:ascii="Arial Unicode MS" w:hAnsi="Arial Unicode MS" w:eastAsia="Arial Unicode MS"/>
        </w:rPr>
        <w:t>LC-IO-300采用RS485和Modbus RTU，LC-IO-400采用以太网和Modbus TCP。连接方案应在点表标明主从关系、寄存器类型、缩放系数及单位，避免把4-20mA直接接到数字量输入端。</w:t>
      </w:r>
    </w:p>
    <w:p>
      <w:pPr>
        <w:pStyle w:val="Heading2"/>
      </w:pPr>
      <w:r>
        <w:rPr>
          <w:rFonts w:ascii="Arial Unicode MS" w:hAnsi="Arial Unicode MS" w:eastAsia="Arial Unicode MS"/>
        </w:rPr>
        <w:t>无线兼容的边界</w:t>
      </w:r>
    </w:p>
    <w:p>
      <w:r>
        <w:rPr>
          <w:rFonts w:ascii="Arial Unicode MS" w:hAnsi="Arial Unicode MS" w:eastAsia="Arial Unicode MS"/>
        </w:rPr>
        <w:t>LC-VS全系列采用LoRa私有协议，应搭配LC-WS系列。WS不接入第三方LoRaWAN节点，即使无线频段相同也不能推断可用。缩短上报间隔会改变接收站容量与传感器续航。</w:t>
      </w:r>
    </w:p>
    <w:p>
      <w:r>
        <w:rPr>
          <w:rFonts w:ascii="Arial Unicode MS" w:hAnsi="Arial Unicode MS" w:eastAsia="Arial Unicode MS"/>
        </w:rPr>
        <w:t>无线空旷距离为无遮挡测试条件，现场金属设备、墙体和安装高度会造成衰减。销售选型时应先做勘测，再在项目附件写明覆盖目标与允许丢包率。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参数解释与方案审查</w:t>
      </w:r>
    </w:p>
    <w:p>
      <w:pPr>
        <w:pStyle w:val="Heading2"/>
      </w:pPr>
      <w:r>
        <w:rPr>
          <w:rFonts w:ascii="Arial Unicode MS" w:hAnsi="Arial Unicode MS" w:eastAsia="Arial Unicode MS"/>
        </w:rPr>
        <w:t>精度与量程条件</w:t>
      </w:r>
    </w:p>
    <w:p>
      <w:r>
        <w:rPr>
          <w:rFonts w:ascii="Arial Unicode MS" w:hAnsi="Arial Unicode MS" w:eastAsia="Arial Unicode MS"/>
        </w:rPr>
        <w:t>PT精度单位为百分比满量程，LC-PT-300量程0至1.6MPa、精度±0.25%FS，对应允许误差为±0.004MPa，不能解释成读数的0.25%。TH精度只在产品表规定条件下成立。</w:t>
      </w:r>
    </w:p>
    <w:p>
      <w:r>
        <w:rPr>
          <w:rFonts w:ascii="Arial Unicode MS" w:hAnsi="Arial Unicode MS" w:eastAsia="Arial Unicode MS"/>
        </w:rPr>
        <w:t>FL示值精度依赖满管清洁液体、0.5至5m/s流速以及上游10D下游5D直管段。客户管道不满足条件时，应记录偏差并做现场验证，不能直接承诺目录精度。</w:t>
      </w:r>
    </w:p>
    <w:p>
      <w:pPr>
        <w:pStyle w:val="Heading2"/>
      </w:pPr>
      <w:r>
        <w:rPr>
          <w:rFonts w:ascii="Arial Unicode MS" w:hAnsi="Arial Unicode MS" w:eastAsia="Arial Unicode MS"/>
        </w:rPr>
        <w:t>功耗与供电预算</w:t>
      </w:r>
    </w:p>
    <w:p>
      <w:r>
        <w:rPr>
          <w:rFonts w:ascii="Arial Unicode MS" w:hAnsi="Arial Unicode MS" w:eastAsia="Arial Unicode MS"/>
        </w:rPr>
        <w:t>PoE交换机的PoE总预算不含自身功耗，电源额定功率还应考虑线损与工程余量。本训练的常规设计余量为20%，具体项目可在审查记录中说明采用的余量。</w:t>
      </w:r>
    </w:p>
    <w:p>
      <w:r>
        <w:rPr>
          <w:rFonts w:ascii="Arial Unicode MS" w:hAnsi="Arial Unicode MS" w:eastAsia="Arial Unicode MS"/>
        </w:rPr>
        <w:t>例如LC-SW-400自身空载功耗8W，连接四路各20W负载，按20%余量选电源时计算为(8+4×20)×1.2=105.6W；PoE负载80W仍低于该型号120W预算。</w:t>
      </w:r>
    </w:p>
    <w:p>
      <w:pPr>
        <w:pStyle w:val="Heading2"/>
      </w:pPr>
      <w:r>
        <w:rPr>
          <w:rFonts w:ascii="Arial Unicode MS" w:hAnsi="Arial Unicode MS" w:eastAsia="Arial Unicode MS"/>
        </w:rPr>
        <w:t>视觉与环境约束</w:t>
      </w:r>
    </w:p>
    <w:p>
      <w:r>
        <w:rPr>
          <w:rFonts w:ascii="Arial Unicode MS" w:hAnsi="Arial Unicode MS" w:eastAsia="Arial Unicode MS"/>
        </w:rPr>
        <w:t>相机最大帧率是在全幅8bit单相机直连条件下测得。现场检测节拍还包括曝光、传输、算法和执行机构时间，帧率不能直接作为每分钟检测件数。</w:t>
      </w:r>
    </w:p>
    <w:p>
      <w:r>
        <w:rPr>
          <w:rFonts w:ascii="Arial Unicode MS" w:hAnsi="Arial Unicode MS" w:eastAsia="Arial Unicode MS"/>
        </w:rPr>
        <w:t>VC默认IP30，必须配置合适防护罩后才能进入冲洗环境。PT未设防爆认证，任何普通型号均不能被推荐为防爆产品；EM为内部能源管理用途，不用于法定贸易结算。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选型输出与变更</w:t>
      </w:r>
    </w:p>
    <w:p>
      <w:pPr>
        <w:pStyle w:val="Heading2"/>
      </w:pPr>
      <w:r>
        <w:rPr>
          <w:rFonts w:ascii="Arial Unicode MS" w:hAnsi="Arial Unicode MS" w:eastAsia="Arial Unicode MS"/>
        </w:rPr>
        <w:t>完整选型单</w:t>
      </w:r>
    </w:p>
    <w:p>
      <w:r>
        <w:rPr>
          <w:rFonts w:ascii="Arial Unicode MS" w:hAnsi="Arial Unicode MS" w:eastAsia="Arial Unicode MS"/>
        </w:rPr>
        <w:t>选型单应列客户需求、推荐型号、满足项、不满足项、待核实项、配件清单和证据出处。正式交付前还要确认固件、线缆、接头、安装空间与维护方式。</w:t>
      </w:r>
    </w:p>
    <w:p>
      <w:r>
        <w:rPr>
          <w:rFonts w:ascii="Arial Unicode MS" w:hAnsi="Arial Unicode MS" w:eastAsia="Arial Unicode MS"/>
        </w:rPr>
        <w:t>产品数据表中的目录价为2026年10月未税人民币单价，不含安装、物流与可选配件。不同系列的计价单位可能是台、支或套，数量合计前应先检查单位。</w:t>
      </w:r>
    </w:p>
    <w:p>
      <w:pPr>
        <w:pStyle w:val="Heading2"/>
      </w:pPr>
      <w:r>
        <w:rPr>
          <w:rFonts w:ascii="Arial Unicode MS" w:hAnsi="Arial Unicode MS" w:eastAsia="Arial Unicode MS"/>
        </w:rPr>
        <w:t>替代与升级</w:t>
      </w:r>
    </w:p>
    <w:p>
      <w:r>
        <w:rPr>
          <w:rFonts w:ascii="Arial Unicode MS" w:hAnsi="Arial Unicode MS" w:eastAsia="Arial Unicode MS"/>
        </w:rPr>
        <w:t>只有接口、量程、环境、协议、供电与项目验收指标均满足时，才能推荐替代型号。更高价格或更大后缀不能自动证明全维度兼容。</w:t>
      </w:r>
    </w:p>
    <w:p>
      <w:r>
        <w:rPr>
          <w:rFonts w:ascii="Arial Unicode MS" w:hAnsi="Arial Unicode MS" w:eastAsia="Arial Unicode MS"/>
        </w:rPr>
        <w:t>LC-TH-300为4-20mA输出，LC-TH-400为RS485，即使400温度上限更高，也不能不修改接线和采集配置就直接替换。替代方案须经客户确认并按QMS-009留存变更记录。</w:t>
      </w:r>
    </w:p>
    <w:p>
      <w:pPr>
        <w:pStyle w:val="Heading2"/>
      </w:pPr>
      <w:r>
        <w:rPr>
          <w:rFonts w:ascii="Arial Unicode MS" w:hAnsi="Arial Unicode MS" w:eastAsia="Arial Unicode MS"/>
        </w:rPr>
        <w:t>资料版本与演练</w:t>
      </w:r>
    </w:p>
    <w:p>
      <w:r>
        <w:rPr>
          <w:rFonts w:ascii="Arial Unicode MS" w:hAnsi="Arial Unicode MS" w:eastAsia="Arial Unicode MS"/>
        </w:rPr>
        <w:t>PRD-TRN-003 V2.1生效日期为2026年10月1日。选型引用当前产品表V2.0，案例的历史配置仅用于理解应用。产品表修订记录保存旧值时，标注为历史值的内容不能用于新报价。</w:t>
      </w:r>
    </w:p>
    <w:p>
      <w:r>
        <w:rPr>
          <w:rFonts w:ascii="Arial Unicode MS" w:hAnsi="Arial Unicode MS" w:eastAsia="Arial Unicode MS"/>
        </w:rPr>
        <w:t>练习任务：为-25℃环境、需要4G且4000个点位的采集项目选择GW型号。应推荐LC-GW-400，并核对其-30℃下限、4G配置与4000点能力；不得只按点数推荐LC-GW-300。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PRD-TRN-003  V2.1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