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销售报价与合同培训手册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文件编号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生效日期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责任部门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SAL-004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V1.5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销售部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</w:rPr>
        <w:t>虚构企业与合成数据，仅用于 RAG 教学。所有客户、价格、参数与业绩均为模拟。</w:t>
      </w:r>
    </w:p>
    <w:p>
      <w:pPr>
        <w:pStyle w:val="Heading1"/>
      </w:pPr>
      <w:r>
        <w:rPr>
          <w:rFonts w:ascii="Arial Unicode MS" w:hAnsi="Arial Unicode MS" w:eastAsia="Arial Unicode MS"/>
        </w:rPr>
        <w:t>报价输入与价格口径</w:t>
      </w:r>
    </w:p>
    <w:p>
      <w:pPr>
        <w:pStyle w:val="Heading2"/>
      </w:pPr>
      <w:r>
        <w:rPr>
          <w:rFonts w:ascii="Arial Unicode MS" w:hAnsi="Arial Unicode MS" w:eastAsia="Arial Unicode MS"/>
        </w:rPr>
        <w:t>报价前需求核对</w:t>
      </w:r>
    </w:p>
    <w:p>
      <w:r>
        <w:rPr>
          <w:rFonts w:ascii="Arial Unicode MS" w:hAnsi="Arial Unicode MS" w:eastAsia="Arial Unicode MS"/>
        </w:rPr>
        <w:t>销售应取得需求单、型号清单、数量、交货地点和验收范围。对参数不清的需求先标记待核实，不把客户口头描述直接复制成产品性能保证。技术边界以PRD技术参数页和PRD-TRN-003为依据。</w:t>
      </w:r>
    </w:p>
    <w:p>
      <w:r>
        <w:rPr>
          <w:rFonts w:ascii="Arial Unicode MS" w:hAnsi="Arial Unicode MS" w:eastAsia="Arial Unicode MS"/>
        </w:rPr>
        <w:t>涉及防爆、贸易计量、长期浸水或高速闭环控制时，应先核实产品适用性。本资料没有提供可直接用于这些特殊用途的全套资格证明，销售不得自行补写认证编号。</w:t>
      </w:r>
    </w:p>
    <w:p>
      <w:pPr>
        <w:pStyle w:val="Heading2"/>
      </w:pPr>
      <w:r>
        <w:rPr>
          <w:rFonts w:ascii="Arial Unicode MS" w:hAnsi="Arial Unicode MS" w:eastAsia="Arial Unicode MS"/>
        </w:rPr>
        <w:t>价格与税费</w:t>
      </w:r>
    </w:p>
    <w:p>
      <w:r>
        <w:rPr>
          <w:rFonts w:ascii="Arial Unicode MS" w:hAnsi="Arial Unicode MS" w:eastAsia="Arial Unicode MS"/>
        </w:rPr>
        <w:t>产品目录价格均为2026年10月未税人民币单价，按型号目录计价单位计算。常规硬件报价使用13%的模拟增值税测算率，含税额按未税金额乘1.13计算，四舍五入保留两位小数。</w:t>
      </w:r>
    </w:p>
    <w:p>
      <w:r>
        <w:rPr>
          <w:rFonts w:ascii="Arial Unicode MS" w:hAnsi="Arial Unicode MS" w:eastAsia="Arial Unicode MS"/>
        </w:rPr>
        <w:t>安装费、运输费、蜂窝流量、相机镜头、视觉算法授权及电表外置CT均不包含在目录价中。报价单应逐项列示，不能将配件误写为免费标配。本条是教学测算口径，不构成税务建议。</w:t>
      </w:r>
    </w:p>
    <w:p>
      <w:pPr>
        <w:pStyle w:val="Heading2"/>
      </w:pPr>
      <w:r>
        <w:rPr>
          <w:rFonts w:ascii="Arial Unicode MS" w:hAnsi="Arial Unicode MS" w:eastAsia="Arial Unicode MS"/>
        </w:rPr>
        <w:t>报价有效期与交期</w:t>
      </w:r>
    </w:p>
    <w:p>
      <w:r>
        <w:rPr>
          <w:rFonts w:ascii="Arial Unicode MS" w:hAnsi="Arial Unicode MS" w:eastAsia="Arial Unicode MS"/>
        </w:rPr>
        <w:t>标准报价有效期为15个自然日，自报价日期次日起算。交期以订单确认、预付款到账、技术规格冻结三个条件全部满足之日为起点，按工作日计算，产品表中的常规交期仅作未定制订单的基准。</w:t>
      </w:r>
    </w:p>
    <w:p>
      <w:r>
        <w:rPr>
          <w:rFonts w:ascii="Arial Unicode MS" w:hAnsi="Arial Unicode MS" w:eastAsia="Arial Unicode MS"/>
        </w:rPr>
        <w:t>数量超过单型号50件、需要定制固件或要求特殊包装时，由供应链部重新确认。到货日期受物流影响，不得将出厂交期直接写成客户现场安装完成日期。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折扣与合同审批</w:t>
      </w:r>
    </w:p>
    <w:p>
      <w:pPr>
        <w:pStyle w:val="Heading2"/>
      </w:pPr>
      <w:r>
        <w:rPr>
          <w:rFonts w:ascii="Arial Unicode MS" w:hAnsi="Arial Unicode MS" w:eastAsia="Arial Unicode MS"/>
        </w:rPr>
        <w:t>折扣权限边界</w:t>
      </w:r>
    </w:p>
    <w:p>
      <w:r>
        <w:rPr>
          <w:rFonts w:ascii="Arial Unicode MS" w:hAnsi="Arial Unicode MS" w:eastAsia="Arial Unicode MS"/>
        </w:rPr>
        <w:t>目录价折扣率不超过5%由销售主管审批；超过5%且不超过10%由销售总监审批；超过10%由经理审批。折扣率=(目录未税单价-成交未税单价)/目录未税单价。</w:t>
      </w:r>
    </w:p>
    <w:p>
      <w:r>
        <w:rPr>
          <w:rFonts w:ascii="Arial Unicode MS" w:hAnsi="Arial Unicode MS" w:eastAsia="Arial Unicode MS"/>
        </w:rPr>
        <w:t>审批人不得是该订单销售经办人。金额恰好5%归销售主管，恰好10%归销售总监。涉及低于成本的特价，除上述审批外还须财务复核，不允许以赠品隐性降低成交价规避权限。</w:t>
      </w:r>
    </w:p>
    <w:p>
      <w:pPr>
        <w:pStyle w:val="Heading2"/>
      </w:pPr>
      <w:r>
        <w:rPr>
          <w:rFonts w:ascii="Arial Unicode MS" w:hAnsi="Arial Unicode MS" w:eastAsia="Arial Unicode MS"/>
        </w:rPr>
        <w:t>账期与收款</w:t>
      </w:r>
    </w:p>
    <w:p>
      <w:r>
        <w:rPr>
          <w:rFonts w:ascii="Arial Unicode MS" w:hAnsi="Arial Unicode MS" w:eastAsia="Arial Unicode MS"/>
        </w:rPr>
        <w:t>标准收款为30%预付款、60%发货前款、10%验收后30个自然日内尾款。既有授信客户可采用已批准账期，新客户不能引用其他客户案例中的账期作为自身授信依据。</w:t>
      </w:r>
    </w:p>
    <w:p>
      <w:r>
        <w:rPr>
          <w:rFonts w:ascii="Arial Unicode MS" w:hAnsi="Arial Unicode MS" w:eastAsia="Arial Unicode MS"/>
        </w:rPr>
        <w:t>付款比例和开票节点应写入合同。验收争议不自动允许销售承诺免除全部尾款；销售需将争议范围、证据与整改计划转交交付及财务联合处理。</w:t>
      </w:r>
    </w:p>
    <w:p>
      <w:pPr>
        <w:pStyle w:val="Heading2"/>
      </w:pPr>
      <w:r>
        <w:rPr>
          <w:rFonts w:ascii="Arial Unicode MS" w:hAnsi="Arial Unicode MS" w:eastAsia="Arial Unicode MS"/>
        </w:rPr>
        <w:t>合同评审必备项</w:t>
      </w:r>
    </w:p>
    <w:p>
      <w:r>
        <w:rPr>
          <w:rFonts w:ascii="Arial Unicode MS" w:hAnsi="Arial Unicode MS" w:eastAsia="Arial Unicode MS"/>
        </w:rPr>
        <w:t>评审内容包括准确型号、配件、固件版本、服务范围、交付起算条件、验收指标、质保起算日、知识产权和数据权限。任何承诺均应有责任部门确认。</w:t>
      </w:r>
    </w:p>
    <w:p>
      <w:r>
        <w:rPr>
          <w:rFonts w:ascii="Arial Unicode MS" w:hAnsi="Arial Unicode MS" w:eastAsia="Arial Unicode MS"/>
        </w:rPr>
        <w:t>对客户要求的无限责任、源代码交付或排他合作，按GOV-001第五条升级复核。合同评审并不替代技术评审，销售总监不能单独批准超出物理量程的使用要求。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变更与商务争议</w:t>
      </w:r>
    </w:p>
    <w:p>
      <w:pPr>
        <w:pStyle w:val="Heading2"/>
      </w:pPr>
      <w:r>
        <w:rPr>
          <w:rFonts w:ascii="Arial Unicode MS" w:hAnsi="Arial Unicode MS" w:eastAsia="Arial Unicode MS"/>
        </w:rPr>
        <w:t>订单变更处理</w:t>
      </w:r>
    </w:p>
    <w:p>
      <w:r>
        <w:rPr>
          <w:rFonts w:ascii="Arial Unicode MS" w:hAnsi="Arial Unicode MS" w:eastAsia="Arial Unicode MS"/>
        </w:rPr>
        <w:t>客户变更型号、数量或接口时，销售应记录旧配置、新配置、价格与交期影响，经交付及供应链确认后取得客户书面确认。已投产的定制订单须额外核实不可退物料。</w:t>
      </w:r>
    </w:p>
    <w:p>
      <w:r>
        <w:rPr>
          <w:rFonts w:ascii="Arial Unicode MS" w:hAnsi="Arial Unicode MS" w:eastAsia="Arial Unicode MS"/>
        </w:rPr>
        <w:t>LC-TH-300切换至LC-TH-400涉及输出接口变化，必须检查采集端与布线。不得以型号数字增加为由认定无需变更技术附件。变更后的报价应使用新版本号并保留旧报价。</w:t>
      </w:r>
    </w:p>
    <w:p>
      <w:pPr>
        <w:pStyle w:val="Heading2"/>
      </w:pPr>
      <w:r>
        <w:rPr>
          <w:rFonts w:ascii="Arial Unicode MS" w:hAnsi="Arial Unicode MS" w:eastAsia="Arial Unicode MS"/>
        </w:rPr>
        <w:t>历史案例价格使用</w:t>
      </w:r>
    </w:p>
    <w:p>
      <w:r>
        <w:rPr>
          <w:rFonts w:ascii="Arial Unicode MS" w:hAnsi="Arial Unicode MS" w:eastAsia="Arial Unicode MS"/>
        </w:rPr>
        <w:t>CASE文件的采购金额反映特定年份、配置和服务范围。销售可引用案例说明应用路径，不得把历史项目的平均设备价格当成当前目录价，也不得将项目节约额承诺给所有客户。</w:t>
      </w:r>
    </w:p>
    <w:p>
      <w:r>
        <w:rPr>
          <w:rFonts w:ascii="Arial Unicode MS" w:hAnsi="Arial Unicode MS" w:eastAsia="Arial Unicode MS"/>
        </w:rPr>
        <w:t>客户询问投资回收时，应单列项目投资、能源单价、运行小时和可归因比例。若缺失关键输入，应提示无法可靠计算，不从设备购价自行推导节约金额。</w:t>
      </w:r>
    </w:p>
    <w:p>
      <w:pPr>
        <w:pStyle w:val="Heading2"/>
      </w:pPr>
      <w:r>
        <w:rPr>
          <w:rFonts w:ascii="Arial Unicode MS" w:hAnsi="Arial Unicode MS" w:eastAsia="Arial Unicode MS"/>
        </w:rPr>
        <w:t>记录与修订</w:t>
      </w:r>
    </w:p>
    <w:p>
      <w:r>
        <w:rPr>
          <w:rFonts w:ascii="Arial Unicode MS" w:hAnsi="Arial Unicode MS" w:eastAsia="Arial Unicode MS"/>
        </w:rPr>
        <w:t>报价、折扣审批、合同与变更单保存十年；客户联系人资料按SEC-006控制最小范围。报价日志至少包含报价日期、有效期、版本、经办人与审批人。</w:t>
      </w:r>
    </w:p>
    <w:p>
      <w:r>
        <w:rPr>
          <w:rFonts w:ascii="Arial Unicode MS" w:hAnsi="Arial Unicode MS" w:eastAsia="Arial Unicode MS"/>
        </w:rPr>
        <w:t>SAL-004 V1.5于2026年10月1日生效，替代2025年10月的V1.4。旧版主管折扣上限为3%，当前为5%；旧版内容只在修订记录中保留，不再用于新报价。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SAL-004  V1.5  |  合成教学数据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澜川智联科技有限公司  内部培训资料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12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