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</w:rPr>
        <w:t>项目交付与验收培训手册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文件编号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生效日期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责任部门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DEL-005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V2.0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交付服务部</w:t>
            </w:r>
          </w:p>
        </w:tc>
      </w:tr>
    </w:tbl>
    <w:p>
      <w:pPr>
        <w:spacing w:before="160"/>
      </w:pPr>
      <w:r>
        <w:rPr>
          <w:rFonts w:ascii="Arial Unicode MS" w:hAnsi="Arial Unicode MS" w:eastAsia="Arial Unicode MS"/>
        </w:rPr>
        <w:t>虚构企业与合成数据，仅用于 RAG 教学。所有客户、价格、参数与业绩均为模拟。</w:t>
      </w:r>
    </w:p>
    <w:p>
      <w:pPr>
        <w:pStyle w:val="Heading1"/>
      </w:pPr>
      <w:r>
        <w:rPr>
          <w:rFonts w:ascii="Arial Unicode MS" w:hAnsi="Arial Unicode MS" w:eastAsia="Arial Unicode MS"/>
        </w:rPr>
        <w:t>项目启动与设计冻结</w:t>
      </w:r>
    </w:p>
    <w:p>
      <w:pPr>
        <w:pStyle w:val="Heading2"/>
      </w:pPr>
      <w:r>
        <w:rPr>
          <w:rFonts w:ascii="Arial Unicode MS" w:hAnsi="Arial Unicode MS" w:eastAsia="Arial Unicode MS"/>
        </w:rPr>
        <w:t>启动输入</w:t>
      </w:r>
    </w:p>
    <w:p>
      <w:r>
        <w:rPr>
          <w:rFonts w:ascii="Arial Unicode MS" w:hAnsi="Arial Unicode MS" w:eastAsia="Arial Unicode MS"/>
        </w:rPr>
        <w:t>项目经理在合同生效后两个工作日内建立项目档案，记录CASE或项目编号、客户接口人、产品清单、技术附件和计划。启动会确认设备范围、现场准备、停机窗口和双方职责。</w:t>
      </w:r>
    </w:p>
    <w:p>
      <w:r>
        <w:rPr>
          <w:rFonts w:ascii="Arial Unicode MS" w:hAnsi="Arial Unicode MS" w:eastAsia="Arial Unicode MS"/>
        </w:rPr>
        <w:t>产品表给出的性能上限不是项目默认验收目标。项目经理应将采集点数、上报周期、完整率、误报率或计量误差逐一写入验收附件，并明确分母与观察周期。</w:t>
      </w:r>
    </w:p>
    <w:p>
      <w:pPr>
        <w:pStyle w:val="Heading2"/>
      </w:pPr>
      <w:r>
        <w:rPr>
          <w:rFonts w:ascii="Arial Unicode MS" w:hAnsi="Arial Unicode MS" w:eastAsia="Arial Unicode MS"/>
        </w:rPr>
        <w:t>点表与网络审查</w:t>
      </w:r>
    </w:p>
    <w:p>
      <w:r>
        <w:rPr>
          <w:rFonts w:ascii="Arial Unicode MS" w:hAnsi="Arial Unicode MS" w:eastAsia="Arial Unicode MS"/>
        </w:rPr>
        <w:t>点表包含设备型号、序列号、点位名称、单位、数据类型、缩放系数、地址和刷新周期。GW采集Modbus时应区分寄存器地址表示法，联调前用已知量验证缩放。</w:t>
      </w:r>
    </w:p>
    <w:p>
      <w:r>
        <w:rPr>
          <w:rFonts w:ascii="Arial Unicode MS" w:hAnsi="Arial Unicode MS" w:eastAsia="Arial Unicode MS"/>
        </w:rPr>
        <w:t>网络方案标明IP段、VLAN、主从角色和云连接方向。VS节点与WS站的绑定需记录节点编号和上报周期。未经客户信息部门批准不得直接将控制网桥接到互联网。</w:t>
      </w:r>
    </w:p>
    <w:p>
      <w:pPr>
        <w:pStyle w:val="Heading2"/>
      </w:pPr>
      <w:r>
        <w:rPr>
          <w:rFonts w:ascii="Arial Unicode MS" w:hAnsi="Arial Unicode MS" w:eastAsia="Arial Unicode MS"/>
        </w:rPr>
        <w:t>设计冻结条件</w:t>
      </w:r>
    </w:p>
    <w:p>
      <w:r>
        <w:rPr>
          <w:rFonts w:ascii="Arial Unicode MS" w:hAnsi="Arial Unicode MS" w:eastAsia="Arial Unicode MS"/>
        </w:rPr>
        <w:t>产品型号、固件、点表、布线、供电和验收指标经双方确认后冻结。销售的未关闭待核实项须转入项目问题清单，并指定责任人与关闭日期。</w:t>
      </w:r>
    </w:p>
    <w:p>
      <w:r>
        <w:rPr>
          <w:rFonts w:ascii="Arial Unicode MS" w:hAnsi="Arial Unicode MS" w:eastAsia="Arial Unicode MS"/>
        </w:rPr>
        <w:t>首次现场实施前至少完成一次内部预演。涉及软件升级时保留原固件与配置备份，评估回滚路径；GW-400断网缓存容量8GB是否足够，应依据实际数据速率估算而非只看点数。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施工与试运行</w:t>
      </w:r>
    </w:p>
    <w:p>
      <w:pPr>
        <w:pStyle w:val="Heading2"/>
      </w:pPr>
      <w:r>
        <w:rPr>
          <w:rFonts w:ascii="Arial Unicode MS" w:hAnsi="Arial Unicode MS" w:eastAsia="Arial Unicode MS"/>
        </w:rPr>
        <w:t>现场作业安排</w:t>
      </w:r>
    </w:p>
    <w:p>
      <w:r>
        <w:rPr>
          <w:rFonts w:ascii="Arial Unicode MS" w:hAnsi="Arial Unicode MS" w:eastAsia="Arial Unicode MS"/>
        </w:rPr>
        <w:t>现场施工按OPS-007执行。项目经理核验客户许可、停机窗口、电气隔离与作业人员资质。电表、压力和流量安装分别确认断电、泄压和工艺介质条件。</w:t>
      </w:r>
    </w:p>
    <w:p>
      <w:r>
        <w:rPr>
          <w:rFonts w:ascii="Arial Unicode MS" w:hAnsi="Arial Unicode MS" w:eastAsia="Arial Unicode MS"/>
        </w:rPr>
        <w:t>每台设备记录安装位置、供电测量值、接线照片和初始配置。配件序列号与主机分开记录，避免后续将外置CT误认为电表本体内置部件。</w:t>
      </w:r>
    </w:p>
    <w:p>
      <w:pPr>
        <w:pStyle w:val="Heading2"/>
      </w:pPr>
      <w:r>
        <w:rPr>
          <w:rFonts w:ascii="Arial Unicode MS" w:hAnsi="Arial Unicode MS" w:eastAsia="Arial Unicode MS"/>
        </w:rPr>
        <w:t>联调与连续观察</w:t>
      </w:r>
    </w:p>
    <w:p>
      <w:r>
        <w:rPr>
          <w:rFonts w:ascii="Arial Unicode MS" w:hAnsi="Arial Unicode MS" w:eastAsia="Arial Unicode MS"/>
        </w:rPr>
        <w:t>常规项目连续试运行不少于七个自然日，至少覆盖一个完整生产周期；合同约定更长时从其约定。完整率=实收有效记录数/按配置应收记录数，剔除计划停机必须经双方确认。</w:t>
      </w:r>
    </w:p>
    <w:p>
      <w:r>
        <w:rPr>
          <w:rFonts w:ascii="Arial Unicode MS" w:hAnsi="Arial Unicode MS" w:eastAsia="Arial Unicode MS"/>
        </w:rPr>
        <w:t>发生断网时先验证本地采集与缓存，再恢复网络观察补传。不能只看云端页面恢复就判定补传成功，应核对缺口时间段的记录数量与时间戳。</w:t>
      </w:r>
    </w:p>
    <w:p>
      <w:pPr>
        <w:pStyle w:val="Heading2"/>
      </w:pPr>
      <w:r>
        <w:rPr>
          <w:rFonts w:ascii="Arial Unicode MS" w:hAnsi="Arial Unicode MS" w:eastAsia="Arial Unicode MS"/>
        </w:rPr>
        <w:t>缺陷等级与关闭</w:t>
      </w:r>
    </w:p>
    <w:p>
      <w:r>
        <w:rPr>
          <w:rFonts w:ascii="Arial Unicode MS" w:hAnsi="Arial Unicode MS" w:eastAsia="Arial Unicode MS"/>
        </w:rPr>
        <w:t>阻断验收的缺陷包括核心数据无法采集、关键指标不达标、安全隐患及不可恢复的数据丢失。一般缺陷可在客户书面同意下列入遗留清单，明确责任人和期限。</w:t>
      </w:r>
    </w:p>
    <w:p>
      <w:r>
        <w:rPr>
          <w:rFonts w:ascii="Arial Unicode MS" w:hAnsi="Arial Unicode MS" w:eastAsia="Arial Unicode MS"/>
        </w:rPr>
        <w:t>整改后复测受影响指标。不可用延长采样周期的办法悄悄减少应收记录数，使完整率看似提高；任何配置变更均应重新确认验收口径。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验收与移交</w:t>
      </w:r>
    </w:p>
    <w:p>
      <w:pPr>
        <w:pStyle w:val="Heading2"/>
      </w:pPr>
      <w:r>
        <w:rPr>
          <w:rFonts w:ascii="Arial Unicode MS" w:hAnsi="Arial Unicode MS" w:eastAsia="Arial Unicode MS"/>
        </w:rPr>
        <w:t>验收资料包</w:t>
      </w:r>
    </w:p>
    <w:p>
      <w:r>
        <w:rPr>
          <w:rFonts w:ascii="Arial Unicode MS" w:hAnsi="Arial Unicode MS" w:eastAsia="Arial Unicode MS"/>
        </w:rPr>
        <w:t>验收资料包括配置清单、竣工点表、版本记录、测试原始数据、问题关闭证据、培训签到和备份恢复说明。客户签字人应具有合同约定的验收权限。</w:t>
      </w:r>
    </w:p>
    <w:p>
      <w:r>
        <w:rPr>
          <w:rFonts w:ascii="Arial Unicode MS" w:hAnsi="Arial Unicode MS" w:eastAsia="Arial Unicode MS"/>
        </w:rPr>
        <w:t>未签署验收单不得在内部系统标记正式验收通过。现场口头满意只登记为反馈；有争议项应写明范围与补测安排，避免模糊记录导致质保起算争议。</w:t>
      </w:r>
    </w:p>
    <w:p>
      <w:pPr>
        <w:pStyle w:val="Heading2"/>
      </w:pPr>
      <w:r>
        <w:rPr>
          <w:rFonts w:ascii="Arial Unicode MS" w:hAnsi="Arial Unicode MS" w:eastAsia="Arial Unicode MS"/>
        </w:rPr>
        <w:t>质保起算与责任</w:t>
      </w:r>
    </w:p>
    <w:p>
      <w:r>
        <w:rPr>
          <w:rFonts w:ascii="Arial Unicode MS" w:hAnsi="Arial Unicode MS" w:eastAsia="Arial Unicode MS"/>
        </w:rPr>
        <w:t>标准硬件质保自客户签署验收单之日起算；如到货后90个自然日仍未验收且原因不归供应商，质保自到货后第91日开始。具体期限按各产品型号目录所列月数。</w:t>
      </w:r>
    </w:p>
    <w:p>
      <w:r>
        <w:rPr>
          <w:rFonts w:ascii="Arial Unicode MS" w:hAnsi="Arial Unicode MS" w:eastAsia="Arial Unicode MS"/>
        </w:rPr>
        <w:t>质保覆盖正常使用条件下的硬件制造缺陷，不含易耗电池、外力损坏、超量程使用和未经授权改装。特殊合同条款须在评审中明确，不得用案例中的免费服务推定全部客户同样享有。</w:t>
      </w:r>
    </w:p>
    <w:p>
      <w:pPr>
        <w:pStyle w:val="Heading2"/>
      </w:pPr>
      <w:r>
        <w:rPr>
          <w:rFonts w:ascii="Arial Unicode MS" w:hAnsi="Arial Unicode MS" w:eastAsia="Arial Unicode MS"/>
        </w:rPr>
        <w:t>项目复盘与生效</w:t>
      </w:r>
    </w:p>
    <w:p>
      <w:r>
        <w:rPr>
          <w:rFonts w:ascii="Arial Unicode MS" w:hAnsi="Arial Unicode MS" w:eastAsia="Arial Unicode MS"/>
        </w:rPr>
        <w:t>验收后十个工作日内完成复盘，分开记录产品限制、现场约束和流程问题。形成对外案例前按SEC-006取得客户授权，只发布许可范围内的文字、图片和数据。</w:t>
      </w:r>
    </w:p>
    <w:p>
      <w:r>
        <w:rPr>
          <w:rFonts w:ascii="Arial Unicode MS" w:hAnsi="Arial Unicode MS" w:eastAsia="Arial Unicode MS"/>
        </w:rPr>
        <w:t>DEL-005 V2.0于2026年10月1日生效。本版将完整率定义和质保起算例外集中说明，连续试运行的常规下限仍为七个自然日。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DEL-005  V2.0  |  合成教学数据  |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澜川智联科技有限公司  内部培训资料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hAnsi="Arial Unicode MS" w:eastAsia="Arial Unicode MS" w:cs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12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2" w:lineRule="auto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12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