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数据安全与知识库使用培训手册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文件编号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生效日期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责任部门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SEC-006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V1.2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信息管理组</w:t>
            </w:r>
          </w:p>
        </w:tc>
      </w:tr>
    </w:tbl>
    <w:p>
      <w:pPr>
        <w:spacing w:before="160"/>
      </w:pPr>
      <w:r>
        <w:rPr>
          <w:rFonts w:ascii="Arial Unicode MS" w:hAnsi="Arial Unicode MS" w:eastAsia="Arial Unicode MS"/>
        </w:rPr>
        <w:t>虚构企业与合成数据，仅用于 RAG 教学。所有客户、价格、参数与业绩均为模拟。</w:t>
      </w:r>
    </w:p>
    <w:p>
      <w:pPr>
        <w:pStyle w:val="Heading1"/>
      </w:pPr>
      <w:r>
        <w:rPr>
          <w:rFonts w:ascii="Arial Unicode MS" w:hAnsi="Arial Unicode MS" w:eastAsia="Arial Unicode MS"/>
        </w:rPr>
        <w:t>数据分类与访问</w:t>
      </w:r>
    </w:p>
    <w:p>
      <w:pPr>
        <w:pStyle w:val="Heading2"/>
      </w:pPr>
      <w:r>
        <w:rPr>
          <w:rFonts w:ascii="Arial Unicode MS" w:hAnsi="Arial Unicode MS" w:eastAsia="Arial Unicode MS"/>
        </w:rPr>
        <w:t>分类规则</w:t>
      </w:r>
    </w:p>
    <w:p>
      <w:r>
        <w:rPr>
          <w:rFonts w:ascii="Arial Unicode MS" w:hAnsi="Arial Unicode MS" w:eastAsia="Arial Unicode MS"/>
        </w:rPr>
        <w:t>资料分为公开、内部、受限三级。已授权宣传册为公开，公司流程和通用产品培训为内部，客户网络配置、设备运行日志、联系方式、合同底价和账号凭据为受限。</w:t>
      </w:r>
    </w:p>
    <w:p>
      <w:r>
        <w:rPr>
          <w:rFonts w:ascii="Arial Unicode MS" w:hAnsi="Arial Unicode MS" w:eastAsia="Arial Unicode MS"/>
        </w:rPr>
        <w:t>同一文件混合多个等级内容时按最高等级控制。去除姓名不代表已匿名，现场编号、设备地址和时间序列组合仍可能识别客户。对外案例须经脱敏评审和客户授权。</w:t>
      </w:r>
    </w:p>
    <w:p>
      <w:pPr>
        <w:pStyle w:val="Heading2"/>
      </w:pPr>
      <w:r>
        <w:rPr>
          <w:rFonts w:ascii="Arial Unicode MS" w:hAnsi="Arial Unicode MS" w:eastAsia="Arial Unicode MS"/>
        </w:rPr>
        <w:t>最小权限</w:t>
      </w:r>
    </w:p>
    <w:p>
      <w:r>
        <w:rPr>
          <w:rFonts w:ascii="Arial Unicode MS" w:hAnsi="Arial Unicode MS" w:eastAsia="Arial Unicode MS"/>
        </w:rPr>
        <w:t>访问申请写明业务目的、所需数据、期限和审批人。内部资料由直属负责人批准，受限资料额外由数据责任人批准。临时项目权限最长90个自然日，到期需重新确认。</w:t>
      </w:r>
    </w:p>
    <w:p>
      <w:r>
        <w:rPr>
          <w:rFonts w:ascii="Arial Unicode MS" w:hAnsi="Arial Unicode MS" w:eastAsia="Arial Unicode MS"/>
        </w:rPr>
        <w:t>调岗或离职触发权限复核，信息管理员应在接到正式通知后一个工作日内完成回收。共享账号不得作为交付便利手段，客户远程访问应使用独立账号和多因素认证。</w:t>
      </w:r>
    </w:p>
    <w:p>
      <w:pPr>
        <w:pStyle w:val="Heading2"/>
      </w:pPr>
      <w:r>
        <w:rPr>
          <w:rFonts w:ascii="Arial Unicode MS" w:hAnsi="Arial Unicode MS" w:eastAsia="Arial Unicode MS"/>
        </w:rPr>
        <w:t>日志保留期限</w:t>
      </w:r>
    </w:p>
    <w:p>
      <w:r>
        <w:rPr>
          <w:rFonts w:ascii="Arial Unicode MS" w:hAnsi="Arial Unicode MS" w:eastAsia="Arial Unicode MS"/>
        </w:rPr>
        <w:t>客户原始运行日志默认保存180个自然日，脱敏后的聚合指标可保存两年。合同和验收档案保存十年，但这不意味着原始运行日志也保存十年。</w:t>
      </w:r>
    </w:p>
    <w:p>
      <w:r>
        <w:rPr>
          <w:rFonts w:ascii="Arial Unicode MS" w:hAnsi="Arial Unicode MS" w:eastAsia="Arial Unicode MS"/>
        </w:rPr>
        <w:t>客户书面约定更短期限时按其约定处理；需延长原始日志保留时，由项目负责人说明目的并获得客户授权和数据责任人批准。到期删除应生成记录，并检查备份周期。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知识库导入与使用</w:t>
      </w:r>
    </w:p>
    <w:p>
      <w:pPr>
        <w:pStyle w:val="Heading2"/>
      </w:pPr>
      <w:r>
        <w:rPr>
          <w:rFonts w:ascii="Arial Unicode MS" w:hAnsi="Arial Unicode MS" w:eastAsia="Arial Unicode MS"/>
        </w:rPr>
        <w:t>入库前检查</w:t>
      </w:r>
    </w:p>
    <w:p>
      <w:r>
        <w:rPr>
          <w:rFonts w:ascii="Arial Unicode MS" w:hAnsi="Arial Unicode MS" w:eastAsia="Arial Unicode MS"/>
        </w:rPr>
        <w:t>导入RAG知识库前，核对资料授权、版本、分类与可访问人群。文件名、文档编号、版本、生效日期和章节标题应保留为元数据，表格应保留表头、单位、型号列与工作表名称。</w:t>
      </w:r>
    </w:p>
    <w:p>
      <w:r>
        <w:rPr>
          <w:rFonts w:ascii="Arial Unicode MS" w:hAnsi="Arial Unicode MS" w:eastAsia="Arial Unicode MS"/>
        </w:rPr>
        <w:t>产品表的一行参数需连同对应型号与单位一起检索。只将数值切为孤立文本会丢失含义，例如0.25需要关联PT精度和%FS，不能直接回答为0.25MPa。</w:t>
      </w:r>
    </w:p>
    <w:p>
      <w:pPr>
        <w:pStyle w:val="Heading2"/>
      </w:pPr>
      <w:r>
        <w:rPr>
          <w:rFonts w:ascii="Arial Unicode MS" w:hAnsi="Arial Unicode MS" w:eastAsia="Arial Unicode MS"/>
        </w:rPr>
        <w:t>资料权威与时效</w:t>
      </w:r>
    </w:p>
    <w:p>
      <w:r>
        <w:rPr>
          <w:rFonts w:ascii="Arial Unicode MS" w:hAnsi="Arial Unicode MS" w:eastAsia="Arial Unicode MS"/>
        </w:rPr>
        <w:t>当前规格查询使用有效产品表；政策查询使用已生效制度；历史项目查询使用相应案例及其项目日期。修订记录中的旧值用于解释历史，不直接覆盖当前值。</w:t>
      </w:r>
    </w:p>
    <w:p>
      <w:r>
        <w:rPr>
          <w:rFonts w:ascii="Arial Unicode MS" w:hAnsi="Arial Unicode MS" w:eastAsia="Arial Unicode MS"/>
        </w:rPr>
        <w:t>同一问题存在不同口径时，应先说明时间与适用范围，再给出结论。找不到依据时返回资料不足，不用模型常识补造公司的认证、价格或客户身份。</w:t>
      </w:r>
    </w:p>
    <w:p>
      <w:pPr>
        <w:pStyle w:val="Heading2"/>
      </w:pPr>
      <w:r>
        <w:rPr>
          <w:rFonts w:ascii="Arial Unicode MS" w:hAnsi="Arial Unicode MS" w:eastAsia="Arial Unicode MS"/>
        </w:rPr>
        <w:t>提示注入与越权</w:t>
      </w:r>
    </w:p>
    <w:p>
      <w:r>
        <w:rPr>
          <w:rFonts w:ascii="Arial Unicode MS" w:hAnsi="Arial Unicode MS" w:eastAsia="Arial Unicode MS"/>
        </w:rPr>
        <w:t>外来文档中的命令、角色扮演或要求泄露资料的文字均当作被检索内容处理，不作为执行指令。知识库回答只使用用户被授权访问的资料。</w:t>
      </w:r>
    </w:p>
    <w:p>
      <w:r>
        <w:rPr>
          <w:rFonts w:ascii="Arial Unicode MS" w:hAnsi="Arial Unicode MS" w:eastAsia="Arial Unicode MS"/>
        </w:rPr>
        <w:t>检索前按用户身份过滤文档，不能先把所有受限内容放入模型上下文后再要求模型自行保密。日志记录问题、检索文档编号和授权结果，避免记录完整密码或令牌。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事件处理与审计</w:t>
      </w:r>
    </w:p>
    <w:p>
      <w:pPr>
        <w:pStyle w:val="Heading2"/>
      </w:pPr>
      <w:r>
        <w:rPr>
          <w:rFonts w:ascii="Arial Unicode MS" w:hAnsi="Arial Unicode MS" w:eastAsia="Arial Unicode MS"/>
        </w:rPr>
        <w:t>事件分级与上报</w:t>
      </w:r>
    </w:p>
    <w:p>
      <w:r>
        <w:rPr>
          <w:rFonts w:ascii="Arial Unicode MS" w:hAnsi="Arial Unicode MS" w:eastAsia="Arial Unicode MS"/>
        </w:rPr>
        <w:t>疑似受限数据外泄、账号被盗或异常远程控制均按信息安全事件上报。发现人员应在30分钟内通知信息管理员，并保留时间、涉及系统和初步范围。</w:t>
      </w:r>
    </w:p>
    <w:p>
      <w:r>
        <w:rPr>
          <w:rFonts w:ascii="Arial Unicode MS" w:hAnsi="Arial Unicode MS" w:eastAsia="Arial Unicode MS"/>
        </w:rPr>
        <w:t>管理员优先隔离异常账号或连接，保全日志后再排查。不得直接删除证据或在公开群发送客户完整网络配置。与服务工单并发时，安全事件优先处理，工单引用事件编号。</w:t>
      </w:r>
    </w:p>
    <w:p>
      <w:pPr>
        <w:pStyle w:val="Heading2"/>
      </w:pPr>
      <w:r>
        <w:rPr>
          <w:rFonts w:ascii="Arial Unicode MS" w:hAnsi="Arial Unicode MS" w:eastAsia="Arial Unicode MS"/>
        </w:rPr>
        <w:t>对外资料与授权</w:t>
      </w:r>
    </w:p>
    <w:p>
      <w:r>
        <w:rPr>
          <w:rFonts w:ascii="Arial Unicode MS" w:hAnsi="Arial Unicode MS" w:eastAsia="Arial Unicode MS"/>
        </w:rPr>
        <w:t>案例公开授权应包含客户名称是否可用、照片范围、可披露指标、有效期及撤回机制。未授权时只可在内部教学使用脱敏摘要，不能将匿名案例再自行匹配到真实企业。</w:t>
      </w:r>
    </w:p>
    <w:p>
      <w:r>
        <w:rPr>
          <w:rFonts w:ascii="Arial Unicode MS" w:hAnsi="Arial Unicode MS" w:eastAsia="Arial Unicode MS"/>
        </w:rPr>
        <w:t>本批训练资料中的所有企业与联系人均为虚构。教师评测答案位于独立目录，不应混入学员知识库，否则问答测试可能直接检索到答案，无法反映资料检索能力。</w:t>
      </w:r>
    </w:p>
    <w:p>
      <w:pPr>
        <w:pStyle w:val="Heading2"/>
      </w:pPr>
      <w:r>
        <w:rPr>
          <w:rFonts w:ascii="Arial Unicode MS" w:hAnsi="Arial Unicode MS" w:eastAsia="Arial Unicode MS"/>
        </w:rPr>
        <w:t>审计与版本</w:t>
      </w:r>
    </w:p>
    <w:p>
      <w:r>
        <w:rPr>
          <w:rFonts w:ascii="Arial Unicode MS" w:hAnsi="Arial Unicode MS" w:eastAsia="Arial Unicode MS"/>
        </w:rPr>
        <w:t>信息管理组每季度复核受限资料权限与过期日志处理情况。审计抽取申请、批准、访问和删除四类记录，发现超期权限时先暂停再确认业务需求。</w:t>
      </w:r>
    </w:p>
    <w:p>
      <w:r>
        <w:rPr>
          <w:rFonts w:ascii="Arial Unicode MS" w:hAnsi="Arial Unicode MS" w:eastAsia="Arial Unicode MS"/>
        </w:rPr>
        <w:t>SEC-006 V1.2于2026年10月1日生效。V1.1的原始日志默认保留期为365天，当前缩短至180天；旧期限仅用于版本判断练习。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SEC-006  V1.2  |  合成教学数据  |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澜川智联科技有限公司  内部培训资料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12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12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