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现场安装与作业安全培训手册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OPS-007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V1.4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交付服务部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出发前准备与现场确认</w:t>
      </w:r>
    </w:p>
    <w:p>
      <w:pPr>
        <w:pStyle w:val="Heading2"/>
      </w:pPr>
      <w:r>
        <w:rPr>
          <w:rFonts w:ascii="Arial Unicode MS" w:hAnsi="Arial Unicode MS" w:eastAsia="Arial Unicode MS"/>
        </w:rPr>
        <w:t>作业许可与角色</w:t>
      </w:r>
    </w:p>
    <w:p>
      <w:r>
        <w:rPr>
          <w:rFonts w:ascii="Arial Unicode MS" w:hAnsi="Arial Unicode MS" w:eastAsia="Arial Unicode MS"/>
        </w:rPr>
        <w:t>本手册用于规范现场实施流程，不能替代客户作业许可、实际设备操作规程或岗位资质。项目经理负责协调，作业负责人核验隔离措施，现场人员在自身授权范围内操作。</w:t>
      </w:r>
    </w:p>
    <w:p>
      <w:r>
        <w:rPr>
          <w:rFonts w:ascii="Arial Unicode MS" w:hAnsi="Arial Unicode MS" w:eastAsia="Arial Unicode MS"/>
        </w:rPr>
        <w:t>涉及配电、压力管路、高处或受限空间时，由客户认可的具备相应资格人员执行。培训合格不自动授予特种作业资格。现场发现条件与方案不一致时停止相关作业并上报。</w:t>
      </w:r>
    </w:p>
    <w:p>
      <w:pPr>
        <w:pStyle w:val="Heading2"/>
      </w:pPr>
      <w:r>
        <w:rPr>
          <w:rFonts w:ascii="Arial Unicode MS" w:hAnsi="Arial Unicode MS" w:eastAsia="Arial Unicode MS"/>
        </w:rPr>
        <w:t>工具与文件</w:t>
      </w:r>
    </w:p>
    <w:p>
      <w:r>
        <w:rPr>
          <w:rFonts w:ascii="Arial Unicode MS" w:hAnsi="Arial Unicode MS" w:eastAsia="Arial Unicode MS"/>
        </w:rPr>
        <w:t>出发前准备已批准方案、产品接线图、配置备份、检定或校准状态有效的工具及个人防护用品。所有测试线、适配器和螺纹转换件应按清单核对，禁止到场后临时拼接替代。</w:t>
      </w:r>
    </w:p>
    <w:p>
      <w:r>
        <w:rPr>
          <w:rFonts w:ascii="Arial Unicode MS" w:hAnsi="Arial Unicode MS" w:eastAsia="Arial Unicode MS"/>
        </w:rPr>
        <w:t>对LC-EM系列核对CT规格及变比；对LC-PT系列核对介质、量程和过程接头；对LC-FL系列核对管径、壁厚和直管段；对无线设备准备现场勘测记录表。</w:t>
      </w:r>
    </w:p>
    <w:p>
      <w:pPr>
        <w:pStyle w:val="Heading2"/>
      </w:pPr>
      <w:r>
        <w:rPr>
          <w:rFonts w:ascii="Arial Unicode MS" w:hAnsi="Arial Unicode MS" w:eastAsia="Arial Unicode MS"/>
        </w:rPr>
        <w:t>现场风险确认</w:t>
      </w:r>
    </w:p>
    <w:p>
      <w:r>
        <w:rPr>
          <w:rFonts w:ascii="Arial Unicode MS" w:hAnsi="Arial Unicode MS" w:eastAsia="Arial Unicode MS"/>
        </w:rPr>
        <w:t>客户确认停机窗口、能源隔离与恢复条件。作业前记录设备现状，验证电源、电压、接地和安装环境，隔离与无电确认由授权电气人员依规执行。</w:t>
      </w:r>
    </w:p>
    <w:p>
      <w:r>
        <w:rPr>
          <w:rFonts w:ascii="Arial Unicode MS" w:hAnsi="Arial Unicode MS" w:eastAsia="Arial Unicode MS"/>
        </w:rPr>
        <w:t>若发现带压拆装要求、无防护高速旋转部件或未经许可进入控制柜等情况，现场负责人应暂停作业。合同工期压力不能作为越过许可程序的理由。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不同产品的安装要点</w:t>
      </w:r>
    </w:p>
    <w:p>
      <w:pPr>
        <w:pStyle w:val="Heading2"/>
      </w:pPr>
      <w:r>
        <w:rPr>
          <w:rFonts w:ascii="Arial Unicode MS" w:hAnsi="Arial Unicode MS" w:eastAsia="Arial Unicode MS"/>
        </w:rPr>
        <w:t>采集与网络设备</w:t>
      </w:r>
    </w:p>
    <w:p>
      <w:r>
        <w:rPr>
          <w:rFonts w:ascii="Arial Unicode MS" w:hAnsi="Arial Unicode MS" w:eastAsia="Arial Unicode MS"/>
        </w:rPr>
        <w:t>GW、IO、SW默认安装在适当控制柜内，留出散热和接线空间。GW-100至600均为IP30，不能因高配型号工作温度更宽就推定可以露天淋雨。</w:t>
      </w:r>
    </w:p>
    <w:p>
      <w:r>
        <w:rPr>
          <w:rFonts w:ascii="Arial Unicode MS" w:hAnsi="Arial Unicode MS" w:eastAsia="Arial Unicode MS"/>
        </w:rPr>
        <w:t>RS485布线遵循现场设计与产品接线图，核对终端电阻、屏蔽和接地。SW的PoE型号使用48-57V电源；接入非PoE设备前确认端口协商及设备要求，不任意改接电源。</w:t>
      </w:r>
    </w:p>
    <w:p>
      <w:pPr>
        <w:pStyle w:val="Heading2"/>
      </w:pPr>
      <w:r>
        <w:rPr>
          <w:rFonts w:ascii="Arial Unicode MS" w:hAnsi="Arial Unicode MS" w:eastAsia="Arial Unicode MS"/>
        </w:rPr>
        <w:t>压力与流量设备</w:t>
      </w:r>
    </w:p>
    <w:p>
      <w:r>
        <w:rPr>
          <w:rFonts w:ascii="Arial Unicode MS" w:hAnsi="Arial Unicode MS" w:eastAsia="Arial Unicode MS"/>
        </w:rPr>
        <w:t>PT安装前由客户确认泄压、排空及介质处理完成。接头拧紧使用规定工具，不得对电气连接件施加扭矩。介质与316L材质相容性应在设计阶段确定。</w:t>
      </w:r>
    </w:p>
    <w:p>
      <w:r>
        <w:rPr>
          <w:rFonts w:ascii="Arial Unicode MS" w:hAnsi="Arial Unicode MS" w:eastAsia="Arial Unicode MS"/>
        </w:rPr>
        <w:t>FL夹装不等于无需确认工艺条件。必须确认满管、管道材质与直管段，测量管径和壁厚后输入参数。不能用管道公称通径直接替代实际外径，耦合剂老化应纳入维护计划。</w:t>
      </w:r>
    </w:p>
    <w:p>
      <w:pPr>
        <w:pStyle w:val="Heading2"/>
      </w:pPr>
      <w:r>
        <w:rPr>
          <w:rFonts w:ascii="Arial Unicode MS" w:hAnsi="Arial Unicode MS" w:eastAsia="Arial Unicode MS"/>
        </w:rPr>
        <w:t>视觉与无线设备</w:t>
      </w:r>
    </w:p>
    <w:p>
      <w:r>
        <w:rPr>
          <w:rFonts w:ascii="Arial Unicode MS" w:hAnsi="Arial Unicode MS" w:eastAsia="Arial Unicode MS"/>
        </w:rPr>
        <w:t>VC固定后做视野、曝光、触发和线缆应力检查。光源亮度调节遵循现场防护要求，相机IP30机身不得直接用于冲洗；罩体防护需作为独立配置确认。</w:t>
      </w:r>
    </w:p>
    <w:p>
      <w:r>
        <w:rPr>
          <w:rFonts w:ascii="Arial Unicode MS" w:hAnsi="Arial Unicode MS" w:eastAsia="Arial Unicode MS"/>
        </w:rPr>
        <w:t>VS长期监测优先螺纹固定，避开柔性护罩；WS天线应远离金属遮挡。空旷通信距离仅用于初步规划，勘测时记录最差点位而非只选最优读数。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恢复与异常</w:t>
      </w:r>
    </w:p>
    <w:p>
      <w:pPr>
        <w:pStyle w:val="Heading2"/>
      </w:pPr>
      <w:r>
        <w:rPr>
          <w:rFonts w:ascii="Arial Unicode MS" w:hAnsi="Arial Unicode MS" w:eastAsia="Arial Unicode MS"/>
        </w:rPr>
        <w:t>试运行与恢复</w:t>
      </w:r>
    </w:p>
    <w:p>
      <w:r>
        <w:rPr>
          <w:rFonts w:ascii="Arial Unicode MS" w:hAnsi="Arial Unicode MS" w:eastAsia="Arial Unicode MS"/>
        </w:rPr>
        <w:t>施工后由授权人员检查接线、紧固、密封和工具清点，按客户流程恢复能源。先进行单点验证，再扩大到完整设备组，测试过程不得绕过客户的安全控制系统。</w:t>
      </w:r>
    </w:p>
    <w:p>
      <w:r>
        <w:rPr>
          <w:rFonts w:ascii="Arial Unicode MS" w:hAnsi="Arial Unicode MS" w:eastAsia="Arial Unicode MS"/>
        </w:rPr>
        <w:t>记录恢复时间、配置版本及初始测量值。发现信号异常时，先核对供电、量程、缩放与接线，再判断设备故障，避免未经验证反复更换部件。</w:t>
      </w:r>
    </w:p>
    <w:p>
      <w:pPr>
        <w:pStyle w:val="Heading2"/>
      </w:pPr>
      <w:r>
        <w:rPr>
          <w:rFonts w:ascii="Arial Unicode MS" w:hAnsi="Arial Unicode MS" w:eastAsia="Arial Unicode MS"/>
        </w:rPr>
        <w:t>停止作业条件</w:t>
      </w:r>
    </w:p>
    <w:p>
      <w:r>
        <w:rPr>
          <w:rFonts w:ascii="Arial Unicode MS" w:hAnsi="Arial Unicode MS" w:eastAsia="Arial Unicode MS"/>
        </w:rPr>
        <w:t>出现不明电压、介质泄漏、异常温升、烧焦气味、接地缺失或客户许可失效时立即停止受影响作业。通知现场负责人并按客户应急预案处理，不在危险未解除时继续排障。</w:t>
      </w:r>
    </w:p>
    <w:p>
      <w:r>
        <w:rPr>
          <w:rFonts w:ascii="Arial Unicode MS" w:hAnsi="Arial Unicode MS" w:eastAsia="Arial Unicode MS"/>
        </w:rPr>
        <w:t>禁止将普通IO、GW或无线告警直接作为人员安全联锁。需安全功能的需求应独立评估，本产品训练资料未提供可用于此类场景的安全认证结论。</w:t>
      </w:r>
    </w:p>
    <w:p>
      <w:pPr>
        <w:pStyle w:val="Heading2"/>
      </w:pPr>
      <w:r>
        <w:rPr>
          <w:rFonts w:ascii="Arial Unicode MS" w:hAnsi="Arial Unicode MS" w:eastAsia="Arial Unicode MS"/>
        </w:rPr>
        <w:t>记录与复训</w:t>
      </w:r>
    </w:p>
    <w:p>
      <w:r>
        <w:rPr>
          <w:rFonts w:ascii="Arial Unicode MS" w:hAnsi="Arial Unicode MS" w:eastAsia="Arial Unicode MS"/>
        </w:rPr>
        <w:t>施工记录包含许可编号、参与人、设备型号与序列号、施工时间、测量结果、问题及关闭情况。客户照片与网络配置按SEC-006受限资料控制。</w:t>
      </w:r>
    </w:p>
    <w:p>
      <w:r>
        <w:rPr>
          <w:rFonts w:ascii="Arial Unicode MS" w:hAnsi="Arial Unicode MS" w:eastAsia="Arial Unicode MS"/>
        </w:rPr>
        <w:t>OPS-007 V1.4于2026年10月1日生效。独立现场作业前须完成课程与实操确认；连续六个月未参与现场作业者按TRN-002复训。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OPS-007  V1.4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