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Unicode MS" w:hAnsi="Arial Unicode MS" w:eastAsia="Arial Unicode MS"/>
        </w:rPr>
        <w:t>售后服务与故障处理培训手册</w:t>
      </w:r>
    </w:p>
    <w:tbl>
      <w:tblPr>
        <w:tblW w:type="auto" w:w="0"/>
        <w:tblLayout w:type="fixed"/>
        <w:tblLook w:firstColumn="1" w:firstRow="1" w:lastColumn="0" w:lastRow="0" w:noHBand="0" w:noVBand="1" w:val="04A0"/>
      </w:tblPr>
      <w:tblGrid>
        <w:gridCol w:w="2381"/>
        <w:gridCol w:w="2381"/>
        <w:gridCol w:w="2381"/>
        <w:gridCol w:w="2381"/>
      </w:tblGrid>
      <w:tr>
        <w:tc>
          <w:tcPr>
            <w:tcW w:type="dxa" w:w="2381"/>
            <w:tcBorders>
              <w:top w:val="single" w:sz="4" w:color="D9D9D9"/>
              <w:left w:val="single" w:sz="4" w:color="D9D9D9"/>
              <w:bottom w:val="single" w:sz="4" w:color="D9D9D9"/>
              <w:right w:val="single" w:sz="4" w:color="D9D9D9"/>
            </w:tcBorders>
            <w:shd w:fill="DCE7F1"/>
          </w:tcPr>
          <w:p>
            <w:pPr>
              <w:spacing w:after="80" w:before="80"/>
            </w:pPr>
            <w:r>
              <w:rPr>
                <w:b/>
                <w:sz w:val="18"/>
              </w:rPr>
              <w:t>文件编号</w:t>
            </w:r>
          </w:p>
        </w:tc>
        <w:tc>
          <w:tcPr>
            <w:tcW w:type="dxa" w:w="2381"/>
            <w:tcBorders>
              <w:top w:val="single" w:sz="4" w:color="D9D9D9"/>
              <w:left w:val="single" w:sz="4" w:color="D9D9D9"/>
              <w:bottom w:val="single" w:sz="4" w:color="D9D9D9"/>
              <w:right w:val="single" w:sz="4" w:color="D9D9D9"/>
            </w:tcBorders>
            <w:shd w:fill="DCE7F1"/>
          </w:tcPr>
          <w:p>
            <w:pPr>
              <w:spacing w:after="80" w:before="80"/>
            </w:pPr>
            <w:r>
              <w:rPr>
                <w:b/>
                <w:sz w:val="18"/>
              </w:rPr>
              <w:t>版本</w:t>
            </w:r>
          </w:p>
        </w:tc>
        <w:tc>
          <w:tcPr>
            <w:tcW w:type="dxa" w:w="2381"/>
            <w:tcBorders>
              <w:top w:val="single" w:sz="4" w:color="D9D9D9"/>
              <w:left w:val="single" w:sz="4" w:color="D9D9D9"/>
              <w:bottom w:val="single" w:sz="4" w:color="D9D9D9"/>
              <w:right w:val="single" w:sz="4" w:color="D9D9D9"/>
            </w:tcBorders>
            <w:shd w:fill="DCE7F1"/>
          </w:tcPr>
          <w:p>
            <w:pPr>
              <w:spacing w:after="80" w:before="80"/>
            </w:pPr>
            <w:r>
              <w:rPr>
                <w:b/>
                <w:sz w:val="18"/>
              </w:rPr>
              <w:t>生效日期</w:t>
            </w:r>
          </w:p>
        </w:tc>
        <w:tc>
          <w:tcPr>
            <w:tcW w:type="dxa" w:w="2381"/>
            <w:tcBorders>
              <w:top w:val="single" w:sz="4" w:color="D9D9D9"/>
              <w:left w:val="single" w:sz="4" w:color="D9D9D9"/>
              <w:bottom w:val="single" w:sz="4" w:color="D9D9D9"/>
              <w:right w:val="single" w:sz="4" w:color="D9D9D9"/>
            </w:tcBorders>
            <w:shd w:fill="DCE7F1"/>
          </w:tcPr>
          <w:p>
            <w:pPr>
              <w:spacing w:after="80" w:before="80"/>
            </w:pPr>
            <w:r>
              <w:rPr>
                <w:b/>
                <w:sz w:val="18"/>
              </w:rPr>
              <w:t>责任部门</w:t>
            </w:r>
          </w:p>
        </w:tc>
      </w:tr>
      <w:tr>
        <w:tc>
          <w:tcPr>
            <w:tcW w:type="dxa" w:w="2381"/>
            <w:tcBorders>
              <w:top w:val="single" w:sz="4" w:color="D9D9D9"/>
              <w:left w:val="single" w:sz="4" w:color="D9D9D9"/>
              <w:bottom w:val="single" w:sz="4" w:color="D9D9D9"/>
              <w:right w:val="single" w:sz="4" w:color="D9D9D9"/>
            </w:tcBorders>
            <w:shd w:fill="FFFFFF"/>
          </w:tcPr>
          <w:p>
            <w:pPr>
              <w:spacing w:after="80" w:before="80"/>
            </w:pPr>
            <w:r>
              <w:rPr>
                <w:b w:val="0"/>
                <w:sz w:val="18"/>
              </w:rPr>
              <w:t>SVC-008</w:t>
            </w:r>
          </w:p>
        </w:tc>
        <w:tc>
          <w:tcPr>
            <w:tcW w:type="dxa" w:w="2381"/>
            <w:tcBorders>
              <w:top w:val="single" w:sz="4" w:color="D9D9D9"/>
              <w:left w:val="single" w:sz="4" w:color="D9D9D9"/>
              <w:bottom w:val="single" w:sz="4" w:color="D9D9D9"/>
              <w:right w:val="single" w:sz="4" w:color="D9D9D9"/>
            </w:tcBorders>
            <w:shd w:fill="FFFFFF"/>
          </w:tcPr>
          <w:p>
            <w:pPr>
              <w:spacing w:after="80" w:before="80"/>
            </w:pPr>
            <w:r>
              <w:rPr>
                <w:b w:val="0"/>
                <w:sz w:val="18"/>
              </w:rPr>
              <w:t>V2.2</w:t>
            </w:r>
          </w:p>
        </w:tc>
        <w:tc>
          <w:tcPr>
            <w:tcW w:type="dxa" w:w="2381"/>
            <w:tcBorders>
              <w:top w:val="single" w:sz="4" w:color="D9D9D9"/>
              <w:left w:val="single" w:sz="4" w:color="D9D9D9"/>
              <w:bottom w:val="single" w:sz="4" w:color="D9D9D9"/>
              <w:right w:val="single" w:sz="4" w:color="D9D9D9"/>
            </w:tcBorders>
            <w:shd w:fill="FFFFFF"/>
          </w:tcPr>
          <w:p>
            <w:pPr>
              <w:spacing w:after="80" w:before="80"/>
            </w:pPr>
            <w:r>
              <w:rPr>
                <w:b w:val="0"/>
                <w:sz w:val="18"/>
              </w:rPr>
              <w:t>2026-10-01</w:t>
            </w:r>
          </w:p>
        </w:tc>
        <w:tc>
          <w:tcPr>
            <w:tcW w:type="dxa" w:w="2381"/>
            <w:tcBorders>
              <w:top w:val="single" w:sz="4" w:color="D9D9D9"/>
              <w:left w:val="single" w:sz="4" w:color="D9D9D9"/>
              <w:bottom w:val="single" w:sz="4" w:color="D9D9D9"/>
              <w:right w:val="single" w:sz="4" w:color="D9D9D9"/>
            </w:tcBorders>
            <w:shd w:fill="FFFFFF"/>
          </w:tcPr>
          <w:p>
            <w:pPr>
              <w:spacing w:after="80" w:before="80"/>
            </w:pPr>
            <w:r>
              <w:rPr>
                <w:b w:val="0"/>
                <w:sz w:val="18"/>
              </w:rPr>
              <w:t>交付服务部</w:t>
            </w:r>
          </w:p>
        </w:tc>
      </w:tr>
    </w:tbl>
    <w:p>
      <w:pPr>
        <w:spacing w:before="160"/>
      </w:pPr>
      <w:r>
        <w:rPr>
          <w:rFonts w:ascii="Arial Unicode MS" w:hAnsi="Arial Unicode MS" w:eastAsia="Arial Unicode MS"/>
        </w:rPr>
        <w:t>虚构企业与合成数据，仅用于 RAG 教学。所有客户、价格、参数与业绩均为模拟。</w:t>
      </w:r>
    </w:p>
    <w:p>
      <w:pPr>
        <w:pStyle w:val="Heading1"/>
      </w:pPr>
      <w:r>
        <w:rPr>
          <w:rFonts w:ascii="Arial Unicode MS" w:hAnsi="Arial Unicode MS" w:eastAsia="Arial Unicode MS"/>
        </w:rPr>
        <w:t>工单与服务分级</w:t>
      </w:r>
    </w:p>
    <w:p>
      <w:pPr>
        <w:pStyle w:val="Heading2"/>
      </w:pPr>
      <w:r>
        <w:rPr>
          <w:rFonts w:ascii="Arial Unicode MS" w:hAnsi="Arial Unicode MS" w:eastAsia="Arial Unicode MS"/>
        </w:rPr>
        <w:t>报修输入</w:t>
      </w:r>
    </w:p>
    <w:p>
      <w:r>
        <w:rPr>
          <w:rFonts w:ascii="Arial Unicode MS" w:hAnsi="Arial Unicode MS" w:eastAsia="Arial Unicode MS"/>
        </w:rPr>
        <w:t>工单必填客户项目编号、产品型号、序列号、固件、故障时间、影响范围、供电状态及最近变更。客户提交图片与日志时按SEC-006去除口令、令牌和无关个人信息。</w:t>
      </w:r>
    </w:p>
    <w:p>
      <w:r>
        <w:rPr>
          <w:rFonts w:ascii="Arial Unicode MS" w:hAnsi="Arial Unicode MS" w:eastAsia="Arial Unicode MS"/>
        </w:rPr>
        <w:t>不能仅凭客户说设备坏了就认定硬件缺陷。先区分供电、布线、网络、参数设置、应用软件和设备本体，远程操作前取得客户对该次连接的授权。</w:t>
      </w:r>
    </w:p>
    <w:p>
      <w:pPr>
        <w:pStyle w:val="Heading2"/>
      </w:pPr>
      <w:r>
        <w:rPr>
          <w:rFonts w:ascii="Arial Unicode MS" w:hAnsi="Arial Unicode MS" w:eastAsia="Arial Unicode MS"/>
        </w:rPr>
        <w:t>优先级定义</w:t>
      </w:r>
    </w:p>
    <w:p>
      <w:r>
        <w:rPr>
          <w:rFonts w:ascii="Arial Unicode MS" w:hAnsi="Arial Unicode MS" w:eastAsia="Arial Unicode MS"/>
        </w:rPr>
        <w:t>P1为核心采集链路整体中断且影响客户连续生产，P2为部分设备或非核心功能故障但仍可运行，P3为咨询、配置优化和资料申请。存在现场安全风险时先按OPS-007与客户应急流程处理。</w:t>
      </w:r>
    </w:p>
    <w:p>
      <w:r>
        <w:rPr>
          <w:rFonts w:ascii="Arial Unicode MS" w:hAnsi="Arial Unicode MS" w:eastAsia="Arial Unicode MS"/>
        </w:rPr>
        <w:t>等级由服务负责人根据实际影响确认，不以客户购买金额决定。相同设备在备用系统与核心生产系统发生故障时，服务等级可能不同。</w:t>
      </w:r>
    </w:p>
    <w:p>
      <w:pPr>
        <w:pStyle w:val="Heading2"/>
      </w:pPr>
      <w:r>
        <w:rPr>
          <w:rFonts w:ascii="Arial Unicode MS" w:hAnsi="Arial Unicode MS" w:eastAsia="Arial Unicode MS"/>
        </w:rPr>
        <w:t>标准响应时限</w:t>
      </w:r>
    </w:p>
    <w:p>
      <w:r>
        <w:rPr>
          <w:rFonts w:ascii="Arial Unicode MS" w:hAnsi="Arial Unicode MS" w:eastAsia="Arial Unicode MS"/>
        </w:rPr>
        <w:t>P1提供7×24小时受理，首次人工响应不超过2小时，每4小时同步进展；P2在工作日09:00至18:00受理，首次人工响应不超过8个工作小时；P3首次人工响应不超过2个工作日。</w:t>
      </w:r>
    </w:p>
    <w:p>
      <w:r>
        <w:rPr>
          <w:rFonts w:ascii="Arial Unicode MS" w:hAnsi="Arial Unicode MS" w:eastAsia="Arial Unicode MS"/>
        </w:rPr>
        <w:t>响应指人工确认影响并提出下一步，不等于修复完成或人员到场。客户合同另有更高服务等级且已审批时按合同执行，不能把标准响应2小时解释为所有地点2小时到场。</w:t>
      </w:r>
    </w:p>
    <w:p>
      <w:r>
        <w:rPr>
          <w:rFonts w:ascii="Arial Unicode MS" w:hAnsi="Arial Unicode MS" w:eastAsia="Arial Unicode MS"/>
        </w:rPr>
        <w:br w:type="page"/>
      </w:r>
    </w:p>
    <w:p>
      <w:pPr>
        <w:pStyle w:val="Heading1"/>
      </w:pPr>
      <w:r>
        <w:rPr>
          <w:rFonts w:ascii="Arial Unicode MS" w:hAnsi="Arial Unicode MS" w:eastAsia="Arial Unicode MS"/>
        </w:rPr>
        <w:t>排查与替换</w:t>
      </w:r>
    </w:p>
    <w:p>
      <w:pPr>
        <w:pStyle w:val="Heading2"/>
      </w:pPr>
      <w:r>
        <w:rPr>
          <w:rFonts w:ascii="Arial Unicode MS" w:hAnsi="Arial Unicode MS" w:eastAsia="Arial Unicode MS"/>
        </w:rPr>
        <w:t>通用排查顺序</w:t>
      </w:r>
    </w:p>
    <w:p>
      <w:r>
        <w:rPr>
          <w:rFonts w:ascii="Arial Unicode MS" w:hAnsi="Arial Unicode MS" w:eastAsia="Arial Unicode MS"/>
        </w:rPr>
        <w:t>先确认故障发生时间与最近变更，再核对供电、接地和指示状态，随后检查物理链路、通信配置与应用日志。每步记录现象和证据，不批量重置现场设备破坏故障线索。</w:t>
      </w:r>
    </w:p>
    <w:p>
      <w:r>
        <w:rPr>
          <w:rFonts w:ascii="Arial Unicode MS" w:hAnsi="Arial Unicode MS" w:eastAsia="Arial Unicode MS"/>
        </w:rPr>
        <w:t>GW云端离线但本地采集正常时，优先检查网络与凭据；VS整组失联时，先查WS供电和上行链路，再逐节点查电池与绑定关系。</w:t>
      </w:r>
    </w:p>
    <w:p>
      <w:pPr>
        <w:pStyle w:val="Heading2"/>
      </w:pPr>
      <w:r>
        <w:rPr>
          <w:rFonts w:ascii="Arial Unicode MS" w:hAnsi="Arial Unicode MS" w:eastAsia="Arial Unicode MS"/>
        </w:rPr>
        <w:t>特殊产品判断</w:t>
      </w:r>
    </w:p>
    <w:p>
      <w:r>
        <w:rPr>
          <w:rFonts w:ascii="Arial Unicode MS" w:hAnsi="Arial Unicode MS" w:eastAsia="Arial Unicode MS"/>
        </w:rPr>
        <w:t>EM读数偏差应检查相序、CT变比和极性，准确度不含CT误差；PT异常需核对表压量程、介质与接头密封；FL异常先确认满管、耦合和管道参数。</w:t>
      </w:r>
    </w:p>
    <w:p>
      <w:r>
        <w:rPr>
          <w:rFonts w:ascii="Arial Unicode MS" w:hAnsi="Arial Unicode MS" w:eastAsia="Arial Unicode MS"/>
        </w:rPr>
        <w:t>VC帧率不足时记录分辨率、位深、曝光、网卡与带宽，不以产品最大帧率直接判定相机故障。TH高湿异常先核对凝露条件，不能仅因IP等级高就认为传感精度不受凝露影响。</w:t>
      </w:r>
    </w:p>
    <w:p>
      <w:pPr>
        <w:pStyle w:val="Heading2"/>
      </w:pPr>
      <w:r>
        <w:rPr>
          <w:rFonts w:ascii="Arial Unicode MS" w:hAnsi="Arial Unicode MS" w:eastAsia="Arial Unicode MS"/>
        </w:rPr>
        <w:t>返修与备件</w:t>
      </w:r>
    </w:p>
    <w:p>
      <w:r>
        <w:rPr>
          <w:rFonts w:ascii="Arial Unicode MS" w:hAnsi="Arial Unicode MS" w:eastAsia="Arial Unicode MS"/>
        </w:rPr>
        <w:t>确认返修后发放RMA编号，登记序列号、故障描述、附件和数据清除方式。标准返修自服务中心签收并确认资料完整起十个工作日内完成检测及处理方案，不承诺所有故障十日内修复。</w:t>
      </w:r>
    </w:p>
    <w:p>
      <w:r>
        <w:rPr>
          <w:rFonts w:ascii="Arial Unicode MS" w:hAnsi="Arial Unicode MS" w:eastAsia="Arial Unicode MS"/>
        </w:rPr>
        <w:t>备件替换须经客户确认兼容性，并保留原配置。接口变化、精度变化、无线协议变化均需重新验证，不能以600型号一律替代100型号作为通用维修规则。</w:t>
      </w:r>
    </w:p>
    <w:p>
      <w:r>
        <w:rPr>
          <w:rFonts w:ascii="Arial Unicode MS" w:hAnsi="Arial Unicode MS" w:eastAsia="Arial Unicode MS"/>
        </w:rPr>
        <w:br w:type="page"/>
      </w:r>
    </w:p>
    <w:p>
      <w:pPr>
        <w:pStyle w:val="Heading1"/>
      </w:pPr>
      <w:r>
        <w:rPr>
          <w:rFonts w:ascii="Arial Unicode MS" w:hAnsi="Arial Unicode MS" w:eastAsia="Arial Unicode MS"/>
        </w:rPr>
        <w:t>质保与关闭</w:t>
      </w:r>
    </w:p>
    <w:p>
      <w:pPr>
        <w:pStyle w:val="Heading2"/>
      </w:pPr>
      <w:r>
        <w:rPr>
          <w:rFonts w:ascii="Arial Unicode MS" w:hAnsi="Arial Unicode MS" w:eastAsia="Arial Unicode MS"/>
        </w:rPr>
        <w:t>质保范围</w:t>
      </w:r>
    </w:p>
    <w:p>
      <w:r>
        <w:rPr>
          <w:rFonts w:ascii="Arial Unicode MS" w:hAnsi="Arial Unicode MS" w:eastAsia="Arial Unicode MS"/>
        </w:rPr>
        <w:t>期限按产品型号目录：GW、EM、FL、IO、VC、WS为24个月，TH、VS、PT为18个月，SW为36个月。起算按DEL-005，以签署验收日为主并适用延迟验收例外。</w:t>
      </w:r>
    </w:p>
    <w:p>
      <w:r>
        <w:rPr>
          <w:rFonts w:ascii="Arial Unicode MS" w:hAnsi="Arial Unicode MS" w:eastAsia="Arial Unicode MS"/>
        </w:rPr>
        <w:t>易耗电池、外力损坏、超量程和未授权改装不属于标准硬件制造缺陷质保。是否收费应先依据故障证据和合同确认，不能在尚未检测时直接判定客户责任。</w:t>
      </w:r>
    </w:p>
    <w:p>
      <w:pPr>
        <w:pStyle w:val="Heading2"/>
      </w:pPr>
      <w:r>
        <w:rPr>
          <w:rFonts w:ascii="Arial Unicode MS" w:hAnsi="Arial Unicode MS" w:eastAsia="Arial Unicode MS"/>
        </w:rPr>
        <w:t>工单关闭</w:t>
      </w:r>
    </w:p>
    <w:p>
      <w:r>
        <w:rPr>
          <w:rFonts w:ascii="Arial Unicode MS" w:hAnsi="Arial Unicode MS" w:eastAsia="Arial Unicode MS"/>
        </w:rPr>
        <w:t>关闭工单需记录根因、处理措施、版本或部件变更、验证结果与客户确认。无法确定根因时如实登记未确认，不将恢复现象写成已经排除复发风险。</w:t>
      </w:r>
    </w:p>
    <w:p>
      <w:r>
        <w:rPr>
          <w:rFonts w:ascii="Arial Unicode MS" w:hAnsi="Arial Unicode MS" w:eastAsia="Arial Unicode MS"/>
        </w:rPr>
        <w:t>P1工单恢复后两个工作日内提交初步复盘；涉及数据缺口应说明起止时间与补传情况。客户尚未确认的问题保留待确认状态，不为满足内部统计提前关闭。</w:t>
      </w:r>
    </w:p>
    <w:p>
      <w:pPr>
        <w:pStyle w:val="Heading2"/>
      </w:pPr>
      <w:r>
        <w:rPr>
          <w:rFonts w:ascii="Arial Unicode MS" w:hAnsi="Arial Unicode MS" w:eastAsia="Arial Unicode MS"/>
        </w:rPr>
        <w:t>版本差异</w:t>
      </w:r>
    </w:p>
    <w:p>
      <w:r>
        <w:rPr>
          <w:rFonts w:ascii="Arial Unicode MS" w:hAnsi="Arial Unicode MS" w:eastAsia="Arial Unicode MS"/>
        </w:rPr>
        <w:t>SVC-008 V2.2于2026年10月1日生效，替代2025年10月的V2.1。旧版P1首次响应为4小时，当前缩短至2小时；标准到场时间仍需按区域与合同单独约定。</w:t>
      </w:r>
    </w:p>
    <w:p>
      <w:r>
        <w:rPr>
          <w:rFonts w:ascii="Arial Unicode MS" w:hAnsi="Arial Unicode MS" w:eastAsia="Arial Unicode MS"/>
        </w:rPr>
        <w:t>服务负责人每月复核响应超时、重复故障及误判原因。培训测验须能区分首次响应、处理方案、修复和到场四种时限。</w:t>
      </w:r>
    </w:p>
    <w:sectPr w:rsidR="00FC693F" w:rsidRPr="0006063C" w:rsidSect="00034616">
      <w:headerReference w:type="default" r:id="rId9"/>
      <w:footerReference w:type="default" r:id="rId10"/>
      <w:pgSz w:w="11906" w:h="16838"/>
      <w:pgMar w:top="1020"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SVC-008  V2.2  |  合成教学数据  |  第 </w:t>
    </w:r>
    <w:fldSimple w:instr="PAGE"/>
    <w:r>
      <w:rPr>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澜川智联科技有限公司  内部培训资料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hAnsi="Arial Unicode MS" w:eastAsia="Arial Unicode MS" w:cs="Arial Unicode M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2" w:lineRule="auto"/>
    </w:pPr>
    <w:rPr>
      <w:rFonts w:ascii="Arial Unicode MS" w:hAnsi="Arial Unicode MS" w:eastAsia="Arial Unicode MS" w:cs="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Unicode MS" w:hAnsi="Arial Unicode M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Unicode MS" w:hAnsi="Arial Unicode M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12" w:lineRule="auto"/>
      <w:outlineLvl w:val="0"/>
    </w:pPr>
    <w:rPr>
      <w:rFonts w:ascii="Arial Unicode MS" w:hAnsi="Arial Unicode MS" w:eastAsia="Arial Unicode MS" w:cs="Arial Unicode M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12" w:lineRule="auto"/>
      <w:outlineLvl w:val="1"/>
    </w:pPr>
    <w:rPr>
      <w:rFonts w:ascii="Arial Unicode MS" w:hAnsi="Arial Unicode MS" w:eastAsia="Arial Unicode MS" w:cs="Arial Unicode M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Unicode MS" w:hAnsi="Arial Unicode MS" w:eastAsia="Arial Unicode MS" w:cs="Arial Unicode M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Unicode MS" w:hAnsi="Arial Unicode MS" w:eastAsia="Arial Unicode MS" w:cs="Arial Unicode MS"/>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Unicode MS" w:hAnsi="Arial Unicode MS" w:eastAsia="Arial Unicode MS" w:cs="Arial Unicode M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Unicode MS" w:hAnsi="Arial Unicode MS" w:eastAsia="Arial Unicode MS" w:cs="Arial Unicode MS"/>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Unicode MS" w:hAnsi="Arial Unicode MS" w:eastAsia="Arial Unicode MS" w:cs="Arial Unicode MS"/>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Unicode MS" w:hAnsi="Arial Unicode MS" w:eastAsia="Arial Unicode MS" w:cs="Arial Unicode MS"/>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Unicode MS" w:hAnsi="Arial Unicode MS" w:eastAsia="Arial Unicode MS" w:cs="Arial Unicode MS"/>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Unicode MS" w:hAnsi="Arial Unicode MS"/>
      <w:color w:val="000000"/>
    </w:rPr>
  </w:style>
  <w:style w:type="character" w:customStyle="1" w:styleId="Heading1Char">
    <w:name w:val="Heading 1 Char"/>
    <w:basedOn w:val="DefaultParagraphFont"/>
    <w:link w:val="Heading1"/>
    <w:uiPriority w:val="9"/>
    <w:rsid w:val="00FC693F"/>
    <w:rPr>
      <w:rFonts w:ascii="Arial Unicode MS" w:hAnsi="Arial Unicode MS" w:eastAsia="Arial Unicode MS" w:cs="Arial Unicode M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Unicode MS" w:hAnsi="Arial Unicode MS" w:eastAsia="Arial Unicode MS" w:cs="Arial Unicode MS"/>
      <w:b/>
      <w:bCs/>
      <w:color w:val="4F81BD" w:themeColor="accent1"/>
      <w:sz w:val="26"/>
      <w:szCs w:val="26"/>
    </w:rPr>
  </w:style>
  <w:style w:type="character" w:customStyle="1" w:styleId="Heading3Char">
    <w:name w:val="Heading 3 Char"/>
    <w:basedOn w:val="DefaultParagraphFont"/>
    <w:link w:val="Heading3"/>
    <w:uiPriority w:val="9"/>
    <w:rsid w:val="00FC693F"/>
    <w:rPr>
      <w:rFonts w:ascii="Arial Unicode MS" w:hAnsi="Arial Unicode MS" w:eastAsia="Arial Unicode MS" w:cs="Arial Unicode MS"/>
      <w:b/>
      <w:bCs/>
      <w:color w:val="4F81BD" w:themeColor="accent1"/>
    </w:rPr>
  </w:style>
  <w:style w:type="paragraph" w:styleId="Title">
    <w:name w:val="Title"/>
    <w:basedOn w:val="Normal"/>
    <w:next w:val="Normal"/>
    <w:link w:val="TitleChar"/>
    <w:uiPriority w:val="10"/>
    <w:qFormat/>
    <w:rsid w:val="00FC693F"/>
    <w:pPr>
      <w:spacing w:after="120" w:line="312" w:lineRule="auto"/>
      <w:contextualSpacing/>
    </w:pPr>
    <w:rPr>
      <w:rFonts w:ascii="Arial Unicode MS" w:hAnsi="Arial Unicode MS" w:eastAsia="Arial Unicode MS" w:cs="Arial Unicode MS"/>
      <w:color w:val="000000"/>
      <w:spacing w:val="5"/>
      <w:kern w:val="28"/>
      <w:sz w:val="46"/>
      <w:szCs w:val="52"/>
    </w:rPr>
  </w:style>
  <w:style w:type="character" w:customStyle="1" w:styleId="TitleChar">
    <w:name w:val="Title Char"/>
    <w:basedOn w:val="DefaultParagraphFont"/>
    <w:link w:val="Title"/>
    <w:uiPriority w:val="10"/>
    <w:rsid w:val="00FC693F"/>
    <w:rPr>
      <w:rFonts w:ascii="Arial Unicode MS" w:hAnsi="Arial Unicode MS" w:eastAsia="Arial Unicode MS" w:cs="Arial Unicode M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Unicode MS" w:hAnsi="Arial Unicode MS" w:eastAsia="Arial Unicode MS" w:cs="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Arial Unicode MS" w:hAnsi="Arial Unicode MS" w:eastAsia="Arial Unicode MS" w:cs="Arial Unicode M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Unicode MS" w:hAnsi="Arial Unicode MS"/>
      <w:color w:val="000000"/>
    </w:rPr>
  </w:style>
  <w:style w:type="paragraph" w:styleId="BodyText">
    <w:name w:val="Body Text"/>
    <w:basedOn w:val="Normal"/>
    <w:link w:val="BodyTextChar"/>
    <w:uiPriority w:val="99"/>
    <w:unhideWhenUsed/>
    <w:rsid w:val="00AA1D8D"/>
    <w:pPr>
      <w:spacing w:after="120"/>
    </w:pPr>
    <w:rPr>
      <w:rFonts w:ascii="Arial Unicode MS" w:hAnsi="Arial Unicode M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Unicode MS" w:hAnsi="Arial Unicode MS"/>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Unicode MS" w:hAnsi="Arial Unicode MS"/>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Unicode MS" w:hAnsi="Arial Unicode MS"/>
      <w:color w:val="000000"/>
    </w:rPr>
  </w:style>
  <w:style w:type="paragraph" w:styleId="List2">
    <w:name w:val="List 2"/>
    <w:basedOn w:val="Normal"/>
    <w:uiPriority w:val="99"/>
    <w:unhideWhenUsed/>
    <w:rsid w:val="00326F90"/>
    <w:pPr>
      <w:ind w:left="720" w:hanging="360"/>
      <w:contextualSpacing/>
    </w:pPr>
    <w:rPr>
      <w:rFonts w:ascii="Arial Unicode MS" w:hAnsi="Arial Unicode MS"/>
      <w:color w:val="000000"/>
    </w:rPr>
  </w:style>
  <w:style w:type="paragraph" w:styleId="List3">
    <w:name w:val="List 3"/>
    <w:basedOn w:val="Normal"/>
    <w:uiPriority w:val="99"/>
    <w:unhideWhenUsed/>
    <w:rsid w:val="00326F90"/>
    <w:pPr>
      <w:ind w:left="1080" w:hanging="360"/>
      <w:contextualSpacing/>
    </w:pPr>
    <w:rPr>
      <w:rFonts w:ascii="Arial Unicode MS" w:hAnsi="Arial Unicode MS"/>
      <w:color w:val="000000"/>
    </w:rPr>
  </w:style>
  <w:style w:type="paragraph" w:styleId="ListBullet">
    <w:name w:val="List Bullet"/>
    <w:basedOn w:val="Normal"/>
    <w:uiPriority w:val="99"/>
    <w:unhideWhenUsed/>
    <w:rsid w:val="00326F90"/>
    <w:pPr>
      <w:numPr>
        <w:numId w:val="1"/>
      </w:numPr>
      <w:contextualSpacing/>
    </w:pPr>
    <w:rPr>
      <w:rFonts w:ascii="Arial Unicode MS" w:hAnsi="Arial Unicode MS"/>
      <w:color w:val="000000"/>
    </w:rPr>
  </w:style>
  <w:style w:type="paragraph" w:styleId="ListBullet2">
    <w:name w:val="List Bullet 2"/>
    <w:basedOn w:val="Normal"/>
    <w:uiPriority w:val="99"/>
    <w:unhideWhenUsed/>
    <w:rsid w:val="00326F90"/>
    <w:pPr>
      <w:numPr>
        <w:numId w:val="2"/>
      </w:numPr>
      <w:contextualSpacing/>
    </w:pPr>
    <w:rPr>
      <w:rFonts w:ascii="Arial Unicode MS" w:hAnsi="Arial Unicode MS"/>
      <w:color w:val="000000"/>
    </w:rPr>
  </w:style>
  <w:style w:type="paragraph" w:styleId="ListBullet3">
    <w:name w:val="List Bullet 3"/>
    <w:basedOn w:val="Normal"/>
    <w:uiPriority w:val="99"/>
    <w:unhideWhenUsed/>
    <w:rsid w:val="00326F90"/>
    <w:pPr>
      <w:numPr>
        <w:numId w:val="3"/>
      </w:numPr>
      <w:contextualSpacing/>
    </w:pPr>
    <w:rPr>
      <w:rFonts w:ascii="Arial Unicode MS" w:hAnsi="Arial Unicode MS"/>
      <w:color w:val="000000"/>
    </w:rPr>
  </w:style>
  <w:style w:type="paragraph" w:styleId="ListNumber">
    <w:name w:val="List Number"/>
    <w:basedOn w:val="Normal"/>
    <w:uiPriority w:val="99"/>
    <w:unhideWhenUsed/>
    <w:rsid w:val="00326F90"/>
    <w:pPr>
      <w:numPr>
        <w:numId w:val="5"/>
      </w:numPr>
      <w:contextualSpacing/>
    </w:pPr>
    <w:rPr>
      <w:rFonts w:ascii="Arial Unicode MS" w:hAnsi="Arial Unicode MS"/>
      <w:color w:val="000000"/>
    </w:rPr>
  </w:style>
  <w:style w:type="paragraph" w:styleId="ListNumber2">
    <w:name w:val="List Number 2"/>
    <w:basedOn w:val="Normal"/>
    <w:uiPriority w:val="99"/>
    <w:unhideWhenUsed/>
    <w:rsid w:val="0029639D"/>
    <w:pPr>
      <w:numPr>
        <w:numId w:val="6"/>
      </w:numPr>
      <w:contextualSpacing/>
    </w:pPr>
    <w:rPr>
      <w:rFonts w:ascii="Arial Unicode MS" w:hAnsi="Arial Unicode MS"/>
      <w:color w:val="000000"/>
    </w:rPr>
  </w:style>
  <w:style w:type="paragraph" w:styleId="ListNumber3">
    <w:name w:val="List Number 3"/>
    <w:basedOn w:val="Normal"/>
    <w:uiPriority w:val="99"/>
    <w:unhideWhenUsed/>
    <w:rsid w:val="0029639D"/>
    <w:pPr>
      <w:numPr>
        <w:numId w:val="7"/>
      </w:numPr>
      <w:contextualSpacing/>
    </w:pPr>
    <w:rPr>
      <w:rFonts w:ascii="Arial Unicode MS" w:hAnsi="Arial Unicode MS"/>
      <w:color w:val="000000"/>
    </w:rPr>
  </w:style>
  <w:style w:type="paragraph" w:styleId="ListContinue">
    <w:name w:val="List Continue"/>
    <w:basedOn w:val="Normal"/>
    <w:uiPriority w:val="99"/>
    <w:unhideWhenUsed/>
    <w:rsid w:val="0029639D"/>
    <w:pPr>
      <w:spacing w:after="120"/>
      <w:ind w:left="360"/>
      <w:contextualSpacing/>
    </w:pPr>
    <w:rPr>
      <w:rFonts w:ascii="Arial Unicode MS" w:hAnsi="Arial Unicode MS"/>
      <w:color w:val="000000"/>
    </w:rPr>
  </w:style>
  <w:style w:type="paragraph" w:styleId="ListContinue2">
    <w:name w:val="List Continue 2"/>
    <w:basedOn w:val="Normal"/>
    <w:uiPriority w:val="99"/>
    <w:unhideWhenUsed/>
    <w:rsid w:val="0029639D"/>
    <w:pPr>
      <w:spacing w:after="120"/>
      <w:ind w:left="720"/>
      <w:contextualSpacing/>
    </w:pPr>
    <w:rPr>
      <w:rFonts w:ascii="Arial Unicode MS" w:hAnsi="Arial Unicode MS"/>
      <w:color w:val="000000"/>
    </w:rPr>
  </w:style>
  <w:style w:type="paragraph" w:styleId="ListContinue3">
    <w:name w:val="List Continue 3"/>
    <w:basedOn w:val="Normal"/>
    <w:uiPriority w:val="99"/>
    <w:unhideWhenUsed/>
    <w:rsid w:val="0029639D"/>
    <w:pPr>
      <w:spacing w:after="120"/>
      <w:ind w:left="1080"/>
      <w:contextualSpacing/>
    </w:pPr>
    <w:rPr>
      <w:rFonts w:ascii="Arial Unicode MS" w:hAnsi="Arial Unicode MS"/>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Unicode MS" w:hAnsi="Arial Unicode MS" w:eastAsia="Arial Unicode MS" w:cs="Arial Unicode MS"/>
      <w:color w:val="000000"/>
      <w:sz w:val="20"/>
      <w:szCs w:val="20"/>
    </w:rPr>
  </w:style>
  <w:style w:type="character" w:customStyle="1" w:styleId="MacroTextChar">
    <w:name w:val="Macro Text Char"/>
    <w:basedOn w:val="DefaultParagraphFont"/>
    <w:link w:val="MacroText"/>
    <w:uiPriority w:val="99"/>
    <w:rsid w:val="0029639D"/>
    <w:rPr>
      <w:rFonts w:ascii="Arial Unicode MS" w:hAnsi="Arial Unicode MS" w:eastAsia="Arial Unicode MS" w:cs="Arial Unicode MS"/>
      <w:sz w:val="20"/>
      <w:szCs w:val="20"/>
    </w:rPr>
  </w:style>
  <w:style w:type="paragraph" w:styleId="Quote">
    <w:name w:val="Quote"/>
    <w:basedOn w:val="Normal"/>
    <w:next w:val="Normal"/>
    <w:link w:val="QuoteChar"/>
    <w:uiPriority w:val="29"/>
    <w:qFormat/>
    <w:rsid w:val="00FC693F"/>
    <w:rPr>
      <w:rFonts w:ascii="Arial Unicode MS" w:hAnsi="Arial Unicode MS"/>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Unicode MS" w:hAnsi="Arial Unicode MS" w:eastAsia="Arial Unicode MS" w:cs="Arial Unicode MS"/>
      <w:b/>
      <w:bCs/>
      <w:i/>
      <w:iCs/>
      <w:color w:val="4F81BD" w:themeColor="accent1"/>
    </w:rPr>
  </w:style>
  <w:style w:type="character" w:customStyle="1" w:styleId="Heading5Char">
    <w:name w:val="Heading 5 Char"/>
    <w:basedOn w:val="DefaultParagraphFont"/>
    <w:link w:val="Heading5"/>
    <w:uiPriority w:val="9"/>
    <w:semiHidden/>
    <w:rsid w:val="00FC693F"/>
    <w:rPr>
      <w:rFonts w:ascii="Arial Unicode MS" w:hAnsi="Arial Unicode MS" w:eastAsia="Arial Unicode MS" w:cs="Arial Unicode MS"/>
      <w:color w:val="243F60" w:themeColor="accent1" w:themeShade="7F"/>
    </w:rPr>
  </w:style>
  <w:style w:type="character" w:customStyle="1" w:styleId="Heading6Char">
    <w:name w:val="Heading 6 Char"/>
    <w:basedOn w:val="DefaultParagraphFont"/>
    <w:link w:val="Heading6"/>
    <w:uiPriority w:val="9"/>
    <w:semiHidden/>
    <w:rsid w:val="00FC693F"/>
    <w:rPr>
      <w:rFonts w:ascii="Arial Unicode MS" w:hAnsi="Arial Unicode MS" w:eastAsia="Arial Unicode MS" w:cs="Arial Unicode MS"/>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Unicode MS" w:hAnsi="Arial Unicode MS" w:eastAsia="Arial Unicode MS" w:cs="Arial Unicode MS"/>
      <w:i/>
      <w:iCs/>
      <w:color w:val="404040" w:themeColor="text1" w:themeTint="BF"/>
    </w:rPr>
  </w:style>
  <w:style w:type="character" w:customStyle="1" w:styleId="Heading8Char">
    <w:name w:val="Heading 8 Char"/>
    <w:basedOn w:val="DefaultParagraphFont"/>
    <w:link w:val="Heading8"/>
    <w:uiPriority w:val="9"/>
    <w:semiHidden/>
    <w:rsid w:val="00FC693F"/>
    <w:rPr>
      <w:rFonts w:ascii="Arial Unicode MS" w:hAnsi="Arial Unicode MS" w:eastAsia="Arial Unicode MS" w:cs="Arial Unicode MS"/>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Unicode MS" w:hAnsi="Arial Unicode MS" w:eastAsia="Arial Unicode MS" w:cs="Arial Unicode M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Unicode MS" w:hAnsi="Arial Unicode M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Unicode MS" w:hAnsi="Arial Unicode MS"/>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Unicode MS" w:hAnsi="Arial Unicode MS"/>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Unicode MS" w:hAnsi="Arial Unicode MS" w:eastAsia="Arial Unicode MS" w:cs="Arial Unicode M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Unicode MS" w:hAnsi="Arial Unicode MS" w:eastAsia="Arial Unicode MS" w:cs="Arial Unicode M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Unicode MS" w:hAnsi="Arial Unicode MS" w:eastAsia="Arial Unicode MS" w:cs="Arial Unicode MS"/>
        <w:b/>
        <w:bCs/>
      </w:rPr>
    </w:tblStylePr>
    <w:tblStylePr w:type="lastCol">
      <w:rPr>
        <w:rFonts w:ascii="Arial Unicode MS" w:hAnsi="Arial Unicode MS" w:eastAsia="Arial Unicode MS" w:cs="Arial Unicode M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Unicode MS" w:hAnsi="Arial Unicode MS" w:eastAsia="Arial Unicode MS" w:cs="Arial Unicode M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Unicode MS" w:hAnsi="Arial Unicode MS" w:eastAsia="Arial Unicode MS" w:cs="Arial Unicode M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Unicode MS" w:hAnsi="Arial Unicode MS" w:eastAsia="Arial Unicode MS" w:cs="Arial Unicode MS"/>
        <w:b/>
        <w:bCs/>
      </w:rPr>
    </w:tblStylePr>
    <w:tblStylePr w:type="lastCol">
      <w:rPr>
        <w:rFonts w:ascii="Arial Unicode MS" w:hAnsi="Arial Unicode MS" w:eastAsia="Arial Unicode MS" w:cs="Arial Unicode M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Unicode MS" w:hAnsi="Arial Unicode MS" w:eastAsia="Arial Unicode MS" w:cs="Arial Unicode M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Unicode MS" w:hAnsi="Arial Unicode MS" w:eastAsia="Arial Unicode MS" w:cs="Arial Unicode M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Unicode MS" w:hAnsi="Arial Unicode MS" w:eastAsia="Arial Unicode MS" w:cs="Arial Unicode MS"/>
        <w:b/>
        <w:bCs/>
      </w:rPr>
    </w:tblStylePr>
    <w:tblStylePr w:type="lastCol">
      <w:rPr>
        <w:rFonts w:ascii="Arial Unicode MS" w:hAnsi="Arial Unicode MS" w:eastAsia="Arial Unicode MS" w:cs="Arial Unicode M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Unicode MS" w:hAnsi="Arial Unicode MS" w:eastAsia="Arial Unicode MS" w:cs="Arial Unicode M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Unicode MS" w:hAnsi="Arial Unicode MS" w:eastAsia="Arial Unicode MS" w:cs="Arial Unicode M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Unicode MS" w:hAnsi="Arial Unicode MS" w:eastAsia="Arial Unicode MS" w:cs="Arial Unicode MS"/>
        <w:b/>
        <w:bCs/>
      </w:rPr>
    </w:tblStylePr>
    <w:tblStylePr w:type="lastCol">
      <w:rPr>
        <w:rFonts w:ascii="Arial Unicode MS" w:hAnsi="Arial Unicode MS" w:eastAsia="Arial Unicode MS" w:cs="Arial Unicode M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Unicode MS" w:hAnsi="Arial Unicode MS" w:eastAsia="Arial Unicode MS" w:cs="Arial Unicode M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Unicode MS" w:hAnsi="Arial Unicode MS" w:eastAsia="Arial Unicode MS" w:cs="Arial Unicode M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Unicode MS" w:hAnsi="Arial Unicode MS" w:eastAsia="Arial Unicode MS" w:cs="Arial Unicode MS"/>
        <w:b/>
        <w:bCs/>
      </w:rPr>
    </w:tblStylePr>
    <w:tblStylePr w:type="lastCol">
      <w:rPr>
        <w:rFonts w:ascii="Arial Unicode MS" w:hAnsi="Arial Unicode MS" w:eastAsia="Arial Unicode MS" w:cs="Arial Unicode M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Unicode MS" w:hAnsi="Arial Unicode MS" w:eastAsia="Arial Unicode MS" w:cs="Arial Unicode M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Unicode MS" w:hAnsi="Arial Unicode MS" w:eastAsia="Arial Unicode MS" w:cs="Arial Unicode M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Unicode MS" w:hAnsi="Arial Unicode MS" w:eastAsia="Arial Unicode MS" w:cs="Arial Unicode MS"/>
        <w:b/>
        <w:bCs/>
      </w:rPr>
    </w:tblStylePr>
    <w:tblStylePr w:type="lastCol">
      <w:rPr>
        <w:rFonts w:ascii="Arial Unicode MS" w:hAnsi="Arial Unicode MS" w:eastAsia="Arial Unicode MS" w:cs="Arial Unicode M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Unicode MS" w:hAnsi="Arial Unicode MS" w:eastAsia="Arial Unicode MS" w:cs="Arial Unicode M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Unicode MS" w:hAnsi="Arial Unicode MS" w:eastAsia="Arial Unicode MS" w:cs="Arial Unicode M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Unicode MS" w:hAnsi="Arial Unicode MS" w:eastAsia="Arial Unicode MS" w:cs="Arial Unicode MS"/>
        <w:b/>
        <w:bCs/>
      </w:rPr>
    </w:tblStylePr>
    <w:tblStylePr w:type="lastCol">
      <w:rPr>
        <w:rFonts w:ascii="Arial Unicode MS" w:hAnsi="Arial Unicode MS" w:eastAsia="Arial Unicode MS" w:cs="Arial Unicode M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Unicode MS" w:hAnsi="Arial Unicode MS" w:eastAsia="Arial Unicode MS" w:cs="Arial Unicode M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Unicode MS" w:hAnsi="Arial Unicode MS" w:eastAsia="Arial Unicode MS" w:cs="Arial Unicode M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Unicode MS" w:hAnsi="Arial Unicode MS" w:eastAsia="Arial Unicode MS" w:cs="Arial Unicode M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Unicode MS" w:hAnsi="Arial Unicode MS" w:eastAsia="Arial Unicode MS" w:cs="Arial Unicode M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Unicode MS" w:hAnsi="Arial Unicode MS" w:eastAsia="Arial Unicode MS" w:cs="Arial Unicode M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Unicode MS" w:hAnsi="Arial Unicode MS" w:eastAsia="Arial Unicode MS" w:cs="Arial Unicode M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Unicode MS" w:hAnsi="Arial Unicode MS" w:eastAsia="Arial Unicode MS" w:cs="Arial Unicode M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Unicode MS" w:hAnsi="Arial Unicode MS" w:eastAsia="Arial Unicode MS" w:cs="Arial Unicode M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