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质量管理与变更控制培训手册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文件编号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生效日期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7F1"/>
          </w:tcPr>
          <w:p>
            <w:pPr>
              <w:spacing w:after="80" w:before="80"/>
            </w:pPr>
            <w:r>
              <w:rPr>
                <w:b/>
                <w:sz w:val="18"/>
              </w:rPr>
              <w:t>责任部门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QMS-009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V1.6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质量部</w:t>
            </w:r>
          </w:p>
        </w:tc>
      </w:tr>
    </w:tbl>
    <w:p>
      <w:pPr>
        <w:spacing w:before="160"/>
      </w:pPr>
      <w:r>
        <w:rPr>
          <w:rFonts w:ascii="Arial Unicode MS" w:hAnsi="Arial Unicode MS" w:eastAsia="Arial Unicode MS"/>
        </w:rPr>
        <w:t>虚构企业与合成数据，仅用于 RAG 教学。所有客户、价格、参数与业绩均为模拟。</w:t>
      </w:r>
    </w:p>
    <w:p>
      <w:pPr>
        <w:pStyle w:val="Heading1"/>
      </w:pPr>
      <w:r>
        <w:rPr>
          <w:rFonts w:ascii="Arial Unicode MS" w:hAnsi="Arial Unicode MS" w:eastAsia="Arial Unicode MS"/>
        </w:rPr>
        <w:t>检验与追溯</w:t>
      </w:r>
    </w:p>
    <w:p>
      <w:pPr>
        <w:pStyle w:val="Heading2"/>
      </w:pPr>
      <w:r>
        <w:rPr>
          <w:rFonts w:ascii="Arial Unicode MS" w:hAnsi="Arial Unicode MS" w:eastAsia="Arial Unicode MS"/>
        </w:rPr>
        <w:t>来料与供应商</w:t>
      </w:r>
    </w:p>
    <w:p>
      <w:r>
        <w:rPr>
          <w:rFonts w:ascii="Arial Unicode MS" w:hAnsi="Arial Unicode MS" w:eastAsia="Arial Unicode MS"/>
        </w:rPr>
        <w:t>供应链部提供采购规格与供应商批次，质量部依据检验计划执行来料检查。检验记录包含物料编号、批次、抽样范围、仪器状态与结论，不以供应商合格证代替全部来料核验。</w:t>
      </w:r>
    </w:p>
    <w:p>
      <w:r>
        <w:rPr>
          <w:rFonts w:ascii="Arial Unicode MS" w:hAnsi="Arial Unicode MS" w:eastAsia="Arial Unicode MS"/>
        </w:rPr>
        <w:t>用于电气隔离、关键测量和密封的部件须列入关键物料清单。供应商提出替代时，研发评估性能、环境与兼容性，质量部决定验证要求，未经批准不得直接混入生产批次。</w:t>
      </w:r>
    </w:p>
    <w:p>
      <w:pPr>
        <w:pStyle w:val="Heading2"/>
      </w:pPr>
      <w:r>
        <w:rPr>
          <w:rFonts w:ascii="Arial Unicode MS" w:hAnsi="Arial Unicode MS" w:eastAsia="Arial Unicode MS"/>
        </w:rPr>
        <w:t>出厂与序列号</w:t>
      </w:r>
    </w:p>
    <w:p>
      <w:r>
        <w:rPr>
          <w:rFonts w:ascii="Arial Unicode MS" w:hAnsi="Arial Unicode MS" w:eastAsia="Arial Unicode MS"/>
        </w:rPr>
        <w:t>所有主机进行供电、通信、配置和基本功能检查，传感器按检验计划验证关键测量点。每台主机具有唯一序列号，并关联硬件版本、固件版本、检验结果与发货订单。</w:t>
      </w:r>
    </w:p>
    <w:p>
      <w:r>
        <w:rPr>
          <w:rFonts w:ascii="Arial Unicode MS" w:hAnsi="Arial Unicode MS" w:eastAsia="Arial Unicode MS"/>
        </w:rPr>
        <w:t>本训练的序列号格式为LC加系列代码、两位年份、两位月份和五位流水号，例如LCGW261000128。序列号表示生产追溯，不表示质保已从生产月份开始。</w:t>
      </w:r>
    </w:p>
    <w:p>
      <w:pPr>
        <w:pStyle w:val="Heading2"/>
      </w:pPr>
      <w:r>
        <w:rPr>
          <w:rFonts w:ascii="Arial Unicode MS" w:hAnsi="Arial Unicode MS" w:eastAsia="Arial Unicode MS"/>
        </w:rPr>
        <w:t>不合格隔离</w:t>
      </w:r>
    </w:p>
    <w:p>
      <w:r>
        <w:rPr>
          <w:rFonts w:ascii="Arial Unicode MS" w:hAnsi="Arial Unicode MS" w:eastAsia="Arial Unicode MS"/>
        </w:rPr>
        <w:t>发现不合格品立即标识并放入隔离区，记录现象、批次、数量和影响范围。未经质量部放行不得发货，销售催单不能作为放行依据。</w:t>
      </w:r>
    </w:p>
    <w:p>
      <w:r>
        <w:rPr>
          <w:rFonts w:ascii="Arial Unicode MS" w:hAnsi="Arial Unicode MS" w:eastAsia="Arial Unicode MS"/>
        </w:rPr>
        <w:t>返工后复检原不合格项及受影响项。让步接收必须明确不符合内容和使用限制，且不得用于突破安全要求或对客户隐瞒与已承诺规格不一致的事实。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变更评审与验证</w:t>
      </w:r>
    </w:p>
    <w:p>
      <w:pPr>
        <w:pStyle w:val="Heading2"/>
      </w:pPr>
      <w:r>
        <w:rPr>
          <w:rFonts w:ascii="Arial Unicode MS" w:hAnsi="Arial Unicode MS" w:eastAsia="Arial Unicode MS"/>
        </w:rPr>
        <w:t>变更等级</w:t>
      </w:r>
    </w:p>
    <w:p>
      <w:r>
        <w:rPr>
          <w:rFonts w:ascii="Arial Unicode MS" w:hAnsi="Arial Unicode MS" w:eastAsia="Arial Unicode MS"/>
        </w:rPr>
        <w:t>A类变更影响接口、量程、准确度、供电或协议兼容性；B类影响外观、包装或文档而不改变已声明功能；无法确定时按A类评审。固件功能变化不因无硬件改动就自动归B类。</w:t>
      </w:r>
    </w:p>
    <w:p>
      <w:r>
        <w:rPr>
          <w:rFonts w:ascii="Arial Unicode MS" w:hAnsi="Arial Unicode MS" w:eastAsia="Arial Unicode MS"/>
        </w:rPr>
        <w:t>A类由研发、产品、质量和交付联合评审，涉及已交付项目时通知销售确认客户影响。B类由责任部门与质量部评审，并登记无需功能复测的理由。</w:t>
      </w:r>
    </w:p>
    <w:p>
      <w:pPr>
        <w:pStyle w:val="Heading2"/>
      </w:pPr>
      <w:r>
        <w:rPr>
          <w:rFonts w:ascii="Arial Unicode MS" w:hAnsi="Arial Unicode MS" w:eastAsia="Arial Unicode MS"/>
        </w:rPr>
        <w:t>验证与回滚</w:t>
      </w:r>
    </w:p>
    <w:p>
      <w:r>
        <w:rPr>
          <w:rFonts w:ascii="Arial Unicode MS" w:hAnsi="Arial Unicode MS" w:eastAsia="Arial Unicode MS"/>
        </w:rPr>
        <w:t>变更计划列明需求、影响型号、测试条件、通过标准、回滚方式与负责人。验证应覆盖正常、边界和异常输入，例如最小供电、最大点数、网络中断及恢复。</w:t>
      </w:r>
    </w:p>
    <w:p>
      <w:r>
        <w:rPr>
          <w:rFonts w:ascii="Arial Unicode MS" w:hAnsi="Arial Unicode MS" w:eastAsia="Arial Unicode MS"/>
        </w:rPr>
        <w:t>对于GW点数或缓存相关变更，应记录负载与数据速率。对于IO信号变化，应逐通道核对量程、极性和缩放，不能仅以通讯可连接作为完整兼容性证据。</w:t>
      </w:r>
    </w:p>
    <w:p>
      <w:pPr>
        <w:pStyle w:val="Heading2"/>
      </w:pPr>
      <w:r>
        <w:rPr>
          <w:rFonts w:ascii="Arial Unicode MS" w:hAnsi="Arial Unicode MS" w:eastAsia="Arial Unicode MS"/>
        </w:rPr>
        <w:t>版本发布</w:t>
      </w:r>
    </w:p>
    <w:p>
      <w:r>
        <w:rPr>
          <w:rFonts w:ascii="Arial Unicode MS" w:hAnsi="Arial Unicode MS" w:eastAsia="Arial Unicode MS"/>
        </w:rPr>
        <w:t>发布前更新型号适配表、技术参数、已知问题和升级说明。产品资料修订需注明生效日期与旧版差异，历史值明确标记为已失效，避免知识库把旧参数当成当前规格。</w:t>
      </w:r>
    </w:p>
    <w:p>
      <w:r>
        <w:rPr>
          <w:rFonts w:ascii="Arial Unicode MS" w:hAnsi="Arial Unicode MS" w:eastAsia="Arial Unicode MS"/>
        </w:rPr>
        <w:t>已交付设备升级由项目负责人评估并取得客户确认，不自动覆盖客户配置。保留升级前备份和回滚验证结果，发生异常可恢复原状态。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纠正措施与文件控制</w:t>
      </w:r>
    </w:p>
    <w:p>
      <w:pPr>
        <w:pStyle w:val="Heading2"/>
      </w:pPr>
      <w:r>
        <w:rPr>
          <w:rFonts w:ascii="Arial Unicode MS" w:hAnsi="Arial Unicode MS" w:eastAsia="Arial Unicode MS"/>
        </w:rPr>
        <w:t>问题闭环</w:t>
      </w:r>
    </w:p>
    <w:p>
      <w:r>
        <w:rPr>
          <w:rFonts w:ascii="Arial Unicode MS" w:hAnsi="Arial Unicode MS" w:eastAsia="Arial Unicode MS"/>
        </w:rPr>
        <w:t>质量问题按发现、隔离、分析、纠正、验证和关闭处理。分析区分发生原因和未检出原因，措施应对应证据，不以加强培训作为所有问题的唯一措施。</w:t>
      </w:r>
    </w:p>
    <w:p>
      <w:r>
        <w:rPr>
          <w:rFonts w:ascii="Arial Unicode MS" w:hAnsi="Arial Unicode MS" w:eastAsia="Arial Unicode MS"/>
        </w:rPr>
        <w:t>同类故障30个自然日内出现三次或影响两个以上客户项目时，由质量部发起专项复盘。次数按相同根因归类，不把不同型号的无关问题机械合并。</w:t>
      </w:r>
    </w:p>
    <w:p>
      <w:pPr>
        <w:pStyle w:val="Heading2"/>
      </w:pPr>
      <w:r>
        <w:rPr>
          <w:rFonts w:ascii="Arial Unicode MS" w:hAnsi="Arial Unicode MS" w:eastAsia="Arial Unicode MS"/>
        </w:rPr>
        <w:t>文件与样本</w:t>
      </w:r>
    </w:p>
    <w:p>
      <w:r>
        <w:rPr>
          <w:rFonts w:ascii="Arial Unicode MS" w:hAnsi="Arial Unicode MS" w:eastAsia="Arial Unicode MS"/>
        </w:rPr>
        <w:t>有效文件统一登记编号、版本、责任人和生效日期，撤回文件保留只读归档。样机、试制件与量产件分开标识，试制参数不得直接替代量产产品表。</w:t>
      </w:r>
    </w:p>
    <w:p>
      <w:r>
        <w:rPr>
          <w:rFonts w:ascii="Arial Unicode MS" w:hAnsi="Arial Unicode MS" w:eastAsia="Arial Unicode MS"/>
        </w:rPr>
        <w:t>产品参数页包含测试条件，目录包含商务与交付字段，案例包含现场结果。三者应相互引用但不互相覆盖。客户项目特殊要求必须进入受控附件和验证记录。</w:t>
      </w:r>
    </w:p>
    <w:p>
      <w:pPr>
        <w:pStyle w:val="Heading2"/>
      </w:pPr>
      <w:r>
        <w:rPr>
          <w:rFonts w:ascii="Arial Unicode MS" w:hAnsi="Arial Unicode MS" w:eastAsia="Arial Unicode MS"/>
        </w:rPr>
        <w:t>审核与生效</w:t>
      </w:r>
    </w:p>
    <w:p>
      <w:r>
        <w:rPr>
          <w:rFonts w:ascii="Arial Unicode MS" w:hAnsi="Arial Unicode MS" w:eastAsia="Arial Unicode MS"/>
        </w:rPr>
        <w:t>质量部每季度抽查一个产品批次和一个交付项目，检查型号、序列号、版本、原始数据与验收记录能否完整追溯。缺失记录应补充解释，禁止伪造原始检验时间。</w:t>
      </w:r>
    </w:p>
    <w:p>
      <w:r>
        <w:rPr>
          <w:rFonts w:ascii="Arial Unicode MS" w:hAnsi="Arial Unicode MS" w:eastAsia="Arial Unicode MS"/>
        </w:rPr>
        <w:t>QMS-009 V1.6于2026年10月1日生效。本版新增知识库版本误用检查，A类变更定义与出厂放行权限保持不变。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QMS-009  V1.6  |  合成教学数据  |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澜川智联科技有限公司  内部培训资料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2" w:lineRule="auto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12" w:lineRule="auto"/>
      <w:outlineLvl w:val="0"/>
    </w:pPr>
    <w:rPr>
      <w:rFonts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Unicode MS" w:hAnsi="Arial Unicode MS" w:eastAsia="Arial Unicode MS" w:cs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12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 Unicode MS" w:hAnsi="Arial Unicode MS" w:eastAsia="Arial Unicode MS" w:cs="Arial Unicode MS"/>
        <w:b/>
        <w:bCs/>
      </w:rPr>
    </w:tblStylePr>
    <w:tblStylePr w:type="lastCol">
      <w:rPr>
        <w:rFonts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