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</w:pPr>
    </w:p>
    <w:p>
      <w:pPr>
        <w:jc w:val="center"/>
      </w:pPr>
      <w:r>
        <w:rPr>
          <w:rFonts w:ascii="Arial" w:hAnsi="Arial"/>
          <w:b/>
          <w:i w:val="0"/>
          <w:color w:val="1A365D"/>
          <w:sz w:val="44"/>
        </w:rPr>
        <w:t>HEART DISEASE PREDICTION SYSTEM</w:t>
        <w:br/>
      </w:r>
      <w:r>
        <w:rPr>
          <w:rFonts w:ascii="Arial" w:hAnsi="Arial"/>
          <w:b w:val="0"/>
          <w:i w:val="0"/>
          <w:color w:val="3182CE"/>
          <w:sz w:val="26"/>
        </w:rPr>
        <w:t>AI Subsystem Architecture, Validation &amp; Performance Outline</w:t>
      </w:r>
    </w:p>
    <w:p>
      <w:pPr>
        <w:spacing w:before="480"/>
        <w:jc w:val="center"/>
        <w:pBdr>
          <w:bottom w:val="single" w:sz="12" w:space="1" w:color="319795"/>
        </w:pBdr>
      </w:pPr>
    </w:p>
    <w:p>
      <w:pPr>
        <w:spacing w:before="960"/>
        <w:jc w:val="center"/>
      </w:pPr>
      <w:r>
        <w:rPr>
          <w:rFonts w:ascii="Arial" w:hAnsi="Arial"/>
          <w:b w:val="0"/>
          <w:i/>
          <w:color w:val="718096"/>
          <w:sz w:val="19"/>
        </w:rPr>
        <w:t>AI Solutions &amp; Quality Assurance Teams  |  Slide Presentation</w:t>
      </w:r>
    </w:p>
    <w:p>
      <w:r>
        <w:br w:type="page"/>
      </w:r>
    </w:p>
    <w:p>
      <w:pPr>
        <w:keepNext/>
        <w:spacing w:before="480" w:after="240"/>
        <w:pBdr>
          <w:bottom w:val="single" w:sz="4" w:space="4" w:color="CBD5E0"/>
        </w:pBdr>
      </w:pPr>
      <w:r>
        <w:rPr>
          <w:rFonts w:ascii="Arial" w:hAnsi="Arial"/>
          <w:b/>
          <w:i w:val="0"/>
          <w:color w:val="1A365D"/>
          <w:sz w:val="30"/>
        </w:rPr>
        <w:t>SLIDE 2: SYSTEM VISION &amp; SCOPE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color w:val="2D3748"/>
          <w:sz w:val="20"/>
        </w:rPr>
        <w:t>Key features of the heart disease diagnostic AI assistant: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i w:val="0"/>
          <w:color w:val="2D3748"/>
          <w:sz w:val="20"/>
        </w:rPr>
        <w:t xml:space="preserve">1. Tabular Risk Predictor: </w:t>
      </w:r>
      <w:r>
        <w:rPr>
          <w:rFonts w:ascii="Arial" w:hAnsi="Arial"/>
          <w:b w:val="0"/>
          <w:i w:val="0"/>
          <w:color w:val="2D3748"/>
          <w:sz w:val="20"/>
        </w:rPr>
        <w:t>Identifies risks from tabular profiles (BP, cholesterol, age).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i w:val="0"/>
          <w:color w:val="2D3748"/>
          <w:sz w:val="20"/>
        </w:rPr>
        <w:t xml:space="preserve">2. Waveform ECG Classifier: </w:t>
      </w:r>
      <w:r>
        <w:rPr>
          <w:rFonts w:ascii="Arial" w:hAnsi="Arial"/>
          <w:b w:val="0"/>
          <w:i w:val="0"/>
          <w:color w:val="2D3748"/>
          <w:sz w:val="20"/>
        </w:rPr>
        <w:t>Processes 12-channel raw signals for conduction anomalies.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i w:val="0"/>
          <w:color w:val="2D3748"/>
          <w:sz w:val="20"/>
        </w:rPr>
        <w:t xml:space="preserve">3. Generative Explanations: </w:t>
      </w:r>
      <w:r>
        <w:rPr>
          <w:rFonts w:ascii="Arial" w:hAnsi="Arial"/>
          <w:b w:val="0"/>
          <w:i w:val="0"/>
          <w:color w:val="2D3748"/>
          <w:sz w:val="20"/>
        </w:rPr>
        <w:t>Dynamic generation of patient reports and safety-vetted recommendations.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i w:val="0"/>
          <w:color w:val="2D3748"/>
          <w:sz w:val="20"/>
        </w:rPr>
        <w:t xml:space="preserve">4. Explainable AI (XAI): </w:t>
      </w:r>
      <w:r>
        <w:rPr>
          <w:rFonts w:ascii="Arial" w:hAnsi="Arial"/>
          <w:b w:val="0"/>
          <w:i w:val="0"/>
          <w:color w:val="2D3748"/>
          <w:sz w:val="20"/>
        </w:rPr>
        <w:t>Displays SHAP feature importances to patients for increased explanation transparency.</w:t>
      </w:r>
    </w:p>
    <w:p>
      <w:r>
        <w:br w:type="page"/>
      </w:r>
    </w:p>
    <w:p>
      <w:pPr>
        <w:keepNext/>
        <w:spacing w:before="480" w:after="240"/>
        <w:pBdr>
          <w:bottom w:val="single" w:sz="4" w:space="4" w:color="CBD5E0"/>
        </w:pBdr>
      </w:pPr>
      <w:r>
        <w:rPr>
          <w:rFonts w:ascii="Arial" w:hAnsi="Arial"/>
          <w:b/>
          <w:i w:val="0"/>
          <w:color w:val="1A365D"/>
          <w:sz w:val="30"/>
        </w:rPr>
        <w:t>SLIDE 3: THREE-PILLAR SUBSYSTEM ARCHITECTURE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color w:val="2D3748"/>
          <w:sz w:val="20"/>
        </w:rPr>
        <w:t>The AI subsystem divides diagnostic workloads into three independent service layers: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A365D"/>
                <w:sz w:val="19"/>
              </w:rPr>
              <w:t>Input Patient Metrics (Tabular Features + 12-Lead ECG Signal)</w:t>
            </w:r>
          </w:p>
        </w:tc>
      </w:tr>
      <w:tr>
        <w:tc>
          <w:tcPr>
            <w:tcW w:type="dxa" w:w="9936"/>
            <w:shd w:fill="FFFFFF"/>
            <w:tcMar>
              <w:top w:w="40" w:type="dxa"/>
              <w:bottom w:w="40" w:type="dxa"/>
              <w:left w:w="150" w:type="dxa"/>
              <w:right w:w="15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3182CE"/>
                <w:sz w:val="22"/>
              </w:rPr>
              <w:t>↓</w:t>
            </w:r>
          </w:p>
        </w:tc>
      </w:tr>
      <w:tr>
        <w:tc>
          <w:tcPr>
            <w:tcW w:type="dxa" w:w="9936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A365D"/>
                <w:sz w:val="19"/>
              </w:rPr>
              <w:t>Pillar 1: Tabular ML (predict API &amp; SHAP generation)</w:t>
            </w:r>
          </w:p>
        </w:tc>
      </w:tr>
      <w:tr>
        <w:tc>
          <w:tcPr>
            <w:tcW w:type="dxa" w:w="9936"/>
            <w:shd w:fill="FFFFFF"/>
            <w:tcMar>
              <w:top w:w="40" w:type="dxa"/>
              <w:bottom w:w="40" w:type="dxa"/>
              <w:left w:w="150" w:type="dxa"/>
              <w:right w:w="15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3182CE"/>
                <w:sz w:val="22"/>
              </w:rPr>
              <w:t>↓</w:t>
            </w:r>
          </w:p>
        </w:tc>
      </w:tr>
      <w:tr>
        <w:tc>
          <w:tcPr>
            <w:tcW w:type="dxa" w:w="9936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A365D"/>
                <w:sz w:val="19"/>
              </w:rPr>
              <w:t>Pillar 2: Deep Learning ECG (xresnet1d101 multi-label inference)</w:t>
            </w:r>
          </w:p>
        </w:tc>
      </w:tr>
      <w:tr>
        <w:tc>
          <w:tcPr>
            <w:tcW w:type="dxa" w:w="9936"/>
            <w:shd w:fill="FFFFFF"/>
            <w:tcMar>
              <w:top w:w="40" w:type="dxa"/>
              <w:bottom w:w="40" w:type="dxa"/>
              <w:left w:w="150" w:type="dxa"/>
              <w:right w:w="15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3182CE"/>
                <w:sz w:val="22"/>
              </w:rPr>
              <w:t>↓</w:t>
            </w:r>
          </w:p>
        </w:tc>
      </w:tr>
      <w:tr>
        <w:tc>
          <w:tcPr>
            <w:tcW w:type="dxa" w:w="9936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A365D"/>
                <w:sz w:val="19"/>
              </w:rPr>
              <w:t>Pillar 3: Generative Consultant (LangChain + Groq Llama-3.3-70b)</w:t>
            </w:r>
          </w:p>
        </w:tc>
      </w:tr>
      <w:tr>
        <w:tc>
          <w:tcPr>
            <w:tcW w:type="dxa" w:w="9936"/>
            <w:shd w:fill="FFFFFF"/>
            <w:tcMar>
              <w:top w:w="40" w:type="dxa"/>
              <w:bottom w:w="40" w:type="dxa"/>
              <w:left w:w="150" w:type="dxa"/>
              <w:right w:w="15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3182CE"/>
                <w:sz w:val="22"/>
              </w:rPr>
              <w:t>↓</w:t>
            </w:r>
          </w:p>
        </w:tc>
      </w:tr>
      <w:tr>
        <w:tc>
          <w:tcPr>
            <w:tcW w:type="dxa" w:w="9936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A365D"/>
                <w:sz w:val="19"/>
              </w:rPr>
              <w:t>Output Gateway Package (Safe advisory recommendations JSON)</w:t>
            </w:r>
          </w:p>
        </w:tc>
      </w:tr>
    </w:tbl>
    <w:p>
      <w:pPr>
        <w:keepNext/>
        <w:spacing w:before="80" w:after="240"/>
        <w:jc w:val="center"/>
      </w:pPr>
      <w:r>
        <w:rPr>
          <w:rFonts w:ascii="Arial" w:hAnsi="Arial"/>
          <w:b w:val="0"/>
          <w:i/>
          <w:color w:val="718096"/>
          <w:sz w:val="17"/>
        </w:rPr>
        <w:t>Flow Diagram: AI Subsystem Modular Pillars</w:t>
      </w:r>
    </w:p>
    <w:p>
      <w:r>
        <w:br w:type="page"/>
      </w:r>
    </w:p>
    <w:p>
      <w:pPr>
        <w:keepNext/>
        <w:spacing w:before="480" w:after="240"/>
        <w:pBdr>
          <w:bottom w:val="single" w:sz="4" w:space="4" w:color="CBD5E0"/>
        </w:pBdr>
      </w:pPr>
      <w:r>
        <w:rPr>
          <w:rFonts w:ascii="Arial" w:hAnsi="Arial"/>
          <w:b/>
          <w:i w:val="0"/>
          <w:color w:val="1A365D"/>
          <w:sz w:val="30"/>
        </w:rPr>
        <w:t>SLIDE 4: WHY THE PTB-XL DATASET?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color w:val="2D3748"/>
          <w:sz w:val="20"/>
        </w:rPr>
        <w:t>Citing clinical database standards for deep learning models: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i w:val="0"/>
          <w:color w:val="2D3748"/>
          <w:sz w:val="20"/>
        </w:rPr>
        <w:t xml:space="preserve">Scale: </w:t>
      </w:r>
      <w:r>
        <w:rPr>
          <w:rFonts w:ascii="Arial" w:hAnsi="Arial"/>
          <w:b w:val="0"/>
          <w:i w:val="0"/>
          <w:color w:val="2D3748"/>
          <w:sz w:val="20"/>
        </w:rPr>
        <w:t>PTB-XL contains 21,837 high-resolution ECG records from 18,885 patients.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i w:val="0"/>
          <w:color w:val="2D3748"/>
          <w:sz w:val="20"/>
        </w:rPr>
        <w:t xml:space="preserve">Coverage: </w:t>
      </w:r>
      <w:r>
        <w:rPr>
          <w:rFonts w:ascii="Arial" w:hAnsi="Arial"/>
          <w:b w:val="0"/>
          <w:i w:val="0"/>
          <w:color w:val="2D3748"/>
          <w:sz w:val="20"/>
        </w:rPr>
        <w:t>Annotations map to 71 distinct diagnostic statements conforming to SCP-ECG standards.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i w:val="0"/>
          <w:color w:val="2D3748"/>
          <w:sz w:val="20"/>
        </w:rPr>
        <w:t xml:space="preserve">Validation split: </w:t>
      </w:r>
      <w:r>
        <w:rPr>
          <w:rFonts w:ascii="Arial" w:hAnsi="Arial"/>
          <w:b w:val="0"/>
          <w:i w:val="0"/>
          <w:color w:val="2D3748"/>
          <w:sz w:val="20"/>
        </w:rPr>
        <w:t>Gold standard 10-fold splits (folds 1-8 training, 9 validation, 10 testing) guarantee clinical generalization.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i w:val="0"/>
          <w:color w:val="2D3748"/>
          <w:sz w:val="20"/>
        </w:rPr>
        <w:t xml:space="preserve">Imbalance resolution: </w:t>
      </w:r>
      <w:r>
        <w:rPr>
          <w:rFonts w:ascii="Arial" w:hAnsi="Arial"/>
          <w:b w:val="0"/>
          <w:i w:val="0"/>
          <w:color w:val="2D3748"/>
          <w:sz w:val="20"/>
        </w:rPr>
        <w:t>Avoids the severe class imbalance and overfitting issues inherent in small samples (e.g. 1000 patients).</w:t>
      </w:r>
    </w:p>
    <w:p>
      <w:r>
        <w:br w:type="page"/>
      </w:r>
    </w:p>
    <w:p>
      <w:pPr>
        <w:keepNext/>
        <w:spacing w:before="480" w:after="240"/>
        <w:pBdr>
          <w:bottom w:val="single" w:sz="4" w:space="4" w:color="CBD5E0"/>
        </w:pBdr>
      </w:pPr>
      <w:r>
        <w:rPr>
          <w:rFonts w:ascii="Arial" w:hAnsi="Arial"/>
          <w:b/>
          <w:i w:val="0"/>
          <w:color w:val="1A365D"/>
          <w:sz w:val="30"/>
        </w:rPr>
        <w:t>SLIDE 5: ECG PROCESSING PIPELINE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color w:val="2D3748"/>
          <w:sz w:val="20"/>
        </w:rPr>
        <w:t>Full signal processing path from file ingestion to prediction: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A365D"/>
                <w:sz w:val="19"/>
              </w:rPr>
              <w:t>Ingest raw ECG signal files (.dat array + .hea header properties)</w:t>
            </w:r>
          </w:p>
        </w:tc>
      </w:tr>
      <w:tr>
        <w:tc>
          <w:tcPr>
            <w:tcW w:type="dxa" w:w="9936"/>
            <w:shd w:fill="FFFFFF"/>
            <w:tcMar>
              <w:top w:w="40" w:type="dxa"/>
              <w:bottom w:w="40" w:type="dxa"/>
              <w:left w:w="150" w:type="dxa"/>
              <w:right w:w="15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3182CE"/>
                <w:sz w:val="22"/>
              </w:rPr>
              <w:t>↓</w:t>
            </w:r>
          </w:p>
        </w:tc>
      </w:tr>
      <w:tr>
        <w:tc>
          <w:tcPr>
            <w:tcW w:type="dxa" w:w="9936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A365D"/>
                <w:sz w:val="19"/>
              </w:rPr>
              <w:t>StandardScaler normalization (restores magnitude scales)</w:t>
            </w:r>
          </w:p>
        </w:tc>
      </w:tr>
      <w:tr>
        <w:tc>
          <w:tcPr>
            <w:tcW w:type="dxa" w:w="9936"/>
            <w:shd w:fill="FFFFFF"/>
            <w:tcMar>
              <w:top w:w="40" w:type="dxa"/>
              <w:bottom w:w="40" w:type="dxa"/>
              <w:left w:w="150" w:type="dxa"/>
              <w:right w:w="15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3182CE"/>
                <w:sz w:val="22"/>
              </w:rPr>
              <w:t>↓</w:t>
            </w:r>
          </w:p>
        </w:tc>
      </w:tr>
      <w:tr>
        <w:tc>
          <w:tcPr>
            <w:tcW w:type="dxa" w:w="9936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A365D"/>
                <w:sz w:val="19"/>
              </w:rPr>
              <w:t>Matrix transposition to match channels (leads I, II, III, aVR, aVL, aVF, V1-V6)</w:t>
            </w:r>
          </w:p>
        </w:tc>
      </w:tr>
      <w:tr>
        <w:tc>
          <w:tcPr>
            <w:tcW w:type="dxa" w:w="9936"/>
            <w:shd w:fill="FFFFFF"/>
            <w:tcMar>
              <w:top w:w="40" w:type="dxa"/>
              <w:bottom w:w="40" w:type="dxa"/>
              <w:left w:w="150" w:type="dxa"/>
              <w:right w:w="15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3182CE"/>
                <w:sz w:val="22"/>
              </w:rPr>
              <w:t>↓</w:t>
            </w:r>
          </w:p>
        </w:tc>
      </w:tr>
      <w:tr>
        <w:tc>
          <w:tcPr>
            <w:tcW w:type="dxa" w:w="9936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A365D"/>
                <w:sz w:val="19"/>
              </w:rPr>
              <w:t>PyTorch tensor packaging and memory allocation (Shape: 1, 12, T)</w:t>
            </w:r>
          </w:p>
        </w:tc>
      </w:tr>
      <w:tr>
        <w:tc>
          <w:tcPr>
            <w:tcW w:type="dxa" w:w="9936"/>
            <w:shd w:fill="FFFFFF"/>
            <w:tcMar>
              <w:top w:w="40" w:type="dxa"/>
              <w:bottom w:w="40" w:type="dxa"/>
              <w:left w:w="150" w:type="dxa"/>
              <w:right w:w="15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3182CE"/>
                <w:sz w:val="22"/>
              </w:rPr>
              <w:t>↓</w:t>
            </w:r>
          </w:p>
        </w:tc>
      </w:tr>
      <w:tr>
        <w:tc>
          <w:tcPr>
            <w:tcW w:type="dxa" w:w="9936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A365D"/>
                <w:sz w:val="19"/>
              </w:rPr>
              <w:t>Forward pass through xresnet1d101 convolutional network layers</w:t>
            </w:r>
          </w:p>
        </w:tc>
      </w:tr>
      <w:tr>
        <w:tc>
          <w:tcPr>
            <w:tcW w:type="dxa" w:w="9936"/>
            <w:shd w:fill="FFFFFF"/>
            <w:tcMar>
              <w:top w:w="40" w:type="dxa"/>
              <w:bottom w:w="40" w:type="dxa"/>
              <w:left w:w="150" w:type="dxa"/>
              <w:right w:w="15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3182CE"/>
                <w:sz w:val="22"/>
              </w:rPr>
              <w:t>↓</w:t>
            </w:r>
          </w:p>
        </w:tc>
      </w:tr>
      <w:tr>
        <w:tc>
          <w:tcPr>
            <w:tcW w:type="dxa" w:w="9936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A365D"/>
                <w:sz w:val="19"/>
              </w:rPr>
              <w:t>Sigmoid activation generates multi-label class probabilities</w:t>
            </w:r>
          </w:p>
        </w:tc>
      </w:tr>
    </w:tbl>
    <w:p>
      <w:pPr>
        <w:keepNext/>
        <w:spacing w:before="80" w:after="240"/>
        <w:jc w:val="center"/>
      </w:pPr>
      <w:r>
        <w:rPr>
          <w:rFonts w:ascii="Arial" w:hAnsi="Arial"/>
          <w:b w:val="0"/>
          <w:i/>
          <w:color w:val="718096"/>
          <w:sz w:val="17"/>
        </w:rPr>
        <w:t>Flow Diagram: ECG Pipeline: raw files to multi-label output</w:t>
      </w:r>
    </w:p>
    <w:p>
      <w:r>
        <w:br w:type="page"/>
      </w:r>
    </w:p>
    <w:p>
      <w:pPr>
        <w:keepNext/>
        <w:spacing w:before="480" w:after="240"/>
        <w:pBdr>
          <w:bottom w:val="single" w:sz="4" w:space="4" w:color="CBD5E0"/>
        </w:pBdr>
      </w:pPr>
      <w:r>
        <w:rPr>
          <w:rFonts w:ascii="Arial" w:hAnsi="Arial"/>
          <w:b/>
          <w:i w:val="0"/>
          <w:color w:val="1A365D"/>
          <w:sz w:val="30"/>
        </w:rPr>
        <w:t>SLIDE 6: TRANSFER LEARNING BENEFITS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color w:val="2D3748"/>
          <w:sz w:val="20"/>
        </w:rPr>
        <w:t>Leveraging large-scale pre-trained models for local diagnostic targets: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i w:val="0"/>
          <w:color w:val="2D3748"/>
          <w:sz w:val="20"/>
        </w:rPr>
        <w:t xml:space="preserve">Feature representation: </w:t>
      </w:r>
      <w:r>
        <w:rPr>
          <w:rFonts w:ascii="Arial" w:hAnsi="Arial"/>
          <w:b w:val="0"/>
          <w:i w:val="0"/>
          <w:color w:val="2D3748"/>
          <w:sz w:val="20"/>
        </w:rPr>
        <w:t>Pre-training on the massive PTB-XL database allows xresnet1d101 to learn robust general cardiac features.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i w:val="0"/>
          <w:color w:val="2D3748"/>
          <w:sz w:val="20"/>
        </w:rPr>
        <w:t xml:space="preserve">Weight Transfer: </w:t>
      </w:r>
      <w:r>
        <w:rPr>
          <w:rFonts w:ascii="Arial" w:hAnsi="Arial"/>
          <w:b w:val="0"/>
          <w:i w:val="0"/>
          <w:color w:val="2D3748"/>
          <w:sz w:val="20"/>
        </w:rPr>
        <w:t>Transferring pretrained weights to localized tasks bypasses data scarcity issues.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i w:val="0"/>
          <w:color w:val="2D3748"/>
          <w:sz w:val="20"/>
        </w:rPr>
        <w:t xml:space="preserve">Clinical Safety: </w:t>
      </w:r>
      <w:r>
        <w:rPr>
          <w:rFonts w:ascii="Arial" w:hAnsi="Arial"/>
          <w:b w:val="0"/>
          <w:i w:val="0"/>
          <w:color w:val="2D3748"/>
          <w:sz w:val="20"/>
        </w:rPr>
        <w:t>Achieves high sensitivity and prevents false negatives, resolving issues of small training samples.</w:t>
      </w:r>
    </w:p>
    <w:p>
      <w:r>
        <w:br w:type="page"/>
      </w:r>
    </w:p>
    <w:p>
      <w:pPr>
        <w:keepNext/>
        <w:spacing w:before="480" w:after="240"/>
        <w:pBdr>
          <w:bottom w:val="single" w:sz="4" w:space="4" w:color="CBD5E0"/>
        </w:pBdr>
      </w:pPr>
      <w:r>
        <w:rPr>
          <w:rFonts w:ascii="Arial" w:hAnsi="Arial"/>
          <w:b/>
          <w:i w:val="0"/>
          <w:color w:val="1A365D"/>
          <w:sz w:val="30"/>
        </w:rPr>
        <w:t>SLIDE 7: EXPLAINABLE ECG AI (ATTRIBUTION MAPS)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color w:val="2D3748"/>
          <w:sz w:val="20"/>
        </w:rPr>
        <w:t>Visualizing convolutional network predictions to secure clinical trust: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i w:val="0"/>
          <w:color w:val="2D3748"/>
          <w:sz w:val="20"/>
        </w:rPr>
        <w:t xml:space="preserve">Saliency Mapping: </w:t>
      </w:r>
      <w:r>
        <w:rPr>
          <w:rFonts w:ascii="Arial" w:hAnsi="Arial"/>
          <w:b w:val="0"/>
          <w:i w:val="0"/>
          <w:color w:val="2D3748"/>
          <w:sz w:val="20"/>
        </w:rPr>
        <w:t>Backpropagates model decisions to pinpoint specific time-intervals triggering diagnosis.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i w:val="0"/>
          <w:color w:val="2D3748"/>
          <w:sz w:val="20"/>
        </w:rPr>
        <w:t xml:space="preserve">Lead localization: </w:t>
      </w:r>
      <w:r>
        <w:rPr>
          <w:rFonts w:ascii="Arial" w:hAnsi="Arial"/>
          <w:b w:val="0"/>
          <w:i w:val="0"/>
          <w:color w:val="2D3748"/>
          <w:sz w:val="20"/>
        </w:rPr>
        <w:t>Saliency heatmaps highlight pathological signals (e.g. ST elevations, inverted T waves).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i w:val="0"/>
          <w:color w:val="2D3748"/>
          <w:sz w:val="20"/>
        </w:rPr>
        <w:t xml:space="preserve">Clinical validation: </w:t>
      </w:r>
      <w:r>
        <w:rPr>
          <w:rFonts w:ascii="Arial" w:hAnsi="Arial"/>
          <w:b w:val="0"/>
          <w:i w:val="0"/>
          <w:color w:val="2D3748"/>
          <w:sz w:val="20"/>
        </w:rPr>
        <w:t>Provides visual evidence directly corresponding to diagnostic statements, boosting clinical trust.</w:t>
      </w:r>
    </w:p>
    <w:p>
      <w:r>
        <w:br w:type="page"/>
      </w:r>
    </w:p>
    <w:p>
      <w:pPr>
        <w:keepNext/>
        <w:spacing w:before="480" w:after="240"/>
        <w:pBdr>
          <w:bottom w:val="single" w:sz="4" w:space="4" w:color="CBD5E0"/>
        </w:pBdr>
      </w:pPr>
      <w:r>
        <w:rPr>
          <w:rFonts w:ascii="Arial" w:hAnsi="Arial"/>
          <w:b/>
          <w:i w:val="0"/>
          <w:color w:val="1A365D"/>
          <w:sz w:val="30"/>
        </w:rPr>
        <w:t>SLIDE 8: ECG + LLM REPORT GENERATION WORKFLOW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color w:val="2D3748"/>
          <w:sz w:val="20"/>
        </w:rPr>
        <w:t>Our primary differentiator: combining raw classification with generative patient advisory summaries: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A365D"/>
                <w:sz w:val="19"/>
              </w:rPr>
              <w:t>ECG Classifier outputs Top 5 diagnostic statements and probabilities</w:t>
            </w:r>
          </w:p>
        </w:tc>
      </w:tr>
      <w:tr>
        <w:tc>
          <w:tcPr>
            <w:tcW w:type="dxa" w:w="9936"/>
            <w:shd w:fill="FFFFFF"/>
            <w:tcMar>
              <w:top w:w="40" w:type="dxa"/>
              <w:bottom w:w="40" w:type="dxa"/>
              <w:left w:w="150" w:type="dxa"/>
              <w:right w:w="15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3182CE"/>
                <w:sz w:val="22"/>
              </w:rPr>
              <w:t>↓</w:t>
            </w:r>
          </w:p>
        </w:tc>
      </w:tr>
      <w:tr>
        <w:tc>
          <w:tcPr>
            <w:tcW w:type="dxa" w:w="9936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A365D"/>
                <w:sz w:val="19"/>
              </w:rPr>
              <w:t>System queries SQL diagnosis knowledge base for clinical SCP-ECG definitions</w:t>
            </w:r>
          </w:p>
        </w:tc>
      </w:tr>
      <w:tr>
        <w:tc>
          <w:tcPr>
            <w:tcW w:type="dxa" w:w="9936"/>
            <w:shd w:fill="FFFFFF"/>
            <w:tcMar>
              <w:top w:w="40" w:type="dxa"/>
              <w:bottom w:w="40" w:type="dxa"/>
              <w:left w:w="150" w:type="dxa"/>
              <w:right w:w="15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3182CE"/>
                <w:sz w:val="22"/>
              </w:rPr>
              <w:t>↓</w:t>
            </w:r>
          </w:p>
        </w:tc>
      </w:tr>
      <w:tr>
        <w:tc>
          <w:tcPr>
            <w:tcW w:type="dxa" w:w="9936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A365D"/>
                <w:sz w:val="19"/>
              </w:rPr>
              <w:t>LangChain compiles role prompt (Expert AI Cardiologist) + metrics + SCP definitions</w:t>
            </w:r>
          </w:p>
        </w:tc>
      </w:tr>
      <w:tr>
        <w:tc>
          <w:tcPr>
            <w:tcW w:type="dxa" w:w="9936"/>
            <w:shd w:fill="FFFFFF"/>
            <w:tcMar>
              <w:top w:w="40" w:type="dxa"/>
              <w:bottom w:w="40" w:type="dxa"/>
              <w:left w:w="150" w:type="dxa"/>
              <w:right w:w="15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3182CE"/>
                <w:sz w:val="22"/>
              </w:rPr>
              <w:t>↓</w:t>
            </w:r>
          </w:p>
        </w:tc>
      </w:tr>
      <w:tr>
        <w:tc>
          <w:tcPr>
            <w:tcW w:type="dxa" w:w="9936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A365D"/>
                <w:sz w:val="19"/>
              </w:rPr>
              <w:t>Groq Llama-3.3-70b generates patient summaries and lifestyle advice</w:t>
            </w:r>
          </w:p>
        </w:tc>
      </w:tr>
      <w:tr>
        <w:tc>
          <w:tcPr>
            <w:tcW w:type="dxa" w:w="9936"/>
            <w:shd w:fill="FFFFFF"/>
            <w:tcMar>
              <w:top w:w="40" w:type="dxa"/>
              <w:bottom w:w="40" w:type="dxa"/>
              <w:left w:w="150" w:type="dxa"/>
              <w:right w:w="15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3182CE"/>
                <w:sz w:val="22"/>
              </w:rPr>
              <w:t>↓</w:t>
            </w:r>
          </w:p>
        </w:tc>
      </w:tr>
      <w:tr>
        <w:tc>
          <w:tcPr>
            <w:tcW w:type="dxa" w:w="9936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A365D"/>
                <w:sz w:val="19"/>
              </w:rPr>
              <w:t>Local regex sanitizer strips absolute claims (e.g. replaces 'you have' with [medically reviewed])</w:t>
            </w:r>
          </w:p>
        </w:tc>
      </w:tr>
      <w:tr>
        <w:tc>
          <w:tcPr>
            <w:tcW w:type="dxa" w:w="9936"/>
            <w:shd w:fill="FFFFFF"/>
            <w:tcMar>
              <w:top w:w="40" w:type="dxa"/>
              <w:bottom w:w="40" w:type="dxa"/>
              <w:left w:w="150" w:type="dxa"/>
              <w:right w:w="15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3182CE"/>
                <w:sz w:val="22"/>
              </w:rPr>
              <w:t>↓</w:t>
            </w:r>
          </w:p>
        </w:tc>
      </w:tr>
      <w:tr>
        <w:tc>
          <w:tcPr>
            <w:tcW w:type="dxa" w:w="9936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A365D"/>
                <w:sz w:val="19"/>
              </w:rPr>
              <w:t>Gateway streams final formatted JSON patient report card and PDF report</w:t>
            </w:r>
          </w:p>
        </w:tc>
      </w:tr>
    </w:tbl>
    <w:p>
      <w:pPr>
        <w:keepNext/>
        <w:spacing w:before="80" w:after="240"/>
        <w:jc w:val="center"/>
      </w:pPr>
      <w:r>
        <w:rPr>
          <w:rFonts w:ascii="Arial" w:hAnsi="Arial"/>
          <w:b w:val="0"/>
          <w:i/>
          <w:color w:val="718096"/>
          <w:sz w:val="17"/>
        </w:rPr>
        <w:t>Flow Diagram: ECG + LLM Integrated Narrative Workflow</w:t>
      </w:r>
    </w:p>
    <w:p>
      <w:r>
        <w:br w:type="page"/>
      </w:r>
    </w:p>
    <w:p>
      <w:pPr>
        <w:keepNext/>
        <w:spacing w:before="480" w:after="240"/>
        <w:pBdr>
          <w:bottom w:val="single" w:sz="4" w:space="4" w:color="CBD5E0"/>
        </w:pBdr>
      </w:pPr>
      <w:r>
        <w:rPr>
          <w:rFonts w:ascii="Arial" w:hAnsi="Arial"/>
          <w:b/>
          <w:i w:val="0"/>
          <w:color w:val="1A365D"/>
          <w:sz w:val="30"/>
        </w:rPr>
        <w:t>SLIDE 9: LLM MEDICAL CONSULTANT EVALUATION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color w:val="2D3748"/>
          <w:sz w:val="20"/>
        </w:rPr>
        <w:t>Detailed performance metrics of the generative report consultant subsystem: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E2E8F0"/>
          <w:insideV w:val="none"/>
        </w:tblBorders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3168"/>
            <w:shd w:fill="1A365D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Metric Dimension</w:t>
            </w:r>
          </w:p>
        </w:tc>
        <w:tc>
          <w:tcPr>
            <w:tcW w:type="dxa" w:w="3744"/>
            <w:shd w:fill="1A365D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Evaluation Details</w:t>
            </w:r>
          </w:p>
        </w:tc>
        <w:tc>
          <w:tcPr>
            <w:tcW w:type="dxa" w:w="1440"/>
            <w:shd w:fill="1A365D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Score (/100)</w:t>
            </w:r>
          </w:p>
        </w:tc>
        <w:tc>
          <w:tcPr>
            <w:tcW w:type="dxa" w:w="1440"/>
            <w:shd w:fill="1A365D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D3748"/>
                <w:sz w:val="18"/>
              </w:rPr>
              <w:t>Schema Compliance</w:t>
            </w:r>
          </w:p>
        </w:tc>
        <w:tc>
          <w:tcPr>
            <w:tcW w:type="dxa" w:w="3744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D3748"/>
                <w:sz w:val="18"/>
              </w:rPr>
              <w:t>JSON validation against strict Pydantic model</w:t>
            </w:r>
          </w:p>
        </w:tc>
        <w:tc>
          <w:tcPr>
            <w:tcW w:type="dxa" w:w="1440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8"/>
              </w:rPr>
              <w:t>100.00</w:t>
            </w:r>
          </w:p>
        </w:tc>
        <w:tc>
          <w:tcPr>
            <w:tcW w:type="dxa" w:w="1440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8"/>
              </w:rPr>
              <w:t>Excellent</w:t>
            </w:r>
          </w:p>
        </w:tc>
      </w:tr>
      <w:tr>
        <w:tc>
          <w:tcPr>
            <w:tcW w:type="dxa" w:w="3168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D3748"/>
                <w:sz w:val="18"/>
              </w:rPr>
              <w:t>Safety Pass Rate</w:t>
            </w:r>
          </w:p>
        </w:tc>
        <w:tc>
          <w:tcPr>
            <w:tcW w:type="dxa" w:w="3744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D3748"/>
                <w:sz w:val="18"/>
              </w:rPr>
              <w:t>Adversarial prompt injection safety validation</w:t>
            </w:r>
          </w:p>
        </w:tc>
        <w:tc>
          <w:tcPr>
            <w:tcW w:type="dxa" w:w="1440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8"/>
              </w:rPr>
              <w:t>100.00</w:t>
            </w:r>
          </w:p>
        </w:tc>
        <w:tc>
          <w:tcPr>
            <w:tcW w:type="dxa" w:w="1440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319795"/>
                <w:sz w:val="18"/>
              </w:rPr>
              <w:t>Passed / Hardened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D3748"/>
                <w:sz w:val="18"/>
              </w:rPr>
              <w:t>Input Grounding</w:t>
            </w:r>
          </w:p>
        </w:tc>
        <w:tc>
          <w:tcPr>
            <w:tcW w:type="dxa" w:w="3744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D3748"/>
                <w:sz w:val="18"/>
              </w:rPr>
              <w:t>Verification of SHAP feature coverage &amp; keywords</w:t>
            </w:r>
          </w:p>
        </w:tc>
        <w:tc>
          <w:tcPr>
            <w:tcW w:type="dxa" w:w="1440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8"/>
              </w:rPr>
              <w:t>80.00</w:t>
            </w:r>
          </w:p>
        </w:tc>
        <w:tc>
          <w:tcPr>
            <w:tcW w:type="dxa" w:w="1440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8"/>
              </w:rPr>
              <w:t>Excellent / Verified</w:t>
            </w:r>
          </w:p>
        </w:tc>
      </w:tr>
      <w:tr>
        <w:tc>
          <w:tcPr>
            <w:tcW w:type="dxa" w:w="3168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D3748"/>
                <w:sz w:val="18"/>
              </w:rPr>
              <w:t>Text Consistency</w:t>
            </w:r>
          </w:p>
        </w:tc>
        <w:tc>
          <w:tcPr>
            <w:tcW w:type="dxa" w:w="3744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D3748"/>
                <w:sz w:val="18"/>
              </w:rPr>
              <w:t>Cosine similarity across repeated identical prompts</w:t>
            </w:r>
          </w:p>
        </w:tc>
        <w:tc>
          <w:tcPr>
            <w:tcW w:type="dxa" w:w="1440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8"/>
              </w:rPr>
              <w:t>99.19</w:t>
            </w:r>
          </w:p>
        </w:tc>
        <w:tc>
          <w:tcPr>
            <w:tcW w:type="dxa" w:w="1440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8"/>
              </w:rPr>
              <w:t>Excellent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D3748"/>
                <w:sz w:val="18"/>
              </w:rPr>
              <w:t>Efficiency (Latency)</w:t>
            </w:r>
          </w:p>
        </w:tc>
        <w:tc>
          <w:tcPr>
            <w:tcW w:type="dxa" w:w="3744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D3748"/>
                <w:sz w:val="18"/>
              </w:rPr>
              <w:t>Average sub-second API generation times</w:t>
            </w:r>
          </w:p>
        </w:tc>
        <w:tc>
          <w:tcPr>
            <w:tcW w:type="dxa" w:w="1440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8"/>
              </w:rPr>
              <w:t>100.00</w:t>
            </w:r>
          </w:p>
        </w:tc>
        <w:tc>
          <w:tcPr>
            <w:tcW w:type="dxa" w:w="1440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8"/>
              </w:rPr>
              <w:t>Fast (0.79s)</w:t>
            </w:r>
          </w:p>
        </w:tc>
      </w:tr>
      <w:tr>
        <w:tc>
          <w:tcPr>
            <w:tcW w:type="dxa" w:w="3168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D3748"/>
                <w:sz w:val="18"/>
              </w:rPr>
              <w:t>Patient Readability</w:t>
            </w:r>
          </w:p>
        </w:tc>
        <w:tc>
          <w:tcPr>
            <w:tcW w:type="dxa" w:w="3744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D3748"/>
                <w:sz w:val="18"/>
              </w:rPr>
              <w:t>Flesch Reading Ease (Grade 6-8 plain language)</w:t>
            </w:r>
          </w:p>
        </w:tc>
        <w:tc>
          <w:tcPr>
            <w:tcW w:type="dxa" w:w="1440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8"/>
              </w:rPr>
              <w:t>78.34</w:t>
            </w:r>
          </w:p>
        </w:tc>
        <w:tc>
          <w:tcPr>
            <w:tcW w:type="dxa" w:w="1440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8"/>
              </w:rPr>
              <w:t>Patient Friendly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1A365D"/>
                <w:sz w:val="18"/>
              </w:rPr>
              <w:t>OVERALL LLM SCORE</w:t>
            </w:r>
          </w:p>
        </w:tc>
        <w:tc>
          <w:tcPr>
            <w:tcW w:type="dxa" w:w="3744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D3748"/>
                <w:sz w:val="18"/>
              </w:rPr>
              <w:t>Weighted average scorecard performance</w:t>
            </w:r>
          </w:p>
        </w:tc>
        <w:tc>
          <w:tcPr>
            <w:tcW w:type="dxa" w:w="1440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8"/>
              </w:rPr>
              <w:t>93.71</w:t>
            </w:r>
          </w:p>
        </w:tc>
        <w:tc>
          <w:tcPr>
            <w:tcW w:type="dxa" w:w="1440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319795"/>
                <w:sz w:val="18"/>
              </w:rPr>
              <w:t>Passed / High Quality</w:t>
            </w:r>
          </w:p>
        </w:tc>
      </w:tr>
    </w:tbl>
    <w:p>
      <w:pPr>
        <w:keepNext/>
        <w:spacing w:before="80" w:after="240"/>
        <w:jc w:val="center"/>
      </w:pPr>
      <w:r>
        <w:rPr>
          <w:rFonts w:ascii="Arial" w:hAnsi="Arial"/>
          <w:b w:val="0"/>
          <w:i/>
          <w:color w:val="718096"/>
          <w:sz w:val="17"/>
        </w:rPr>
        <w:t>Table: LLM Subsystem Performance Metrics Table</w:t>
      </w:r>
    </w:p>
    <w:p>
      <w:r>
        <w:br w:type="page"/>
      </w:r>
    </w:p>
    <w:p>
      <w:pPr>
        <w:keepNext/>
        <w:spacing w:before="480" w:after="240"/>
        <w:pBdr>
          <w:bottom w:val="single" w:sz="4" w:space="4" w:color="CBD5E0"/>
        </w:pBdr>
      </w:pPr>
      <w:r>
        <w:rPr>
          <w:rFonts w:ascii="Arial" w:hAnsi="Arial"/>
          <w:b/>
          <w:i w:val="0"/>
          <w:color w:val="1A365D"/>
          <w:sz w:val="30"/>
        </w:rPr>
        <w:t>SLIDE 10: COMBINED SYSTEM COMPOSITE READINESS SCORECARD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color w:val="2D3748"/>
          <w:sz w:val="20"/>
        </w:rPr>
        <w:t>Readiness indicators are composite scores combining benchmarks and QA audits. Calculated as: Combined Score = 0.60 * (ECG Score) + 0.40 * (LLM Score) = 92.98 / 100.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E2E8F0"/>
          <w:insideV w:val="none"/>
        </w:tblBorders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3744"/>
            <w:shd w:fill="1A365D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Subsystem Component</w:t>
            </w:r>
          </w:p>
        </w:tc>
        <w:tc>
          <w:tcPr>
            <w:tcW w:type="dxa" w:w="3744"/>
            <w:shd w:fill="1A365D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Evaluation Method</w:t>
            </w:r>
          </w:p>
        </w:tc>
        <w:tc>
          <w:tcPr>
            <w:tcW w:type="dxa" w:w="1152"/>
            <w:shd w:fill="1A365D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Score</w:t>
            </w:r>
          </w:p>
        </w:tc>
        <w:tc>
          <w:tcPr>
            <w:tcW w:type="dxa" w:w="1152"/>
            <w:shd w:fill="1A365D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744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D3748"/>
                <w:sz w:val="18"/>
              </w:rPr>
              <w:t>ECG Waveform Classifier (xresnet1d101)</w:t>
            </w:r>
          </w:p>
        </w:tc>
        <w:tc>
          <w:tcPr>
            <w:tcW w:type="dxa" w:w="3744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D3748"/>
                <w:sz w:val="18"/>
              </w:rPr>
              <w:t>Published PTB-XL Benchmark (Strodthoff et al., 2021)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8"/>
              </w:rPr>
              <w:t>92.50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8"/>
              </w:rPr>
              <w:t>60%</w:t>
            </w:r>
          </w:p>
        </w:tc>
      </w:tr>
      <w:tr>
        <w:tc>
          <w:tcPr>
            <w:tcW w:type="dxa" w:w="3744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D3748"/>
                <w:sz w:val="18"/>
              </w:rPr>
              <w:t>LLM Medical Consultant (Llama-3.3)</w:t>
            </w:r>
          </w:p>
        </w:tc>
        <w:tc>
          <w:tcPr>
            <w:tcW w:type="dxa" w:w="3744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D3748"/>
                <w:sz w:val="18"/>
              </w:rPr>
              <w:t>Local Schema Compliance &amp; Safety Audit</w:t>
            </w:r>
          </w:p>
        </w:tc>
        <w:tc>
          <w:tcPr>
            <w:tcW w:type="dxa" w:w="1152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8"/>
              </w:rPr>
              <w:t>93.71</w:t>
            </w:r>
          </w:p>
        </w:tc>
        <w:tc>
          <w:tcPr>
            <w:tcW w:type="dxa" w:w="1152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8"/>
              </w:rPr>
              <w:t>40%</w:t>
            </w:r>
          </w:p>
        </w:tc>
      </w:tr>
      <w:tr>
        <w:tc>
          <w:tcPr>
            <w:tcW w:type="dxa" w:w="3744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D3748"/>
                <w:sz w:val="18"/>
              </w:rPr>
              <w:t>COMBINED COMPOSITE READINESS</w:t>
            </w:r>
          </w:p>
        </w:tc>
        <w:tc>
          <w:tcPr>
            <w:tcW w:type="dxa" w:w="3744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D3748"/>
                <w:sz w:val="18"/>
              </w:rPr>
              <w:t>Weighted Composite Indicator Score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8"/>
              </w:rPr>
              <w:t>92.98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8"/>
              </w:rPr>
              <w:t>100%</w:t>
            </w:r>
          </w:p>
        </w:tc>
      </w:tr>
    </w:tbl>
    <w:p>
      <w:pPr>
        <w:keepNext/>
        <w:spacing w:before="80" w:after="240"/>
        <w:jc w:val="center"/>
      </w:pPr>
      <w:r>
        <w:rPr>
          <w:rFonts w:ascii="Arial" w:hAnsi="Arial"/>
          <w:b w:val="0"/>
          <w:i/>
          <w:color w:val="718096"/>
          <w:sz w:val="17"/>
        </w:rPr>
        <w:t>Table: Composite Readiness Indicators Summary Table</w:t>
      </w:r>
    </w:p>
    <w:p>
      <w:r>
        <w:br w:type="page"/>
      </w:r>
    </w:p>
    <w:p>
      <w:pPr>
        <w:keepNext/>
        <w:spacing w:before="480" w:after="240"/>
        <w:pBdr>
          <w:bottom w:val="single" w:sz="4" w:space="4" w:color="CBD5E0"/>
        </w:pBdr>
      </w:pPr>
      <w:r>
        <w:rPr>
          <w:rFonts w:ascii="Arial" w:hAnsi="Arial"/>
          <w:b/>
          <w:i w:val="0"/>
          <w:color w:val="1A365D"/>
          <w:sz w:val="30"/>
        </w:rPr>
        <w:t>SLIDE 11: KEY RECOMMENDATIONS &amp; ROADMAP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color w:val="2D3748"/>
          <w:sz w:val="20"/>
        </w:rPr>
        <w:t>Technical roadmap to clinical deployment graduation: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i w:val="0"/>
          <w:color w:val="2D3748"/>
          <w:sz w:val="20"/>
        </w:rPr>
        <w:t xml:space="preserve">1. Model Deployment: </w:t>
      </w:r>
      <w:r>
        <w:rPr>
          <w:rFonts w:ascii="Arial" w:hAnsi="Arial"/>
          <w:b w:val="0"/>
          <w:i w:val="0"/>
          <w:color w:val="2D3748"/>
          <w:sz w:val="20"/>
        </w:rPr>
        <w:t>Maintain official xresnet1d101 weights trained on the full PTB-XL database to preserve high benchmark scores.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i w:val="0"/>
          <w:color w:val="2D3748"/>
          <w:sz w:val="20"/>
        </w:rPr>
        <w:t xml:space="preserve">2. Threshold Optimization: </w:t>
      </w:r>
      <w:r>
        <w:rPr>
          <w:rFonts w:ascii="Arial" w:hAnsi="Arial"/>
          <w:b w:val="0"/>
          <w:i w:val="0"/>
          <w:color w:val="2D3748"/>
          <w:sz w:val="20"/>
        </w:rPr>
        <w:t>Tune decision thresholds using validation set optimal boundaries to customize specificity.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i w:val="0"/>
          <w:color w:val="2D3748"/>
          <w:sz w:val="20"/>
        </w:rPr>
        <w:t xml:space="preserve">3. Adversarial Security: </w:t>
      </w:r>
      <w:r>
        <w:rPr>
          <w:rFonts w:ascii="Arial" w:hAnsi="Arial"/>
          <w:b w:val="0"/>
          <w:i w:val="0"/>
          <w:color w:val="2D3748"/>
          <w:sz w:val="20"/>
        </w:rPr>
        <w:t>Implement input guardrails using LangChain to prevent adversarial LLM jailbreaks.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i w:val="0"/>
          <w:color w:val="2D3748"/>
          <w:sz w:val="20"/>
        </w:rPr>
        <w:t xml:space="preserve">4. Test Suite Expansion: </w:t>
      </w:r>
      <w:r>
        <w:rPr>
          <w:rFonts w:ascii="Arial" w:hAnsi="Arial"/>
          <w:b w:val="0"/>
          <w:i w:val="0"/>
          <w:color w:val="2D3748"/>
          <w:sz w:val="20"/>
        </w:rPr>
        <w:t>Expand unit testing files to include signal artifact simulations.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