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</w:pPr>
      <w:r>
        <w:rPr>
          <w:rFonts w:ascii="Segoe UI" w:hAnsi="Segoe UI"/>
          <w:b/>
          <w:i w:val="0"/>
          <w:color w:val="009688"/>
          <w:sz w:val="21"/>
        </w:rPr>
        <w:t>TECHNICAL SLIDE DECK HANDOUT</w:t>
      </w:r>
    </w:p>
    <w:p>
      <w:pPr>
        <w:spacing w:after="160" w:line="264" w:lineRule="auto"/>
      </w:pPr>
      <w:r>
        <w:rPr>
          <w:rFonts w:ascii="Segoe UI" w:hAnsi="Segoe UI"/>
          <w:b/>
          <w:i w:val="0"/>
          <w:color w:val="182B49"/>
          <w:sz w:val="56"/>
        </w:rPr>
        <w:t>Backend Architecture &amp; AI Integration</w:t>
      </w:r>
    </w:p>
    <w:p>
      <w:pPr>
        <w:spacing w:before="80" w:after="280"/>
      </w:pPr>
      <w:r>
        <w:rPr>
          <w:rFonts w:ascii="Segoe UI" w:hAnsi="Segoe UI"/>
          <w:b/>
          <w:i w:val="0"/>
          <w:color w:val="009688"/>
          <w:sz w:val="28"/>
        </w:rPr>
        <w:t>■■■■■■■■■■■■■■■■■■■■■■■■■■■■■■■■■■■■■■</w:t>
      </w:r>
    </w:p>
    <w:p>
      <w:pPr>
        <w:spacing w:after="720"/>
      </w:pPr>
      <w:r>
        <w:rPr>
          <w:rFonts w:ascii="Calibri" w:hAnsi="Calibri"/>
          <w:b w:val="0"/>
          <w:i/>
          <w:color w:val="212121"/>
          <w:sz w:val="26"/>
        </w:rPr>
        <w:t>A Slide-by-Slide Technical Presentation on RESTful Services, Prisma Schemas, Security Protocols, and AI Microservice Bridging</w:t>
      </w:r>
    </w:p>
    <w:p/>
    <w:p/>
    <w:p/>
    <w:p/>
    <w:p/>
    <w:p/>
    <w:p/>
    <w:p/>
    <w:p>
      <w:pPr>
        <w:spacing w:after="60"/>
      </w:pPr>
      <w:r>
        <w:rPr>
          <w:rFonts w:ascii="Segoe UI" w:hAnsi="Segoe UI"/>
          <w:b/>
          <w:i w:val="0"/>
          <w:color w:val="182B49"/>
          <w:sz w:val="19"/>
        </w:rPr>
        <w:t xml:space="preserve">Target Audience: </w:t>
      </w:r>
      <w:r>
        <w:rPr>
          <w:rFonts w:ascii="Calibri" w:hAnsi="Calibri"/>
          <w:b w:val="0"/>
          <w:i w:val="0"/>
          <w:color w:val="212121"/>
          <w:sz w:val="19"/>
        </w:rPr>
        <w:t>Technical Review Board &amp; AI Integration Teams</w:t>
      </w:r>
    </w:p>
    <w:p>
      <w:pPr>
        <w:spacing w:after="60"/>
      </w:pPr>
      <w:r>
        <w:rPr>
          <w:rFonts w:ascii="Segoe UI" w:hAnsi="Segoe UI"/>
          <w:b/>
          <w:i w:val="0"/>
          <w:color w:val="182B49"/>
          <w:sz w:val="19"/>
        </w:rPr>
        <w:t xml:space="preserve">Backend Framework: </w:t>
      </w:r>
      <w:r>
        <w:rPr>
          <w:rFonts w:ascii="Calibri" w:hAnsi="Calibri"/>
          <w:b w:val="0"/>
          <w:i w:val="0"/>
          <w:color w:val="212121"/>
          <w:sz w:val="19"/>
        </w:rPr>
        <w:t>Node.js (Express v5) &amp; Prisma ORM</w:t>
      </w:r>
    </w:p>
    <w:p>
      <w:pPr>
        <w:spacing w:after="60"/>
      </w:pPr>
      <w:r>
        <w:rPr>
          <w:rFonts w:ascii="Segoe UI" w:hAnsi="Segoe UI"/>
          <w:b/>
          <w:i w:val="0"/>
          <w:color w:val="182B49"/>
          <w:sz w:val="19"/>
        </w:rPr>
        <w:t xml:space="preserve">Database Engine: </w:t>
      </w:r>
      <w:r>
        <w:rPr>
          <w:rFonts w:ascii="Calibri" w:hAnsi="Calibri"/>
          <w:b w:val="0"/>
          <w:i w:val="0"/>
          <w:color w:val="212121"/>
          <w:sz w:val="19"/>
        </w:rPr>
        <w:t>PostgreSQL (Neon Serverless &amp; pg Client)</w:t>
      </w:r>
    </w:p>
    <w:p>
      <w:pPr>
        <w:spacing w:after="60"/>
      </w:pPr>
      <w:r>
        <w:rPr>
          <w:rFonts w:ascii="Segoe UI" w:hAnsi="Segoe UI"/>
          <w:b/>
          <w:i w:val="0"/>
          <w:color w:val="182B49"/>
          <w:sz w:val="19"/>
        </w:rPr>
        <w:t xml:space="preserve">Integration Protocol: </w:t>
      </w:r>
      <w:r>
        <w:rPr>
          <w:rFonts w:ascii="Calibri" w:hAnsi="Calibri"/>
          <w:b w:val="0"/>
          <w:i w:val="0"/>
          <w:color w:val="212121"/>
          <w:sz w:val="19"/>
        </w:rPr>
        <w:t>Secure Internal HTTP Gateway (Axios)</w:t>
      </w:r>
    </w:p>
    <w:p>
      <w:pPr>
        <w:spacing w:after="60"/>
      </w:pPr>
      <w:r>
        <w:rPr>
          <w:rFonts w:ascii="Segoe UI" w:hAnsi="Segoe UI"/>
          <w:b/>
          <w:i w:val="0"/>
          <w:color w:val="182B49"/>
          <w:sz w:val="19"/>
        </w:rPr>
        <w:t xml:space="preserve">Date: </w:t>
      </w:r>
      <w:r>
        <w:rPr>
          <w:rFonts w:ascii="Calibri" w:hAnsi="Calibri"/>
          <w:b w:val="0"/>
          <w:i w:val="0"/>
          <w:color w:val="212121"/>
          <w:sz w:val="19"/>
        </w:rPr>
        <w:t>June 2026</w:t>
      </w: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82B49"/>
          <w:sz w:val="40"/>
        </w:rPr>
        <w:t>Slide 1: Executive Summary &amp; Project Stack</w:t>
      </w:r>
    </w:p>
    <w:p>
      <w:pPr>
        <w:spacing w:before="0" w:after="240"/>
      </w:pPr>
      <w:r>
        <w:rPr>
          <w:rFonts w:ascii="Segoe UI" w:hAnsi="Segoe UI"/>
          <w:b w:val="0"/>
          <w:i w:val="0"/>
          <w:color w:val="009688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Welcome to the technical architectural review of the Heart Disease Prediction Backend. This presentation outlines the structure and design choices of the primary RESTful gateway: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API Server: </w:t>
      </w:r>
      <w:r>
        <w:rPr>
          <w:rFonts w:ascii="Calibri" w:hAnsi="Calibri"/>
          <w:b w:val="0"/>
          <w:i w:val="0"/>
          <w:color w:val="212121"/>
          <w:sz w:val="22"/>
        </w:rPr>
        <w:t>Express.js version 5.x serves as the main web server framework.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Data Access: </w:t>
      </w:r>
      <w:r>
        <w:rPr>
          <w:rFonts w:ascii="Calibri" w:hAnsi="Calibri"/>
          <w:b w:val="0"/>
          <w:i w:val="0"/>
          <w:color w:val="212121"/>
          <w:sz w:val="22"/>
        </w:rPr>
        <w:t>Prisma ORM is used for schema design, migrations, and database access.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Database: </w:t>
      </w:r>
      <w:r>
        <w:rPr>
          <w:rFonts w:ascii="Calibri" w:hAnsi="Calibri"/>
          <w:b w:val="0"/>
          <w:i w:val="0"/>
          <w:color w:val="212121"/>
          <w:sz w:val="22"/>
        </w:rPr>
        <w:t>PostgreSQL (hosted on Neon Serverless) stores relation structures.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AI Bridging: </w:t>
      </w:r>
      <w:r>
        <w:rPr>
          <w:rFonts w:ascii="Calibri" w:hAnsi="Calibri"/>
          <w:b w:val="0"/>
          <w:i w:val="0"/>
          <w:color w:val="212121"/>
          <w:sz w:val="22"/>
        </w:rPr>
        <w:t>Integrates with FastAPI via Axios proxy handlers using X-INTERNAL-API-KEY.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Security: </w:t>
      </w:r>
      <w:r>
        <w:rPr>
          <w:rFonts w:ascii="Calibri" w:hAnsi="Calibri"/>
          <w:b w:val="0"/>
          <w:i w:val="0"/>
          <w:color w:val="212121"/>
          <w:sz w:val="22"/>
        </w:rPr>
        <w:t>Implements JSON Web Tokens (JWT) for authentication and bcrypt for hashing.</w:t>
      </w: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82B49"/>
          <w:sz w:val="40"/>
        </w:rPr>
        <w:t>Slide 2: Database Schema &amp; Prisma Models</w:t>
      </w:r>
    </w:p>
    <w:p>
      <w:pPr>
        <w:spacing w:before="0" w:after="240"/>
      </w:pPr>
      <w:r>
        <w:rPr>
          <w:rFonts w:ascii="Segoe UI" w:hAnsi="Segoe UI"/>
          <w:b w:val="0"/>
          <w:i w:val="0"/>
          <w:color w:val="009688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Our database architecture is designed for clear tracking of patients, clinical tests, and medical centers. The schema consists of four primary models managed by Prisma ORM: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User: </w:t>
      </w:r>
      <w:r>
        <w:rPr>
          <w:rFonts w:ascii="Calibri" w:hAnsi="Calibri"/>
          <w:b w:val="0"/>
          <w:i w:val="0"/>
          <w:color w:val="212121"/>
          <w:sz w:val="22"/>
        </w:rPr>
        <w:t>Stores credentials, personal profiles (including age and gender), and credentials. Passwords are encrypted via bcrypt.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Lab: </w:t>
      </w:r>
      <w:r>
        <w:rPr>
          <w:rFonts w:ascii="Calibri" w:hAnsi="Calibri"/>
          <w:b w:val="0"/>
          <w:i w:val="0"/>
          <w:color w:val="212121"/>
          <w:sz w:val="22"/>
        </w:rPr>
        <w:t>Represents authorized diagnostic clinics, complete with license details, address, and area codes.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LabTest: </w:t>
      </w:r>
      <w:r>
        <w:rPr>
          <w:rFonts w:ascii="Calibri" w:hAnsi="Calibri"/>
          <w:b w:val="0"/>
          <w:i w:val="0"/>
          <w:color w:val="212121"/>
          <w:sz w:val="22"/>
        </w:rPr>
        <w:t>Tracks clinical patient data (blood sugar, cholesterol, ECG waveforms) and associated predictions.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Hospital: </w:t>
      </w:r>
      <w:r>
        <w:rPr>
          <w:rFonts w:ascii="Calibri" w:hAnsi="Calibri"/>
          <w:b w:val="0"/>
          <w:i w:val="0"/>
          <w:color w:val="212121"/>
          <w:sz w:val="22"/>
        </w:rPr>
        <w:t>Stores hospital locations, capacities, and specialized cardiac units to suggest local emergency routing.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fill="F4F6F8"/>
            <w:tcBorders>
              <w:left w:val="single" w:sz="36" w:space="0" w:color="009688"/>
              <w:top w:val="none"/>
              <w:bottom w:val="none"/>
              <w:right w:val="none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Segoe UI" w:hAnsi="Segoe UI"/>
                <w:b/>
                <w:i w:val="0"/>
                <w:color w:val="009688"/>
                <w:sz w:val="21"/>
              </w:rPr>
              <w:t xml:space="preserve">★ DATA SYSTEM INTEGRITY: </w:t>
            </w:r>
            <w:r>
              <w:rPr>
                <w:rFonts w:ascii="Calibri" w:hAnsi="Calibri"/>
                <w:b w:val="0"/>
                <w:i/>
                <w:color w:val="212121"/>
                <w:sz w:val="21"/>
              </w:rPr>
              <w:t>All models include automatic timestamps (createdAt, updatedAt) and utilize Zod schema objects for input parsing prior to database write operations.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82B49"/>
          <w:sz w:val="40"/>
        </w:rPr>
        <w:t>Slide 3: RESTful API Suite Overview</w:t>
      </w:r>
    </w:p>
    <w:p>
      <w:pPr>
        <w:spacing w:before="0" w:after="240"/>
      </w:pPr>
      <w:r>
        <w:rPr>
          <w:rFonts w:ascii="Segoe UI" w:hAnsi="Segoe UI"/>
          <w:b w:val="0"/>
          <w:i w:val="0"/>
          <w:color w:val="009688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The backend exposes endpoints grouped by resource domains. All CRUD APIs support pagination and query filter criteria: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182B49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Endpoint Route</w:t>
            </w:r>
          </w:p>
        </w:tc>
        <w:tc>
          <w:tcPr>
            <w:tcW w:type="dxa" w:w="2016"/>
            <w:shd w:fill="182B49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Access Control</w:t>
            </w:r>
          </w:p>
        </w:tc>
        <w:tc>
          <w:tcPr>
            <w:tcW w:type="dxa" w:w="4032"/>
            <w:shd w:fill="182B49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Operation Description</w:t>
            </w:r>
          </w:p>
        </w:tc>
      </w:tr>
      <w:tr>
        <w:tc>
          <w:tcPr>
            <w:tcW w:type="dxa" w:w="3312"/>
            <w:shd w:fill="FFFFFF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 /api/auth/register</w:t>
            </w:r>
          </w:p>
        </w:tc>
        <w:tc>
          <w:tcPr>
            <w:tcW w:type="dxa" w:w="2016"/>
            <w:shd w:fill="FFFFFF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Public</w:t>
            </w:r>
          </w:p>
        </w:tc>
        <w:tc>
          <w:tcPr>
            <w:tcW w:type="dxa" w:w="4032"/>
            <w:shd w:fill="FFFFFF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Registers a new user, hashing their password.</w:t>
            </w:r>
          </w:p>
        </w:tc>
      </w:tr>
      <w:tr>
        <w:tc>
          <w:tcPr>
            <w:tcW w:type="dxa" w:w="3312"/>
            <w:shd w:fill="F9FBFC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 /api/auth/login</w:t>
            </w:r>
          </w:p>
        </w:tc>
        <w:tc>
          <w:tcPr>
            <w:tcW w:type="dxa" w:w="2016"/>
            <w:shd w:fill="F9FBFC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Public</w:t>
            </w:r>
          </w:p>
        </w:tc>
        <w:tc>
          <w:tcPr>
            <w:tcW w:type="dxa" w:w="4032"/>
            <w:shd w:fill="F9FBFC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Authenticates credentials and returns a JWT access token.</w:t>
            </w:r>
          </w:p>
        </w:tc>
      </w:tr>
      <w:tr>
        <w:tc>
          <w:tcPr>
            <w:tcW w:type="dxa" w:w="3312"/>
            <w:shd w:fill="FFFFFF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/api/users</w:t>
            </w:r>
          </w:p>
        </w:tc>
        <w:tc>
          <w:tcPr>
            <w:tcW w:type="dxa" w:w="2016"/>
            <w:shd w:fill="FFFFFF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Protected (Admin)</w:t>
            </w:r>
          </w:p>
        </w:tc>
        <w:tc>
          <w:tcPr>
            <w:tcW w:type="dxa" w:w="4032"/>
            <w:shd w:fill="FFFFFF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Returns a paginated list of registered users.</w:t>
            </w:r>
          </w:p>
        </w:tc>
      </w:tr>
      <w:tr>
        <w:tc>
          <w:tcPr>
            <w:tcW w:type="dxa" w:w="3312"/>
            <w:shd w:fill="F9FBFC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/api/hospitals/area/:area</w:t>
            </w:r>
          </w:p>
        </w:tc>
        <w:tc>
          <w:tcPr>
            <w:tcW w:type="dxa" w:w="2016"/>
            <w:shd w:fill="F9FBFC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Public</w:t>
            </w:r>
          </w:p>
        </w:tc>
        <w:tc>
          <w:tcPr>
            <w:tcW w:type="dxa" w:w="4032"/>
            <w:shd w:fill="F9FBFC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Queries hospitals located in a specific medical district.</w:t>
            </w:r>
          </w:p>
        </w:tc>
      </w:tr>
      <w:tr>
        <w:tc>
          <w:tcPr>
            <w:tcW w:type="dxa" w:w="3312"/>
            <w:shd w:fill="FFFFFF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 /api/labtests</w:t>
            </w:r>
          </w:p>
        </w:tc>
        <w:tc>
          <w:tcPr>
            <w:tcW w:type="dxa" w:w="2016"/>
            <w:shd w:fill="FFFFFF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Protected (Lab)</w:t>
            </w:r>
          </w:p>
        </w:tc>
        <w:tc>
          <w:tcPr>
            <w:tcW w:type="dxa" w:w="4032"/>
            <w:shd w:fill="FFFFFF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Creates a patient lab test record and triggers AI risk scoring.</w:t>
            </w:r>
          </w:p>
        </w:tc>
      </w:tr>
      <w:tr>
        <w:tc>
          <w:tcPr>
            <w:tcW w:type="dxa" w:w="3312"/>
            <w:shd w:fill="F9FBFC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/api/labtests/patient/:id</w:t>
            </w:r>
          </w:p>
        </w:tc>
        <w:tc>
          <w:tcPr>
            <w:tcW w:type="dxa" w:w="2016"/>
            <w:shd w:fill="F9FBFC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Protected (User)</w:t>
            </w:r>
          </w:p>
        </w:tc>
        <w:tc>
          <w:tcPr>
            <w:tcW w:type="dxa" w:w="4032"/>
            <w:shd w:fill="F9FBFC"/>
            <w:tcBorders>
              <w:left w:val="single" w:sz="4" w:space="0" w:color="D3D3D3"/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Retrieves cardiovascular history for a patient.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82B49"/>
          <w:sz w:val="40"/>
        </w:rPr>
        <w:t>Slide 4: JWT Authentication and Route Guards</w:t>
      </w:r>
    </w:p>
    <w:p>
      <w:pPr>
        <w:spacing w:before="0" w:after="240"/>
      </w:pPr>
      <w:r>
        <w:rPr>
          <w:rFonts w:ascii="Segoe UI" w:hAnsi="Segoe UI"/>
          <w:b w:val="0"/>
          <w:i w:val="0"/>
          <w:color w:val="009688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To secure access to medical records, authentication is enforced at the route middleware layer: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Authentication: </w:t>
      </w:r>
      <w:r>
        <w:rPr>
          <w:rFonts w:ascii="Calibri" w:hAnsi="Calibri"/>
          <w:b w:val="0"/>
          <w:i w:val="0"/>
          <w:color w:val="212121"/>
          <w:sz w:val="22"/>
        </w:rPr>
        <w:t>Access is granted only with a valid Bearer token in the Authorization header.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Role Middleware: </w:t>
      </w:r>
      <w:r>
        <w:rPr>
          <w:rFonts w:ascii="Calibri" w:hAnsi="Calibri"/>
          <w:b w:val="0"/>
          <w:i w:val="0"/>
          <w:color w:val="212121"/>
          <w:sz w:val="22"/>
        </w:rPr>
        <w:t>Express middleware decodes the JWT and validates the user role (Admin, Physician, Lab, Patient) against the route rules.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Write Restrictions: </w:t>
      </w:r>
      <w:r>
        <w:rPr>
          <w:rFonts w:ascii="Calibri" w:hAnsi="Calibri"/>
          <w:b w:val="0"/>
          <w:i w:val="0"/>
          <w:color w:val="212121"/>
          <w:sz w:val="22"/>
        </w:rPr>
        <w:t>Read-only endpoints (GET) are public to allow fast hospital lookups, while write operations (POST, PUT, DELETE) require valid credentials.</w:t>
      </w: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82B49"/>
          <w:sz w:val="40"/>
        </w:rPr>
        <w:t>Slide 5: AI Subsystem Integration (ai.service.js)</w:t>
      </w:r>
    </w:p>
    <w:p>
      <w:pPr>
        <w:spacing w:before="0" w:after="240"/>
      </w:pPr>
      <w:r>
        <w:rPr>
          <w:rFonts w:ascii="Segoe UI" w:hAnsi="Segoe UI"/>
          <w:b w:val="0"/>
          <w:i w:val="0"/>
          <w:color w:val="009688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The file ai.service.js acts as the bridge connecting Node.js to FastAPI. It implements the following integration patterns: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Tabular Predictions: </w:t>
      </w:r>
      <w:r>
        <w:rPr>
          <w:rFonts w:ascii="Calibri" w:hAnsi="Calibri"/>
          <w:b w:val="0"/>
          <w:i w:val="0"/>
          <w:color w:val="212121"/>
          <w:sz w:val="22"/>
        </w:rPr>
        <w:t>Sends numeric patient features to `/internal/predict` to compute classification probabilities and local SHAP importances.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ECG Pipeline: </w:t>
      </w:r>
      <w:r>
        <w:rPr>
          <w:rFonts w:ascii="Calibri" w:hAnsi="Calibri"/>
          <w:b w:val="0"/>
          <w:i w:val="0"/>
          <w:color w:val="212121"/>
          <w:sz w:val="22"/>
        </w:rPr>
        <w:t>Uses multipart/form-data to send binary ECG signal files (.dat, .hea) to `/internal/ecg/pipeline`, returning diagnostic classifications.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PDF Exporting: </w:t>
      </w:r>
      <w:r>
        <w:rPr>
          <w:rFonts w:ascii="Calibri" w:hAnsi="Calibri"/>
          <w:b w:val="0"/>
          <w:i w:val="0"/>
          <w:color w:val="212121"/>
          <w:sz w:val="22"/>
        </w:rPr>
        <w:t>Retrieves compiled PDF medical reports from the AI service and pipes them to the client as an arraybuffer stream.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fill="F4F6F8"/>
            <w:tcBorders>
              <w:left w:val="single" w:sz="36" w:space="0" w:color="009688"/>
              <w:top w:val="none"/>
              <w:bottom w:val="none"/>
              <w:right w:val="none"/>
            </w:tcBorders>
          </w:tcPr>
          <w:p>
            <w:pPr>
              <w:spacing w:before="160" w:after="160"/>
              <w:ind w:left="216" w:right="216"/>
            </w:pPr>
            <w:r>
              <w:rPr>
                <w:rFonts w:ascii="Segoe UI" w:hAnsi="Segoe UI"/>
                <w:b/>
                <w:i w:val="0"/>
                <w:color w:val="009688"/>
                <w:sz w:val="21"/>
              </w:rPr>
              <w:t xml:space="preserve">★ INTEGRATION TIMEOUTS: </w:t>
            </w:r>
            <w:r>
              <w:rPr>
                <w:rFonts w:ascii="Calibri" w:hAnsi="Calibri"/>
                <w:b w:val="0"/>
                <w:i/>
                <w:color w:val="212121"/>
                <w:sz w:val="21"/>
              </w:rPr>
              <w:t>Request timeouts are configured at 120 seconds to accommodate slow LLM generations, and request interceptors inject the 'X-INTERNAL-API-KEY' to secure the connection.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82B49"/>
          <w:sz w:val="40"/>
        </w:rPr>
        <w:t>Slide 6: Performance, Rate Limiting &amp; Security Hardening</w:t>
      </w:r>
    </w:p>
    <w:p>
      <w:pPr>
        <w:spacing w:before="0" w:after="240"/>
      </w:pPr>
      <w:r>
        <w:rPr>
          <w:rFonts w:ascii="Segoe UI" w:hAnsi="Segoe UI"/>
          <w:b w:val="0"/>
          <w:i w:val="0"/>
          <w:color w:val="009688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The backend implements several mechanisms to guarantee system security and responsiveness: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Rate Limiting: </w:t>
      </w:r>
      <w:r>
        <w:rPr>
          <w:rFonts w:ascii="Calibri" w:hAnsi="Calibri"/>
          <w:b w:val="0"/>
          <w:i w:val="0"/>
          <w:color w:val="212121"/>
          <w:sz w:val="22"/>
        </w:rPr>
        <w:t>Protects endpoints from denial-of-service (DoS) attacks by limiting IP addresses to 100 requests per 15-minute window.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Helmet Headers: </w:t>
      </w:r>
      <w:r>
        <w:rPr>
          <w:rFonts w:ascii="Calibri" w:hAnsi="Calibri"/>
          <w:b w:val="0"/>
          <w:i w:val="0"/>
          <w:color w:val="212121"/>
          <w:sz w:val="22"/>
        </w:rPr>
        <w:t>Secures HTTP response headers by disabling x-powered-by, enforcing SSL, and blocking iframe clickjacking.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CORS Enforcement: </w:t>
      </w:r>
      <w:r>
        <w:rPr>
          <w:rFonts w:ascii="Calibri" w:hAnsi="Calibri"/>
          <w:b w:val="0"/>
          <w:i w:val="0"/>
          <w:color w:val="212121"/>
          <w:sz w:val="22"/>
        </w:rPr>
        <w:t>CORS configurations block unauthorized browser origins from accessing endpoints.</w:t>
      </w: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82B49"/>
          <w:sz w:val="40"/>
        </w:rPr>
        <w:t>Slide 7: Request Logging &amp; Operational Monitoring</w:t>
      </w:r>
    </w:p>
    <w:p>
      <w:pPr>
        <w:spacing w:before="0" w:after="240"/>
      </w:pPr>
      <w:r>
        <w:rPr>
          <w:rFonts w:ascii="Segoe UI" w:hAnsi="Segoe UI"/>
          <w:b w:val="0"/>
          <w:i w:val="0"/>
          <w:color w:val="009688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To monitor system health and measure API performance, logging is configured at the gateway level: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Winston Logger: </w:t>
      </w:r>
      <w:r>
        <w:rPr>
          <w:rFonts w:ascii="Calibri" w:hAnsi="Calibri"/>
          <w:b w:val="0"/>
          <w:i w:val="0"/>
          <w:color w:val="212121"/>
          <w:sz w:val="22"/>
        </w:rPr>
        <w:t>A custom Winston logger logs information for all incoming requests, errors, and system events.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Latency Tracking: </w:t>
      </w:r>
      <w:r>
        <w:rPr>
          <w:rFonts w:ascii="Calibri" w:hAnsi="Calibri"/>
          <w:b w:val="0"/>
          <w:i w:val="0"/>
          <w:color w:val="212121"/>
          <w:sz w:val="22"/>
        </w:rPr>
        <w:t>Axios request interceptors record start times. Response interceptors log execution duration for each FastAPI call.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Log Routing: </w:t>
      </w:r>
      <w:r>
        <w:rPr>
          <w:rFonts w:ascii="Calibri" w:hAnsi="Calibri"/>
          <w:b w:val="0"/>
          <w:i w:val="0"/>
          <w:color w:val="212121"/>
          <w:sz w:val="22"/>
        </w:rPr>
        <w:t>Logs are written to files (`logs/error.log`, `logs/combined.log`) and mirrored to stdout in development mode.</w:t>
      </w: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82B49"/>
          <w:sz w:val="40"/>
        </w:rPr>
        <w:t>Slide 8: Key Accomplishments &amp; Deliverables</w:t>
      </w:r>
    </w:p>
    <w:p>
      <w:pPr>
        <w:spacing w:before="0" w:after="240"/>
      </w:pPr>
      <w:r>
        <w:rPr>
          <w:rFonts w:ascii="Segoe UI" w:hAnsi="Segoe UI"/>
          <w:b w:val="0"/>
          <w:i w:val="0"/>
          <w:color w:val="009688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The backend architecture achieves the following deliverables: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Decoupling: </w:t>
      </w:r>
      <w:r>
        <w:rPr>
          <w:rFonts w:ascii="Calibri" w:hAnsi="Calibri"/>
          <w:b w:val="0"/>
          <w:i w:val="0"/>
          <w:color w:val="212121"/>
          <w:sz w:val="22"/>
        </w:rPr>
        <w:t>Decoupled architecture separating node-based RESTful gateways from Python-based AI engines.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Medical Security: </w:t>
      </w:r>
      <w:r>
        <w:rPr>
          <w:rFonts w:ascii="Calibri" w:hAnsi="Calibri"/>
          <w:b w:val="0"/>
          <w:i w:val="0"/>
          <w:color w:val="212121"/>
          <w:sz w:val="22"/>
        </w:rPr>
        <w:t>Secure storage of medical records with strict JWT routing controls.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AI Enablement: </w:t>
      </w:r>
      <w:r>
        <w:rPr>
          <w:rFonts w:ascii="Calibri" w:hAnsi="Calibri"/>
          <w:b w:val="0"/>
          <w:i w:val="0"/>
          <w:color w:val="212121"/>
          <w:sz w:val="22"/>
        </w:rPr>
        <w:t>Full integration of ECG classification, SHAP graphs, and LLM text reports.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212121"/>
          <w:sz w:val="22"/>
        </w:rPr>
        <w:t xml:space="preserve">Fault Tolerance: </w:t>
      </w:r>
      <w:r>
        <w:rPr>
          <w:rFonts w:ascii="Calibri" w:hAnsi="Calibri"/>
          <w:b w:val="0"/>
          <w:i w:val="0"/>
          <w:color w:val="212121"/>
          <w:sz w:val="22"/>
        </w:rPr>
        <w:t>Detailed performance logs for AI calls and automatic fallback handlers for system failures.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