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Consolas" w:cs="Consolas" w:eastAsia="Consolas" w:hAnsi="Consolas"/>
          <w:b/>
          <w:bCs/>
          <w:color w:val="0C3230"/>
          <w:sz w:val="44"/>
          <w:szCs w:val="44"/>
        </w:rPr>
        <w:t xml:space="preserve">EDIP</w:t>
      </w:r>
    </w:p>
    <w:p>
      <w:pPr>
        <w:bidi/>
        <w:spacing w:after="40"/>
        <w:jc w:val="center"/>
      </w:pPr>
      <w:r>
        <w:rPr>
          <w:rFonts w:ascii="Aref Ruqaa" w:cs="Aref Ruqaa" w:eastAsia="Aref Ruqaa" w:hAnsi="Aref Ruqaa"/>
          <w:b/>
          <w:bCs/>
          <w:color w:val="0C3230"/>
          <w:sz w:val="40"/>
          <w:szCs w:val="40"/>
        </w:rPr>
        <w:t xml:space="preserve">منصة إيديب لذكاء التنمية المصرية</w:t>
      </w:r>
    </w:p>
    <w:p>
      <w:pPr>
        <w:bidi/>
        <w:spacing w:after="400"/>
        <w:jc w:val="center"/>
      </w:pPr>
      <w:r>
        <w:rPr>
          <w:rFonts w:ascii="Cairo" w:cs="Cairo" w:eastAsia="Cairo" w:hAnsi="Cairo"/>
          <w:color w:val="B9853A"/>
          <w:sz w:val="24"/>
          <w:szCs w:val="24"/>
        </w:rPr>
        <w:t xml:space="preserve">توثيق نموذج التعلّم الآلي — مؤشر أولوية التنمية المصري (EDPI)</w:t>
      </w:r>
    </w:p>
    <w:p>
      <w:pPr>
        <w:pStyle w:val="Heading1"/>
        <w:pBdr>
          <w:bottom w:val="single" w:color="B9853A" w:sz="6" w:space="4"/>
        </w:pBdr>
        <w:bidi/>
        <w:spacing w:after="140" w:before="280"/>
        <w:jc w:val="right"/>
      </w:pPr>
      <w:r>
        <w:rPr>
          <w:rFonts w:ascii="Aref Ruqaa" w:cs="Aref Ruqaa" w:eastAsia="Aref Ruqaa" w:hAnsi="Aref Ruqaa"/>
          <w:b/>
          <w:bCs/>
          <w:color w:val="0C3230"/>
          <w:sz w:val="32"/>
          <w:szCs w:val="32"/>
        </w:rPr>
        <w:t xml:space="preserve">١. نظرة عامة على المشروع</w:t>
      </w:r>
    </w:p>
    <w:p>
      <w:pPr>
        <w:bidi/>
        <w:spacing w:after="120"/>
        <w:jc w:val="right"/>
      </w:pPr>
      <w:r>
        <w:rPr>
          <w:rFonts w:ascii="Cairo" w:cs="Cairo" w:eastAsia="Cairo" w:hAnsi="Cairo"/>
          <w:color w:val="1E2A22"/>
          <w:sz w:val="22"/>
          <w:szCs w:val="22"/>
        </w:rPr>
        <w:t xml:space="preserve">يهدف مشروع EDIP إلى دمج بيانات التنمية السكانية والصحية والتعليمية والاقتصادية والخدمية عبر محافظات مصر الـ٢٧ في منصة تحليلية واحدة، تدعم متخذي القرار في وزارة التخطيط عبر لوحات تحكم تفاعلية، ومؤشر أولوية تنموي (EDPI)، ونموذج تنبؤي بالاحتياجات التنموية المستقبلية.</w:t>
      </w:r>
    </w:p>
    <w:p>
      <w:pPr>
        <w:bidi/>
        <w:spacing w:after="120"/>
        <w:jc w:val="right"/>
      </w:pPr>
      <w:r>
        <w:rPr>
          <w:rFonts w:ascii="Cairo" w:cs="Cairo" w:eastAsia="Cairo" w:hAnsi="Cairo"/>
          <w:color w:val="1E2A22"/>
          <w:sz w:val="22"/>
          <w:szCs w:val="22"/>
        </w:rPr>
        <w:t xml:space="preserve">هذا المستند يوثّق مرحلة النموذج التنبؤي (Machine Learning Prediction Model) ضمن المخرجات المتوقعة للمشروع، بما يشمل اختيار النموذج، تدريبه، تقييمه، وتحويله إلى تطبيق ويب تفاعلي (HTML / CSS / JavaScript) يعمل بالكامل داخل المتصفح.</w:t>
      </w:r>
    </w:p>
    <w:p>
      <w:pPr>
        <w:pStyle w:val="Heading1"/>
        <w:pBdr>
          <w:bottom w:val="single" w:color="B9853A" w:sz="6" w:space="4"/>
        </w:pBdr>
        <w:bidi/>
        <w:spacing w:after="140" w:before="280"/>
        <w:jc w:val="right"/>
      </w:pPr>
      <w:r>
        <w:rPr>
          <w:rFonts w:ascii="Aref Ruqaa" w:cs="Aref Ruqaa" w:eastAsia="Aref Ruqaa" w:hAnsi="Aref Ruqaa"/>
          <w:b/>
          <w:bCs/>
          <w:color w:val="0C3230"/>
          <w:sz w:val="32"/>
          <w:szCs w:val="32"/>
        </w:rPr>
        <w:t xml:space="preserve">٢. البيانات المستخدمة</w:t>
      </w:r>
    </w:p>
    <w:p>
      <w:pPr>
        <w:pStyle w:val="ListParagraph"/>
        <w:numPr>
          <w:ilvl w:val="0"/>
          <w:numId w:val="2"/>
        </w:numPr>
        <w:bidi/>
        <w:jc w:val="right"/>
      </w:pPr>
      <w:r>
        <w:rPr>
          <w:rFonts w:ascii="Cairo" w:cs="Cairo" w:eastAsia="Cairo" w:hAnsi="Cairo"/>
          <w:color w:val="1E2A22"/>
          <w:sz w:val="22"/>
          <w:szCs w:val="22"/>
        </w:rPr>
        <w:t xml:space="preserve">عدد السجلات: 82,500 سجلًا (وحدة إدارية × سنة).</w:t>
      </w:r>
    </w:p>
    <w:p>
      <w:pPr>
        <w:pStyle w:val="ListParagraph"/>
        <w:numPr>
          <w:ilvl w:val="0"/>
          <w:numId w:val="2"/>
        </w:numPr>
        <w:bidi/>
        <w:jc w:val="right"/>
      </w:pPr>
      <w:r>
        <w:rPr>
          <w:rFonts w:ascii="Cairo" w:cs="Cairo" w:eastAsia="Cairo" w:hAnsi="Cairo"/>
          <w:color w:val="1E2A22"/>
          <w:sz w:val="22"/>
          <w:szCs w:val="22"/>
        </w:rPr>
        <w:t xml:space="preserve">عدد المتغيرات الكلي في الملف: 103 عمودًا.</w:t>
      </w:r>
    </w:p>
    <w:p>
      <w:pPr>
        <w:pStyle w:val="ListParagraph"/>
        <w:numPr>
          <w:ilvl w:val="0"/>
          <w:numId w:val="2"/>
        </w:numPr>
        <w:bidi/>
        <w:jc w:val="right"/>
      </w:pPr>
      <w:r>
        <w:rPr>
          <w:rFonts w:ascii="Cairo" w:cs="Cairo" w:eastAsia="Cairo" w:hAnsi="Cairo"/>
          <w:color w:val="1E2A22"/>
          <w:sz w:val="22"/>
          <w:szCs w:val="22"/>
        </w:rPr>
        <w:t xml:space="preserve">النطاق الزمني: من عام 2010 إلى عام 2024 (15 عامًا).</w:t>
      </w:r>
    </w:p>
    <w:p>
      <w:pPr>
        <w:pStyle w:val="ListParagraph"/>
        <w:numPr>
          <w:ilvl w:val="0"/>
          <w:numId w:val="2"/>
        </w:numPr>
        <w:bidi/>
        <w:jc w:val="right"/>
      </w:pPr>
      <w:r>
        <w:rPr>
          <w:rFonts w:ascii="Cairo" w:cs="Cairo" w:eastAsia="Cairo" w:hAnsi="Cairo"/>
          <w:color w:val="1E2A22"/>
          <w:sz w:val="22"/>
          <w:szCs w:val="22"/>
        </w:rPr>
        <w:t xml:space="preserve">عدد المحافظات: 27 محافظة مصرية.</w:t>
      </w:r>
    </w:p>
    <w:p>
      <w:pPr>
        <w:pStyle w:val="ListParagraph"/>
        <w:numPr>
          <w:ilvl w:val="0"/>
          <w:numId w:val="2"/>
        </w:numPr>
        <w:bidi/>
        <w:jc w:val="right"/>
      </w:pPr>
      <w:r>
        <w:rPr>
          <w:rFonts w:ascii="Cairo" w:cs="Cairo" w:eastAsia="Cairo" w:hAnsi="Cairo"/>
          <w:color w:val="1E2A22"/>
          <w:sz w:val="22"/>
          <w:szCs w:val="22"/>
        </w:rPr>
        <w:t xml:space="preserve">تقسيم البيانات: Train = 60,500 · Validation = 11,000 · Test = 11,000 (موجود مسبقًا في عمود ML_Split).</w:t>
      </w:r>
    </w:p>
    <w:p>
      <w:pPr>
        <w:pStyle w:val="ListParagraph"/>
        <w:numPr>
          <w:ilvl w:val="0"/>
          <w:numId w:val="2"/>
        </w:numPr>
        <w:bidi/>
        <w:jc w:val="right"/>
      </w:pPr>
      <w:r>
        <w:rPr>
          <w:rFonts w:ascii="Cairo" w:cs="Cairo" w:eastAsia="Cairo" w:hAnsi="Cairo"/>
          <w:color w:val="1E2A22"/>
          <w:sz w:val="22"/>
          <w:szCs w:val="22"/>
        </w:rPr>
        <w:t xml:space="preserve">المتغير الهدف (Target): DevIndexBase — مؤشر تنموي مركّب بين 0.12 و0.98، يمثل أساس مؤشر أولوية التنمية EDPI.</w:t>
      </w:r>
    </w:p>
    <w:p>
      <w:pPr>
        <w:pStyle w:val="Heading1"/>
        <w:pBdr>
          <w:bottom w:val="single" w:color="B9853A" w:sz="6" w:space="4"/>
        </w:pBdr>
        <w:bidi/>
        <w:spacing w:after="140" w:before="280"/>
        <w:jc w:val="right"/>
      </w:pPr>
      <w:r>
        <w:rPr>
          <w:rFonts w:ascii="Aref Ruqaa" w:cs="Aref Ruqaa" w:eastAsia="Aref Ruqaa" w:hAnsi="Aref Ruqaa"/>
          <w:b/>
          <w:bCs/>
          <w:color w:val="0C3230"/>
          <w:sz w:val="32"/>
          <w:szCs w:val="32"/>
        </w:rPr>
        <w:t xml:space="preserve">٣. المتغيرات التنبؤية (Features)</w:t>
      </w:r>
    </w:p>
    <w:p>
      <w:pPr>
        <w:bidi/>
        <w:spacing w:after="120"/>
        <w:jc w:val="right"/>
      </w:pPr>
      <w:r>
        <w:rPr>
          <w:rFonts w:ascii="Cairo" w:cs="Cairo" w:eastAsia="Cairo" w:hAnsi="Cairo"/>
          <w:color w:val="1E2A22"/>
          <w:sz w:val="22"/>
          <w:szCs w:val="22"/>
        </w:rPr>
        <w:t xml:space="preserve">من بين المتغيرات الـ103 المتاحة، تم اختيار 22 متغيرًا ممثلة للقطاعات الخمسة الأساسية للمشروع (السكان، الصحة، التعليم، الاقتصاد، البنية التحتية)، بعد فحص الارتباط (Correlation) مع المتغير الهدف وتفادي التكرار بين المتغيرات المتشابهة:</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1600"/>
      </w:tblGrid>
      <w:tr>
        <w:trPr>
          <w:tblHeader/>
        </w:trPr>
        <w:tc>
          <w:tcPr>
            <w:tcW w:type="dxa" w:w="2600"/>
            <w:shd w:fill="17615C" w:val="clear"/>
            <w:tcMar>
              <w:top w:type="dxa" w:w="80"/>
              <w:left w:type="dxa" w:w="100"/>
              <w:bottom w:type="dxa" w:w="80"/>
              <w:right w:type="dxa" w:w="100"/>
            </w:tcMar>
          </w:tcPr>
          <w:p>
            <w:pPr>
              <w:bidi/>
              <w:jc w:val="center"/>
            </w:pPr>
            <w:r>
              <w:rPr>
                <w:rFonts w:ascii="Cairo" w:cs="Cairo" w:eastAsia="Cairo" w:hAnsi="Cairo"/>
                <w:b/>
                <w:bCs/>
                <w:color w:val="FFFFFF"/>
                <w:sz w:val="20"/>
                <w:szCs w:val="20"/>
              </w:rPr>
              <w:t xml:space="preserve">القطاع</w:t>
            </w:r>
          </w:p>
        </w:tc>
        <w:tc>
          <w:tcPr>
            <w:tcW w:type="dxa" w:w="2200"/>
            <w:shd w:fill="17615C" w:val="clear"/>
            <w:tcMar>
              <w:top w:type="dxa" w:w="80"/>
              <w:left w:type="dxa" w:w="100"/>
              <w:bottom w:type="dxa" w:w="80"/>
              <w:right w:type="dxa" w:w="100"/>
            </w:tcMar>
          </w:tcPr>
          <w:p>
            <w:pPr>
              <w:bidi/>
              <w:jc w:val="center"/>
            </w:pPr>
            <w:r>
              <w:rPr>
                <w:rFonts w:ascii="Cairo" w:cs="Cairo" w:eastAsia="Cairo" w:hAnsi="Cairo"/>
                <w:b/>
                <w:bCs/>
                <w:color w:val="FFFFFF"/>
                <w:sz w:val="20"/>
                <w:szCs w:val="20"/>
              </w:rPr>
              <w:t xml:space="preserve">المتغيرات (٢٢ متغيرًا)</w:t>
            </w:r>
          </w:p>
        </w:tc>
        <w:tc>
          <w:tcPr>
            <w:tcW w:type="dxa" w:w="2000"/>
            <w:shd w:fill="17615C" w:val="clear"/>
            <w:tcMar>
              <w:top w:type="dxa" w:w="80"/>
              <w:left w:type="dxa" w:w="100"/>
              <w:bottom w:type="dxa" w:w="80"/>
              <w:right w:type="dxa" w:w="100"/>
            </w:tcMar>
          </w:tcPr>
          <w:p>
            <w:pPr>
              <w:bidi/>
              <w:jc w:val="center"/>
            </w:pPr>
            <w:r>
              <w:rPr>
                <w:rFonts w:ascii="Cairo" w:cs="Cairo" w:eastAsia="Cairo" w:hAnsi="Cairo"/>
                <w:b/>
                <w:bCs/>
                <w:color w:val="FFFFFF"/>
                <w:sz w:val="20"/>
                <w:szCs w:val="20"/>
              </w:rPr>
              <w:t xml:space="preserve">عدد المتغيرات</w:t>
            </w:r>
          </w:p>
        </w:tc>
        <w:tc>
          <w:tcPr>
            <w:tcW w:type="dxa" w:w="1600"/>
            <w:shd w:fill="17615C" w:val="clear"/>
            <w:tcMar>
              <w:top w:type="dxa" w:w="80"/>
              <w:left w:type="dxa" w:w="100"/>
              <w:bottom w:type="dxa" w:w="80"/>
              <w:right w:type="dxa" w:w="100"/>
            </w:tcMar>
          </w:tcPr>
          <w:p>
            <w:pPr>
              <w:bidi/>
              <w:jc w:val="center"/>
            </w:pPr>
            <w:r>
              <w:rPr>
                <w:rFonts w:ascii="Cairo" w:cs="Cairo" w:eastAsia="Cairo" w:hAnsi="Cairo"/>
                <w:b/>
                <w:bCs/>
                <w:color w:val="FFFFFF"/>
                <w:sz w:val="20"/>
                <w:szCs w:val="20"/>
              </w:rPr>
              <w:t xml:space="preserve">أهم أهمية</w:t>
            </w:r>
          </w:p>
        </w:tc>
      </w:tr>
      <w:tr>
        <w:tc>
          <w:tcPr>
            <w:tcW w:type="dxa" w:w="26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السكان</w:t>
            </w:r>
          </w:p>
        </w:tc>
        <w:tc>
          <w:tcPr>
            <w:tcW w:type="dxa" w:w="22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Population_Density, Urban_Percentage, Birth_Rate, Migration_Rate</w:t>
            </w:r>
          </w:p>
        </w:tc>
        <w:tc>
          <w:tcPr>
            <w:tcW w:type="dxa" w:w="20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4</w:t>
            </w:r>
          </w:p>
        </w:tc>
        <w:tc>
          <w:tcPr>
            <w:tcW w:type="dxa" w:w="16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Urban_Percentage</w:t>
            </w:r>
          </w:p>
        </w:tc>
      </w:tr>
      <w:tr>
        <w:tc>
          <w:tcPr>
            <w:tcW w:type="dxa" w:w="26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الصحة</w:t>
            </w:r>
          </w:p>
        </w:tc>
        <w:tc>
          <w:tcPr>
            <w:tcW w:type="dxa" w:w="22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Vaccination_Rate, Health_Insurance_Coverage, Doctors, Beds</w:t>
            </w:r>
          </w:p>
        </w:tc>
        <w:tc>
          <w:tcPr>
            <w:tcW w:type="dxa" w:w="20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4</w:t>
            </w:r>
          </w:p>
        </w:tc>
        <w:tc>
          <w:tcPr>
            <w:tcW w:type="dxa" w:w="16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Health_Insurance_Coverage</w:t>
            </w:r>
          </w:p>
        </w:tc>
      </w:tr>
      <w:tr>
        <w:tc>
          <w:tcPr>
            <w:tcW w:type="dxa" w:w="26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التعليم</w:t>
            </w:r>
          </w:p>
        </w:tc>
        <w:tc>
          <w:tcPr>
            <w:tcW w:type="dxa" w:w="22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Literacy_Rate, Exam_Score, Graduation_Rate, Dropout_Rate, Student_Teacher_Ratio</w:t>
            </w:r>
          </w:p>
        </w:tc>
        <w:tc>
          <w:tcPr>
            <w:tcW w:type="dxa" w:w="20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5</w:t>
            </w:r>
          </w:p>
        </w:tc>
        <w:tc>
          <w:tcPr>
            <w:tcW w:type="dxa" w:w="16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Literacy_Rate</w:t>
            </w:r>
          </w:p>
        </w:tc>
      </w:tr>
      <w:tr>
        <w:tc>
          <w:tcPr>
            <w:tcW w:type="dxa" w:w="26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الاقتصاد</w:t>
            </w:r>
          </w:p>
        </w:tc>
        <w:tc>
          <w:tcPr>
            <w:tcW w:type="dxa" w:w="22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GDP_per_Capita, Employment_Rate, Poverty_Rate, Average_Income</w:t>
            </w:r>
          </w:p>
        </w:tc>
        <w:tc>
          <w:tcPr>
            <w:tcW w:type="dxa" w:w="20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4</w:t>
            </w:r>
          </w:p>
        </w:tc>
        <w:tc>
          <w:tcPr>
            <w:tcW w:type="dxa" w:w="16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Poverty_Rate و GDP_per_Capita</w:t>
            </w:r>
          </w:p>
        </w:tc>
      </w:tr>
      <w:tr>
        <w:tc>
          <w:tcPr>
            <w:tcW w:type="dxa" w:w="26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البنية التحتية</w:t>
            </w:r>
          </w:p>
        </w:tc>
        <w:tc>
          <w:tcPr>
            <w:tcW w:type="dxa" w:w="22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Electricity_Coverage, Water_Coverage, Internet_Coverage, Waste_Collection, Water_Quality_Index</w:t>
            </w:r>
          </w:p>
        </w:tc>
        <w:tc>
          <w:tcPr>
            <w:tcW w:type="dxa" w:w="20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5</w:t>
            </w:r>
          </w:p>
        </w:tc>
        <w:tc>
          <w:tcPr>
            <w:tcW w:type="dxa" w:w="16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Waste_Collection</w:t>
            </w:r>
          </w:p>
        </w:tc>
      </w:tr>
    </w:tbl>
    <w:p>
      <w:pPr>
        <w:pStyle w:val="Heading1"/>
        <w:pBdr>
          <w:bottom w:val="single" w:color="B9853A" w:sz="6" w:space="4"/>
        </w:pBdr>
        <w:bidi/>
        <w:spacing w:after="140" w:before="280"/>
        <w:jc w:val="right"/>
      </w:pPr>
      <w:r>
        <w:rPr>
          <w:rFonts w:ascii="Aref Ruqaa" w:cs="Aref Ruqaa" w:eastAsia="Aref Ruqaa" w:hAnsi="Aref Ruqaa"/>
          <w:b/>
          <w:bCs/>
          <w:color w:val="0C3230"/>
          <w:sz w:val="32"/>
          <w:szCs w:val="32"/>
        </w:rPr>
        <w:t xml:space="preserve">٤. اختيار النموذج</w:t>
      </w:r>
    </w:p>
    <w:p>
      <w:pPr>
        <w:bidi/>
        <w:spacing w:after="120"/>
        <w:jc w:val="right"/>
      </w:pPr>
      <w:r>
        <w:rPr>
          <w:rFonts w:ascii="Cairo" w:cs="Cairo" w:eastAsia="Cairo" w:hAnsi="Cairo"/>
          <w:color w:val="1E2A22"/>
          <w:sz w:val="22"/>
          <w:szCs w:val="22"/>
        </w:rPr>
        <w:t xml:space="preserve">تم تدريب أربعة نماذج مختلفة على نفس تقسيم البيانات (Train/Test) للمقارنة بينها، مع توحيد المتغيرات (Standardization) للنماذج الخطية:</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000"/>
      </w:tblGrid>
      <w:tr>
        <w:trPr>
          <w:tblHeader/>
        </w:trPr>
        <w:tc>
          <w:tcPr>
            <w:tcW w:type="dxa" w:w="2400"/>
            <w:shd w:fill="0C3230" w:val="clear"/>
            <w:tcMar>
              <w:top w:type="dxa" w:w="80"/>
              <w:left w:type="dxa" w:w="100"/>
              <w:bottom w:type="dxa" w:w="80"/>
              <w:right w:type="dxa" w:w="100"/>
            </w:tcMar>
          </w:tcPr>
          <w:p>
            <w:pPr>
              <w:bidi/>
              <w:jc w:val="center"/>
            </w:pPr>
            <w:r>
              <w:rPr>
                <w:rFonts w:ascii="Cairo" w:cs="Cairo" w:eastAsia="Cairo" w:hAnsi="Cairo"/>
                <w:b/>
                <w:bCs/>
                <w:color w:val="FFFFFF"/>
                <w:sz w:val="20"/>
                <w:szCs w:val="20"/>
              </w:rPr>
              <w:t xml:space="preserve">النموذج</w:t>
            </w:r>
          </w:p>
        </w:tc>
        <w:tc>
          <w:tcPr>
            <w:tcW w:type="dxa" w:w="2000"/>
            <w:shd w:fill="0C3230" w:val="clear"/>
            <w:tcMar>
              <w:top w:type="dxa" w:w="80"/>
              <w:left w:type="dxa" w:w="100"/>
              <w:bottom w:type="dxa" w:w="80"/>
              <w:right w:type="dxa" w:w="100"/>
            </w:tcMar>
          </w:tcPr>
          <w:p>
            <w:pPr>
              <w:bidi/>
              <w:jc w:val="center"/>
            </w:pPr>
            <w:r>
              <w:rPr>
                <w:rFonts w:ascii="Cairo" w:cs="Cairo" w:eastAsia="Cairo" w:hAnsi="Cairo"/>
                <w:b/>
                <w:bCs/>
                <w:color w:val="FFFFFF"/>
                <w:sz w:val="20"/>
                <w:szCs w:val="20"/>
              </w:rPr>
              <w:t xml:space="preserve">R² (اختبار)</w:t>
            </w:r>
          </w:p>
        </w:tc>
        <w:tc>
          <w:tcPr>
            <w:tcW w:type="dxa" w:w="2000"/>
            <w:shd w:fill="0C3230" w:val="clear"/>
            <w:tcMar>
              <w:top w:type="dxa" w:w="80"/>
              <w:left w:type="dxa" w:w="100"/>
              <w:bottom w:type="dxa" w:w="80"/>
              <w:right w:type="dxa" w:w="100"/>
            </w:tcMar>
          </w:tcPr>
          <w:p>
            <w:pPr>
              <w:bidi/>
              <w:jc w:val="center"/>
            </w:pPr>
            <w:r>
              <w:rPr>
                <w:rFonts w:ascii="Cairo" w:cs="Cairo" w:eastAsia="Cairo" w:hAnsi="Cairo"/>
                <w:b/>
                <w:bCs/>
                <w:color w:val="FFFFFF"/>
                <w:sz w:val="20"/>
                <w:szCs w:val="20"/>
              </w:rPr>
              <w:t xml:space="preserve">MAE</w:t>
            </w:r>
          </w:p>
        </w:tc>
        <w:tc>
          <w:tcPr>
            <w:tcW w:type="dxa" w:w="2000"/>
            <w:shd w:fill="0C3230" w:val="clear"/>
            <w:tcMar>
              <w:top w:type="dxa" w:w="80"/>
              <w:left w:type="dxa" w:w="100"/>
              <w:bottom w:type="dxa" w:w="80"/>
              <w:right w:type="dxa" w:w="100"/>
            </w:tcMar>
          </w:tcPr>
          <w:p>
            <w:pPr>
              <w:bidi/>
              <w:jc w:val="center"/>
            </w:pPr>
            <w:r>
              <w:rPr>
                <w:rFonts w:ascii="Cairo" w:cs="Cairo" w:eastAsia="Cairo" w:hAnsi="Cairo"/>
                <w:b/>
                <w:bCs/>
                <w:color w:val="FFFFFF"/>
                <w:sz w:val="20"/>
                <w:szCs w:val="20"/>
              </w:rPr>
              <w:t xml:space="preserve">ملاحظات</w:t>
            </w:r>
          </w:p>
        </w:tc>
      </w:tr>
      <w:tr>
        <w:tc>
          <w:tcPr>
            <w:tcW w:type="dxa" w:w="24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Linear Regression</w:t>
            </w:r>
          </w:p>
        </w:tc>
        <w:tc>
          <w:tcPr>
            <w:tcW w:type="dxa" w:w="20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0.9109</w:t>
            </w:r>
          </w:p>
        </w:tc>
        <w:tc>
          <w:tcPr>
            <w:tcW w:type="dxa" w:w="20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0.0485</w:t>
            </w:r>
          </w:p>
        </w:tc>
        <w:tc>
          <w:tcPr>
            <w:tcW w:type="dxa" w:w="20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خطي، سريع، لكنه لا يلتقط العلاقات غير الخطية</w:t>
            </w:r>
          </w:p>
        </w:tc>
      </w:tr>
      <w:tr>
        <w:tc>
          <w:tcPr>
            <w:tcW w:type="dxa" w:w="24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Ridge Regression</w:t>
            </w:r>
          </w:p>
        </w:tc>
        <w:tc>
          <w:tcPr>
            <w:tcW w:type="dxa" w:w="20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0.9109</w:t>
            </w:r>
          </w:p>
        </w:tc>
        <w:tc>
          <w:tcPr>
            <w:tcW w:type="dxa" w:w="20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0.0485</w:t>
            </w:r>
          </w:p>
        </w:tc>
        <w:tc>
          <w:tcPr>
            <w:tcW w:type="dxa" w:w="20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مطابق تقريبًا للانحدار الخطي</w:t>
            </w:r>
          </w:p>
        </w:tc>
      </w:tr>
      <w:tr>
        <w:tc>
          <w:tcPr>
            <w:tcW w:type="dxa" w:w="24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Random Forest</w:t>
            </w:r>
          </w:p>
        </w:tc>
        <w:tc>
          <w:tcPr>
            <w:tcW w:type="dxa" w:w="20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0.9074</w:t>
            </w:r>
          </w:p>
        </w:tc>
        <w:tc>
          <w:tcPr>
            <w:tcW w:type="dxa" w:w="20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0.0504</w:t>
            </w:r>
          </w:p>
        </w:tc>
        <w:tc>
          <w:tcPr>
            <w:tcW w:type="dxa" w:w="20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أداء جيد لكنه أقل من Gradient Boosting هنا</w:t>
            </w:r>
          </w:p>
        </w:tc>
      </w:tr>
      <w:tr>
        <w:tc>
          <w:tcPr>
            <w:tcW w:type="dxa" w:w="2400"/>
            <w:shd w:fill="EFE3C4" w:val="clear"/>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Gradient Boosting ✓</w:t>
            </w:r>
          </w:p>
        </w:tc>
        <w:tc>
          <w:tcPr>
            <w:tcW w:type="dxa" w:w="2000"/>
            <w:shd w:fill="EFE3C4" w:val="clear"/>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0.9469</w:t>
            </w:r>
          </w:p>
        </w:tc>
        <w:tc>
          <w:tcPr>
            <w:tcW w:type="dxa" w:w="2000"/>
            <w:shd w:fill="EFE3C4" w:val="clear"/>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0.0363</w:t>
            </w:r>
          </w:p>
        </w:tc>
        <w:tc>
          <w:tcPr>
            <w:tcW w:type="dxa" w:w="2000"/>
            <w:shd w:fill="EFE3C4" w:val="clear"/>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الأعلى دقة؛ اختير للنشر النهائي</w:t>
            </w:r>
          </w:p>
        </w:tc>
      </w:tr>
    </w:tbl>
    <w:p>
      <w:pPr>
        <w:bidi/>
        <w:spacing w:after="80" w:before="160"/>
        <w:jc w:val="right"/>
      </w:pPr>
      <w:r>
        <w:rPr>
          <w:rFonts w:ascii="Cairo" w:cs="Cairo" w:eastAsia="Cairo" w:hAnsi="Cairo"/>
          <w:color w:val="1E2A22"/>
          <w:sz w:val="22"/>
          <w:szCs w:val="22"/>
        </w:rPr>
        <w:t xml:space="preserve">النتيجة: نموذج </w:t>
      </w:r>
      <w:r>
        <w:rPr>
          <w:rFonts w:ascii="Cairo" w:cs="Cairo" w:eastAsia="Cairo" w:hAnsi="Cairo"/>
          <w:b/>
          <w:bCs/>
          <w:color w:val="1E2A22"/>
          <w:sz w:val="22"/>
          <w:szCs w:val="22"/>
        </w:rPr>
        <w:t xml:space="preserve">Gradient Boosting Regressor</w:t>
      </w:r>
    </w:p>
    <w:p>
      <w:pPr>
        <w:bidi/>
        <w:spacing w:after="120"/>
        <w:jc w:val="right"/>
      </w:pPr>
      <w:r>
        <w:rPr>
          <w:rFonts w:ascii="Cairo" w:cs="Cairo" w:eastAsia="Cairo" w:hAnsi="Cairo"/>
          <w:color w:val="1E2A22"/>
          <w:sz w:val="22"/>
          <w:szCs w:val="22"/>
        </w:rPr>
        <w:t xml:space="preserve">حقق أعلى دقة (R² = 0.947) وأقل خطأ (MAE = 0.036)، لأنه يلتقط العلاقات غير الخطية والتفاعلات بين المتغيرات (مثل تأثير الفقر على التعليم والصحة معًا) بشكل أفضل من النماذج الخطية أو حتى الغابة العشوائية، لذلك تم اعتماده كنموذج نهائي للنشر.</w:t>
      </w:r>
    </w:p>
    <w:p>
      <w:pPr>
        <w:pStyle w:val="Heading1"/>
        <w:pBdr>
          <w:bottom w:val="single" w:color="B9853A" w:sz="6" w:space="4"/>
        </w:pBdr>
        <w:bidi/>
        <w:spacing w:after="140" w:before="280"/>
        <w:jc w:val="right"/>
      </w:pPr>
      <w:r>
        <w:rPr>
          <w:rFonts w:ascii="Aref Ruqaa" w:cs="Aref Ruqaa" w:eastAsia="Aref Ruqaa" w:hAnsi="Aref Ruqaa"/>
          <w:b/>
          <w:bCs/>
          <w:color w:val="0C3230"/>
          <w:sz w:val="32"/>
          <w:szCs w:val="32"/>
        </w:rPr>
        <w:t xml:space="preserve">٥. إعدادات النموذج النهائي (Hyperparameters)</w:t>
      </w:r>
    </w:p>
    <w:p>
      <w:pPr>
        <w:pStyle w:val="ListParagraph"/>
        <w:numPr>
          <w:ilvl w:val="0"/>
          <w:numId w:val="2"/>
        </w:numPr>
        <w:bidi/>
        <w:jc w:val="right"/>
      </w:pPr>
      <w:r>
        <w:rPr>
          <w:rFonts w:ascii="Cairo" w:cs="Cairo" w:eastAsia="Cairo" w:hAnsi="Cairo"/>
          <w:color w:val="1E2A22"/>
          <w:sz w:val="22"/>
          <w:szCs w:val="22"/>
        </w:rPr>
        <w:t xml:space="preserve">الخوارزمية: GradientBoostingRegressor (مكتبة scikit-learn)</w:t>
      </w:r>
    </w:p>
    <w:p>
      <w:pPr>
        <w:pStyle w:val="ListParagraph"/>
        <w:numPr>
          <w:ilvl w:val="0"/>
          <w:numId w:val="2"/>
        </w:numPr>
        <w:bidi/>
        <w:jc w:val="right"/>
      </w:pPr>
      <w:r>
        <w:rPr>
          <w:rFonts w:ascii="Cairo" w:cs="Cairo" w:eastAsia="Cairo" w:hAnsi="Cairo"/>
          <w:color w:val="1E2A22"/>
          <w:sz w:val="22"/>
          <w:szCs w:val="22"/>
        </w:rPr>
        <w:t xml:space="preserve">عدد الأشجار n_estimators = 200</w:t>
      </w:r>
    </w:p>
    <w:p>
      <w:pPr>
        <w:pStyle w:val="ListParagraph"/>
        <w:numPr>
          <w:ilvl w:val="0"/>
          <w:numId w:val="2"/>
        </w:numPr>
        <w:bidi/>
        <w:jc w:val="right"/>
      </w:pPr>
      <w:r>
        <w:rPr>
          <w:rFonts w:ascii="Cairo" w:cs="Cairo" w:eastAsia="Cairo" w:hAnsi="Cairo"/>
          <w:color w:val="1E2A22"/>
          <w:sz w:val="22"/>
          <w:szCs w:val="22"/>
        </w:rPr>
        <w:t xml:space="preserve">أقصى عمق لكل شجرة max_depth = 3</w:t>
      </w:r>
    </w:p>
    <w:p>
      <w:pPr>
        <w:pStyle w:val="ListParagraph"/>
        <w:numPr>
          <w:ilvl w:val="0"/>
          <w:numId w:val="2"/>
        </w:numPr>
        <w:bidi/>
        <w:jc w:val="right"/>
      </w:pPr>
      <w:r>
        <w:rPr>
          <w:rFonts w:ascii="Cairo" w:cs="Cairo" w:eastAsia="Cairo" w:hAnsi="Cairo"/>
          <w:color w:val="1E2A22"/>
          <w:sz w:val="22"/>
          <w:szCs w:val="22"/>
        </w:rPr>
        <w:t xml:space="preserve">معدل التعلّم learning_rate = 0.1</w:t>
      </w:r>
    </w:p>
    <w:p>
      <w:pPr>
        <w:pStyle w:val="ListParagraph"/>
        <w:numPr>
          <w:ilvl w:val="0"/>
          <w:numId w:val="2"/>
        </w:numPr>
        <w:bidi/>
        <w:jc w:val="right"/>
      </w:pPr>
      <w:r>
        <w:rPr>
          <w:rFonts w:ascii="Cairo" w:cs="Cairo" w:eastAsia="Cairo" w:hAnsi="Cairo"/>
          <w:color w:val="1E2A22"/>
          <w:sz w:val="22"/>
          <w:szCs w:val="22"/>
        </w:rPr>
        <w:t xml:space="preserve">نسبة العينة العشوائية لكل شجرة subsample = 0.9</w:t>
      </w:r>
    </w:p>
    <w:p>
      <w:pPr>
        <w:pStyle w:val="ListParagraph"/>
        <w:numPr>
          <w:ilvl w:val="0"/>
          <w:numId w:val="2"/>
        </w:numPr>
        <w:bidi/>
        <w:jc w:val="right"/>
      </w:pPr>
      <w:r>
        <w:rPr>
          <w:rFonts w:ascii="Cairo" w:cs="Cairo" w:eastAsia="Cairo" w:hAnsi="Cairo"/>
          <w:color w:val="1E2A22"/>
          <w:sz w:val="22"/>
          <w:szCs w:val="22"/>
        </w:rPr>
        <w:t xml:space="preserve">random_state = 42 لضمان قابلية إعادة إنتاج النتائج</w:t>
      </w:r>
    </w:p>
    <w:p>
      <w:pPr>
        <w:pStyle w:val="Heading1"/>
        <w:pBdr>
          <w:bottom w:val="single" w:color="B9853A" w:sz="6" w:space="4"/>
        </w:pBdr>
        <w:bidi/>
        <w:spacing w:after="140" w:before="280"/>
        <w:jc w:val="right"/>
      </w:pPr>
      <w:r>
        <w:rPr>
          <w:rFonts w:ascii="Aref Ruqaa" w:cs="Aref Ruqaa" w:eastAsia="Aref Ruqaa" w:hAnsi="Aref Ruqaa"/>
          <w:b/>
          <w:bCs/>
          <w:color w:val="0C3230"/>
          <w:sz w:val="32"/>
          <w:szCs w:val="32"/>
        </w:rPr>
        <w:t xml:space="preserve">٦. نتائج التقييم النهائية</w:t>
      </w:r>
    </w:p>
    <w:p>
      <w:pPr>
        <w:pStyle w:val="ListParagraph"/>
        <w:numPr>
          <w:ilvl w:val="0"/>
          <w:numId w:val="2"/>
        </w:numPr>
        <w:bidi/>
        <w:jc w:val="right"/>
      </w:pPr>
      <w:r>
        <w:rPr>
          <w:rFonts w:ascii="Cairo" w:cs="Cairo" w:eastAsia="Cairo" w:hAnsi="Cairo"/>
          <w:color w:val="1E2A22"/>
          <w:sz w:val="22"/>
          <w:szCs w:val="22"/>
        </w:rPr>
        <w:t xml:space="preserve">R² على بيانات الاختبار (Test): 0.947</w:t>
      </w:r>
    </w:p>
    <w:p>
      <w:pPr>
        <w:pStyle w:val="ListParagraph"/>
        <w:numPr>
          <w:ilvl w:val="0"/>
          <w:numId w:val="2"/>
        </w:numPr>
        <w:bidi/>
        <w:jc w:val="right"/>
      </w:pPr>
      <w:r>
        <w:rPr>
          <w:rFonts w:ascii="Cairo" w:cs="Cairo" w:eastAsia="Cairo" w:hAnsi="Cairo"/>
          <w:color w:val="1E2A22"/>
          <w:sz w:val="22"/>
          <w:szCs w:val="22"/>
        </w:rPr>
        <w:t xml:space="preserve">R² على بيانات التحقق (Validation): 0.945</w:t>
      </w:r>
    </w:p>
    <w:p>
      <w:pPr>
        <w:pStyle w:val="ListParagraph"/>
        <w:numPr>
          <w:ilvl w:val="0"/>
          <w:numId w:val="2"/>
        </w:numPr>
        <w:bidi/>
        <w:jc w:val="right"/>
      </w:pPr>
      <w:r>
        <w:rPr>
          <w:rFonts w:ascii="Cairo" w:cs="Cairo" w:eastAsia="Cairo" w:hAnsi="Cairo"/>
          <w:color w:val="1E2A22"/>
          <w:sz w:val="22"/>
          <w:szCs w:val="22"/>
        </w:rPr>
        <w:t xml:space="preserve">متوسط الخطأ المطلق MAE: 0.036</w:t>
      </w:r>
    </w:p>
    <w:p>
      <w:pPr>
        <w:pStyle w:val="ListParagraph"/>
        <w:numPr>
          <w:ilvl w:val="0"/>
          <w:numId w:val="2"/>
        </w:numPr>
        <w:bidi/>
        <w:jc w:val="right"/>
      </w:pPr>
      <w:r>
        <w:rPr>
          <w:rFonts w:ascii="Cairo" w:cs="Cairo" w:eastAsia="Cairo" w:hAnsi="Cairo"/>
          <w:color w:val="1E2A22"/>
          <w:sz w:val="22"/>
          <w:szCs w:val="22"/>
        </w:rPr>
        <w:t xml:space="preserve">جذر متوسط مربع الخطأ RMSE: 0.044</w:t>
      </w:r>
    </w:p>
    <w:p>
      <w:pPr>
        <w:bidi/>
        <w:spacing w:after="120"/>
        <w:jc w:val="right"/>
      </w:pPr>
      <w:r>
        <w:rPr>
          <w:rFonts w:ascii="Cairo" w:cs="Cairo" w:eastAsia="Cairo" w:hAnsi="Cairo"/>
          <w:color w:val="1E2A22"/>
          <w:sz w:val="22"/>
          <w:szCs w:val="22"/>
        </w:rPr>
        <w:t xml:space="preserve">بما أن المتغير الهدف يقع بين 0 و1، فإن متوسط خطأ 0.036 يعني أن تنبؤ النموذج يبتعد في المتوسط بنحو 3.6% فقط عن القيمة الحقيقية لمؤشر التنمية — وهي دقة عالية جدًا لمشكلة انحدار بهذا التعقيد.</w:t>
      </w:r>
    </w:p>
    <w:p>
      <w:pPr>
        <w:pStyle w:val="Heading1"/>
        <w:pBdr>
          <w:bottom w:val="single" w:color="B9853A" w:sz="6" w:space="4"/>
        </w:pBdr>
        <w:bidi/>
        <w:spacing w:after="140" w:before="280"/>
        <w:jc w:val="right"/>
      </w:pPr>
      <w:r>
        <w:rPr>
          <w:rFonts w:ascii="Aref Ruqaa" w:cs="Aref Ruqaa" w:eastAsia="Aref Ruqaa" w:hAnsi="Aref Ruqaa"/>
          <w:b/>
          <w:bCs/>
          <w:color w:val="0C3230"/>
          <w:sz w:val="32"/>
          <w:szCs w:val="32"/>
        </w:rPr>
        <w:t xml:space="preserve">٧. أهم المتغيرات المؤثرة في القرار (Feature Importance)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000"/>
      </w:tblGrid>
      <w:tr>
        <w:trPr>
          <w:tblHeader/>
        </w:trPr>
        <w:tc>
          <w:tcPr>
            <w:tcW w:type="dxa" w:w="3200"/>
            <w:shd w:fill="B9853A" w:val="clear"/>
            <w:tcMar>
              <w:top w:type="dxa" w:w="80"/>
              <w:left w:type="dxa" w:w="100"/>
              <w:bottom w:type="dxa" w:w="80"/>
              <w:right w:type="dxa" w:w="100"/>
            </w:tcMar>
          </w:tcPr>
          <w:p>
            <w:pPr>
              <w:bidi/>
              <w:jc w:val="center"/>
            </w:pPr>
            <w:r>
              <w:rPr>
                <w:rFonts w:ascii="Cairo" w:cs="Cairo" w:eastAsia="Cairo" w:hAnsi="Cairo"/>
                <w:b/>
                <w:bCs/>
                <w:color w:val="FFFFFF"/>
                <w:sz w:val="20"/>
                <w:szCs w:val="20"/>
              </w:rPr>
              <w:t xml:space="preserve">المتغير</w:t>
            </w:r>
          </w:p>
        </w:tc>
        <w:tc>
          <w:tcPr>
            <w:tcW w:type="dxa" w:w="2200"/>
            <w:shd w:fill="B9853A" w:val="clear"/>
            <w:tcMar>
              <w:top w:type="dxa" w:w="80"/>
              <w:left w:type="dxa" w:w="100"/>
              <w:bottom w:type="dxa" w:w="80"/>
              <w:right w:type="dxa" w:w="100"/>
            </w:tcMar>
          </w:tcPr>
          <w:p>
            <w:pPr>
              <w:bidi/>
              <w:jc w:val="center"/>
            </w:pPr>
            <w:r>
              <w:rPr>
                <w:rFonts w:ascii="Cairo" w:cs="Cairo" w:eastAsia="Cairo" w:hAnsi="Cairo"/>
                <w:b/>
                <w:bCs/>
                <w:color w:val="FFFFFF"/>
                <w:sz w:val="20"/>
                <w:szCs w:val="20"/>
              </w:rPr>
              <w:t xml:space="preserve">الأهمية النسبية</w:t>
            </w:r>
          </w:p>
        </w:tc>
        <w:tc>
          <w:tcPr>
            <w:tcW w:type="dxa" w:w="3000"/>
            <w:shd w:fill="B9853A" w:val="clear"/>
            <w:tcMar>
              <w:top w:type="dxa" w:w="80"/>
              <w:left w:type="dxa" w:w="100"/>
              <w:bottom w:type="dxa" w:w="80"/>
              <w:right w:type="dxa" w:w="100"/>
            </w:tcMar>
          </w:tcPr>
          <w:p>
            <w:pPr>
              <w:bidi/>
              <w:jc w:val="center"/>
            </w:pPr>
            <w:r>
              <w:rPr>
                <w:rFonts w:ascii="Cairo" w:cs="Cairo" w:eastAsia="Cairo" w:hAnsi="Cairo"/>
                <w:b/>
                <w:bCs/>
                <w:color w:val="FFFFFF"/>
                <w:sz w:val="20"/>
                <w:szCs w:val="20"/>
              </w:rPr>
              <w:t xml:space="preserve">القطاع</w:t>
            </w:r>
          </w:p>
        </w:tc>
      </w:tr>
      <w:tr>
        <w:tc>
          <w:tcPr>
            <w:tcW w:type="dxa" w:w="32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Poverty_Rate</w:t>
            </w:r>
          </w:p>
        </w:tc>
        <w:tc>
          <w:tcPr>
            <w:tcW w:type="dxa" w:w="22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38.65%</w:t>
            </w:r>
          </w:p>
        </w:tc>
        <w:tc>
          <w:tcPr>
            <w:tcW w:type="dxa" w:w="30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الاقتصاد</w:t>
            </w:r>
          </w:p>
        </w:tc>
      </w:tr>
      <w:tr>
        <w:tc>
          <w:tcPr>
            <w:tcW w:type="dxa" w:w="32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Literacy_Rate</w:t>
            </w:r>
          </w:p>
        </w:tc>
        <w:tc>
          <w:tcPr>
            <w:tcW w:type="dxa" w:w="22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23.89%</w:t>
            </w:r>
          </w:p>
        </w:tc>
        <w:tc>
          <w:tcPr>
            <w:tcW w:type="dxa" w:w="30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التعليم</w:t>
            </w:r>
          </w:p>
        </w:tc>
      </w:tr>
      <w:tr>
        <w:tc>
          <w:tcPr>
            <w:tcW w:type="dxa" w:w="32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GDP_per_Capita</w:t>
            </w:r>
          </w:p>
        </w:tc>
        <w:tc>
          <w:tcPr>
            <w:tcW w:type="dxa" w:w="22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17.90%</w:t>
            </w:r>
          </w:p>
        </w:tc>
        <w:tc>
          <w:tcPr>
            <w:tcW w:type="dxa" w:w="30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الاقتصاد</w:t>
            </w:r>
          </w:p>
        </w:tc>
      </w:tr>
      <w:tr>
        <w:tc>
          <w:tcPr>
            <w:tcW w:type="dxa" w:w="32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Waste_Collection</w:t>
            </w:r>
          </w:p>
        </w:tc>
        <w:tc>
          <w:tcPr>
            <w:tcW w:type="dxa" w:w="22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7.17%</w:t>
            </w:r>
          </w:p>
        </w:tc>
        <w:tc>
          <w:tcPr>
            <w:tcW w:type="dxa" w:w="30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البنية التحتية</w:t>
            </w:r>
          </w:p>
        </w:tc>
      </w:tr>
      <w:tr>
        <w:tc>
          <w:tcPr>
            <w:tcW w:type="dxa" w:w="32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Health_Insurance_Coverage</w:t>
            </w:r>
          </w:p>
        </w:tc>
        <w:tc>
          <w:tcPr>
            <w:tcW w:type="dxa" w:w="22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3.46%</w:t>
            </w:r>
          </w:p>
        </w:tc>
        <w:tc>
          <w:tcPr>
            <w:tcW w:type="dxa" w:w="30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الصحة</w:t>
            </w:r>
          </w:p>
        </w:tc>
      </w:tr>
      <w:tr>
        <w:tc>
          <w:tcPr>
            <w:tcW w:type="dxa" w:w="32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Water_Quality_Index</w:t>
            </w:r>
          </w:p>
        </w:tc>
        <w:tc>
          <w:tcPr>
            <w:tcW w:type="dxa" w:w="22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2.58%</w:t>
            </w:r>
          </w:p>
        </w:tc>
        <w:tc>
          <w:tcPr>
            <w:tcW w:type="dxa" w:w="30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البنية التحتية</w:t>
            </w:r>
          </w:p>
        </w:tc>
      </w:tr>
      <w:tr>
        <w:tc>
          <w:tcPr>
            <w:tcW w:type="dxa" w:w="32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Exam_Score</w:t>
            </w:r>
          </w:p>
        </w:tc>
        <w:tc>
          <w:tcPr>
            <w:tcW w:type="dxa" w:w="22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2.42%</w:t>
            </w:r>
          </w:p>
        </w:tc>
        <w:tc>
          <w:tcPr>
            <w:tcW w:type="dxa" w:w="30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التعليم</w:t>
            </w:r>
          </w:p>
        </w:tc>
      </w:tr>
      <w:tr>
        <w:tc>
          <w:tcPr>
            <w:tcW w:type="dxa" w:w="32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Urban_Percentage</w:t>
            </w:r>
          </w:p>
        </w:tc>
        <w:tc>
          <w:tcPr>
            <w:tcW w:type="dxa" w:w="22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1.66%</w:t>
            </w:r>
          </w:p>
        </w:tc>
        <w:tc>
          <w:tcPr>
            <w:tcW w:type="dxa" w:w="30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السكان</w:t>
            </w:r>
          </w:p>
        </w:tc>
      </w:tr>
      <w:tr>
        <w:tc>
          <w:tcPr>
            <w:tcW w:type="dxa" w:w="32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Vaccination_Rate</w:t>
            </w:r>
          </w:p>
        </w:tc>
        <w:tc>
          <w:tcPr>
            <w:tcW w:type="dxa" w:w="22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1.25%</w:t>
            </w:r>
          </w:p>
        </w:tc>
        <w:tc>
          <w:tcPr>
            <w:tcW w:type="dxa" w:w="30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الصحة</w:t>
            </w:r>
          </w:p>
        </w:tc>
      </w:tr>
      <w:tr>
        <w:tc>
          <w:tcPr>
            <w:tcW w:type="dxa" w:w="32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باقي المتغيرات (١٣)</w:t>
            </w:r>
          </w:p>
        </w:tc>
        <w:tc>
          <w:tcPr>
            <w:tcW w:type="dxa" w:w="22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&lt; 1% لكل منها</w:t>
            </w:r>
          </w:p>
        </w:tc>
        <w:tc>
          <w:tcPr>
            <w:tcW w:type="dxa" w:w="3000"/>
            <w:tcMar>
              <w:top w:type="dxa" w:w="80"/>
              <w:left w:type="dxa" w:w="100"/>
              <w:bottom w:type="dxa" w:w="80"/>
              <w:right w:type="dxa" w:w="100"/>
            </w:tcMar>
          </w:tcPr>
          <w:p>
            <w:pPr>
              <w:bidi/>
              <w:jc w:val="center"/>
            </w:pPr>
            <w:r>
              <w:rPr>
                <w:rFonts w:ascii="Cairo" w:cs="Cairo" w:eastAsia="Cairo" w:hAnsi="Cairo"/>
                <w:b w:val="false"/>
                <w:bCs w:val="false"/>
                <w:color w:val="1E2A22"/>
                <w:sz w:val="20"/>
                <w:szCs w:val="20"/>
              </w:rPr>
              <w:t xml:space="preserve">متفرقة</w:t>
            </w:r>
          </w:p>
        </w:tc>
      </w:tr>
    </w:tbl>
    <w:p>
      <w:pPr>
        <w:bidi/>
        <w:spacing w:before="100"/>
        <w:jc w:val="right"/>
      </w:pPr>
      <w:r>
        <w:rPr>
          <w:rFonts w:ascii="Cairo" w:cs="Cairo" w:eastAsia="Cairo" w:hAnsi="Cairo"/>
          <w:color w:val="1E2A22"/>
          <w:sz w:val="22"/>
          <w:szCs w:val="22"/>
        </w:rPr>
        <w:t xml:space="preserve">يتّسق هذا الترتيب مع المنطق التنموي الواقعي: معدل الفقر ومحو الأمية ونصيب الفرد من الناتج المحلي هي المحركات الأساسية لمعظم المؤشرات التنموية الأخرى في الأدبيات الاقتصادية.</w:t>
      </w:r>
    </w:p>
    <w:p>
      <w:pPr>
        <w:pStyle w:val="Heading1"/>
        <w:pBdr>
          <w:bottom w:val="single" w:color="B9853A" w:sz="6" w:space="4"/>
        </w:pBdr>
        <w:bidi/>
        <w:spacing w:after="140" w:before="280"/>
        <w:jc w:val="right"/>
      </w:pPr>
      <w:r>
        <w:rPr>
          <w:rFonts w:ascii="Aref Ruqaa" w:cs="Aref Ruqaa" w:eastAsia="Aref Ruqaa" w:hAnsi="Aref Ruqaa"/>
          <w:b/>
          <w:bCs/>
          <w:color w:val="0C3230"/>
          <w:sz w:val="32"/>
          <w:szCs w:val="32"/>
        </w:rPr>
        <w:t xml:space="preserve">٨. من Python إلى المتصفح: طريقة النشر</w:t>
      </w:r>
    </w:p>
    <w:p>
      <w:pPr>
        <w:bidi/>
        <w:spacing w:after="120"/>
        <w:jc w:val="right"/>
      </w:pPr>
      <w:r>
        <w:rPr>
          <w:rFonts w:ascii="Cairo" w:cs="Cairo" w:eastAsia="Cairo" w:hAnsi="Cairo"/>
          <w:color w:val="1E2A22"/>
          <w:sz w:val="22"/>
          <w:szCs w:val="22"/>
        </w:rPr>
        <w:t xml:space="preserve">لأن المطلوب هو صفحة HTML/CSS/JavaScript تتنبأ فعليًا دون خادم (Server)، تم تصدير بنية الأشجار الـ200 المدرَّبة (٣٠٠٠ عقدة إجمالًا، بحجم ~97 كيلوبايت) إلى ملف JSON، ثم إعادة تنفيذ نفس منطق Gradient Boosting بلغة JavaScript. النتيجة: نفس النموذج المدرَّب بالضبط، يعمل بالكامل داخل متصفح المستخدم دون إرسال أي بيانات لأي خادم.</w:t>
      </w:r>
    </w:p>
    <w:p>
      <w:pPr>
        <w:pStyle w:val="Heading1"/>
        <w:pBdr>
          <w:bottom w:val="single" w:color="B9853A" w:sz="6" w:space="4"/>
        </w:pBdr>
        <w:bidi/>
        <w:spacing w:after="140" w:before="280"/>
        <w:jc w:val="right"/>
      </w:pPr>
      <w:r>
        <w:rPr>
          <w:rFonts w:ascii="Aref Ruqaa" w:cs="Aref Ruqaa" w:eastAsia="Aref Ruqaa" w:hAnsi="Aref Ruqaa"/>
          <w:b/>
          <w:bCs/>
          <w:color w:val="0C3230"/>
          <w:sz w:val="32"/>
          <w:szCs w:val="32"/>
        </w:rPr>
        <w:t xml:space="preserve">٩. كود التدريب (Python / scikit-learn)</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import pandas as pd, numpy as np, json</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from sklearn.ensemble import GradientBoostingRegressor</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from sklearn.metrics import r2_score, mean_absolute_error, mean_squared_error</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 </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df = pd.read_csv('Merged_ML_Cleaned.csv')</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 </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features = [</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    'Population_Density','Urban_Percentage','Birth_Rate','Migration_Rate',</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    'Vaccination_Rate','Health_Insurance_Coverage','Doctors','Beds',</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    'Literacy_Rate','Exam_Score','Graduation_Rate','Dropout_Rate','Student_Teacher_Ratio',</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    'GDP_per_Capita','Employment_Rate','Poverty_Rate','Average_Income',</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    'Electricity_Coverage','Water_Coverage','Internet_Coverage','Waste_Collection',</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    'Water_Quality_Index'</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target = 'DevIndexBase'</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 </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train = df[df.ML_Split == 'Train']</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val   = df[df.ML_Split == 'Validation']</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test  = df[df.ML_Split == 'Test']</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 </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Xtr, ytr = train[features], train[target]</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Xte, yte = test[features],  test[target]</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 </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model = GradientBoostingRegressor(</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    n_estimators=200, max_depth=3, learning_rate=0.1,</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    subsample=0.9, random_state=42</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model.fit(Xtr, ytr)</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 </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pred = model.predict(Xte)</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print('R2  :', r2_score(yte, pred))</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print('MAE :', mean_absolute_error(yte, pred))</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print('RMSE:', np.sqrt(mean_squared_error(yte, pred)))</w:t>
      </w:r>
    </w:p>
    <w:p>
      <w:pPr>
        <w:pStyle w:val="Heading1"/>
        <w:pBdr>
          <w:bottom w:val="single" w:color="B9853A" w:sz="6" w:space="4"/>
        </w:pBdr>
        <w:bidi/>
        <w:spacing w:after="140" w:before="280"/>
        <w:jc w:val="right"/>
      </w:pPr>
      <w:r>
        <w:rPr>
          <w:rFonts w:ascii="Aref Ruqaa" w:cs="Aref Ruqaa" w:eastAsia="Aref Ruqaa" w:hAnsi="Aref Ruqaa"/>
          <w:b/>
          <w:bCs/>
          <w:color w:val="0C3230"/>
          <w:sz w:val="32"/>
          <w:szCs w:val="32"/>
        </w:rPr>
        <w:t xml:space="preserve">١٠. كود تصدير النموذج إلى JSON</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 تصدير الشجرات إلى JSON لتشغيلها داخل المتصفح بلغة JavaScript</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init_pred = float(model.init_.constant_[0][0])</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trees_json = []</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for est in model.estimators_[:, 0]:</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    t = est.tree_</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    trees_json.append({</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        'feature':   t.feature.tolist(),</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        'threshold': t.threshold.tolist(),</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        'left':      t.children_left.tolist(),</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        'right':     t.children_right.tolist(),</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        'value':     [v[0][0] for v in t.value],</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    })</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 </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export = {</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    'features': features,</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    'init_pred': init_pred,</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    'learning_rate': model.learning_rate,</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    'trees': trees_json,</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json.dump(export, open('data.js.model.json', 'w'))</w:t>
      </w:r>
    </w:p>
    <w:p>
      <w:pPr>
        <w:pStyle w:val="Heading1"/>
        <w:pBdr>
          <w:bottom w:val="single" w:color="B9853A" w:sz="6" w:space="4"/>
        </w:pBdr>
        <w:bidi/>
        <w:spacing w:after="140" w:before="280"/>
        <w:jc w:val="right"/>
      </w:pPr>
      <w:r>
        <w:rPr>
          <w:rFonts w:ascii="Aref Ruqaa" w:cs="Aref Ruqaa" w:eastAsia="Aref Ruqaa" w:hAnsi="Aref Ruqaa"/>
          <w:b/>
          <w:bCs/>
          <w:color w:val="0C3230"/>
          <w:sz w:val="32"/>
          <w:szCs w:val="32"/>
        </w:rPr>
        <w:t xml:space="preserve">١١. كود التنبؤ داخل المتصفح (JavaScript)</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 تنفيذ نفس منطق Gradient Boosting المُدرَّب، شجرة تلو الأخرى</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function evalTree(tree, x) {</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  let node = 0;</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  while (tree.left[node] !== -1) {</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    node = (x[tree.feature[node]] &lt;= tree.threshold[node])</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      ? tree.left[node] : tree.right[node];</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  }</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  return tree.value[node];</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 </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function predictEDPI(featureValues) {</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  const model = EDIP_DATA.model;</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  const x = model.features.map(f =&gt; featureValues[f]);</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  let pred = model.init_pred;</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  for (const tree of model.trees) {</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    pred += model.learning_rate * evalTree(tree, x);</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  }</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  return Math.min(1, Math.max(0, pred));</w:t>
      </w:r>
    </w:p>
    <w:p>
      <w:pPr>
        <w:pBdr>
          <w:top w:val="single" w:color="C9BE9C" w:sz="4" w:space="4"/>
          <w:bottom w:val="single" w:color="C9BE9C" w:sz="4" w:space="4"/>
          <w:left w:val="single" w:color="C9BE9C" w:sz="4" w:space="4"/>
          <w:right w:val="single" w:color="C9BE9C" w:sz="4" w:space="4"/>
        </w:pBdr>
        <w:shd w:fill="F4F1E4" w:val="clear"/>
        <w:spacing w:after="60" w:before="60"/>
        <w:jc w:val="left"/>
      </w:pPr>
      <w:r>
        <w:rPr>
          <w:rFonts w:ascii="Consolas" w:cs="Consolas" w:eastAsia="Consolas" w:hAnsi="Consolas"/>
          <w:color w:val="0C3230"/>
          <w:sz w:val="18"/>
          <w:szCs w:val="18"/>
        </w:rPr>
        <w:t xml:space="preserve">}</w:t>
      </w:r>
    </w:p>
    <w:p>
      <w:pPr>
        <w:pStyle w:val="Heading1"/>
        <w:pBdr>
          <w:bottom w:val="single" w:color="B9853A" w:sz="6" w:space="4"/>
        </w:pBdr>
        <w:bidi/>
        <w:spacing w:after="140" w:before="280"/>
        <w:jc w:val="right"/>
      </w:pPr>
      <w:r>
        <w:rPr>
          <w:rFonts w:ascii="Aref Ruqaa" w:cs="Aref Ruqaa" w:eastAsia="Aref Ruqaa" w:hAnsi="Aref Ruqaa"/>
          <w:b/>
          <w:bCs/>
          <w:color w:val="0C3230"/>
          <w:sz w:val="32"/>
          <w:szCs w:val="32"/>
        </w:rPr>
        <w:t xml:space="preserve">١٢. بنية الملفات المُسلَّمة</w:t>
      </w:r>
    </w:p>
    <w:p>
      <w:pPr>
        <w:pStyle w:val="ListParagraph"/>
        <w:numPr>
          <w:ilvl w:val="0"/>
          <w:numId w:val="2"/>
        </w:numPr>
        <w:bidi/>
        <w:jc w:val="right"/>
      </w:pPr>
      <w:r>
        <w:rPr>
          <w:rFonts w:ascii="Cairo" w:cs="Cairo" w:eastAsia="Cairo" w:hAnsi="Cairo"/>
          <w:color w:val="1E2A22"/>
          <w:sz w:val="22"/>
          <w:szCs w:val="22"/>
        </w:rPr>
        <w:t xml:space="preserve">index.html — الصفحة الرئيسية وبنية الواجهة</w:t>
      </w:r>
    </w:p>
    <w:p>
      <w:pPr>
        <w:pStyle w:val="ListParagraph"/>
        <w:numPr>
          <w:ilvl w:val="0"/>
          <w:numId w:val="2"/>
        </w:numPr>
        <w:bidi/>
        <w:jc w:val="right"/>
      </w:pPr>
      <w:r>
        <w:rPr>
          <w:rFonts w:ascii="Cairo" w:cs="Cairo" w:eastAsia="Cairo" w:hAnsi="Cairo"/>
          <w:color w:val="1E2A22"/>
          <w:sz w:val="22"/>
          <w:szCs w:val="22"/>
        </w:rPr>
        <w:t xml:space="preserve">style.css — الهوية البصرية (مقياس النيل / ألوان النيل والبردي)</w:t>
      </w:r>
    </w:p>
    <w:p>
      <w:pPr>
        <w:pStyle w:val="ListParagraph"/>
        <w:numPr>
          <w:ilvl w:val="0"/>
          <w:numId w:val="2"/>
        </w:numPr>
        <w:bidi/>
        <w:jc w:val="right"/>
      </w:pPr>
      <w:r>
        <w:rPr>
          <w:rFonts w:ascii="Cairo" w:cs="Cairo" w:eastAsia="Cairo" w:hAnsi="Cairo"/>
          <w:color w:val="1E2A22"/>
          <w:sz w:val="22"/>
          <w:szCs w:val="22"/>
        </w:rPr>
        <w:t xml:space="preserve">script.js — منطق الواجهة ومحرك التنبؤ (Gradient Boosting بلغة JavaScript)</w:t>
      </w:r>
    </w:p>
    <w:p>
      <w:pPr>
        <w:pStyle w:val="ListParagraph"/>
        <w:numPr>
          <w:ilvl w:val="0"/>
          <w:numId w:val="2"/>
        </w:numPr>
        <w:bidi/>
        <w:jc w:val="right"/>
      </w:pPr>
      <w:r>
        <w:rPr>
          <w:rFonts w:ascii="Cairo" w:cs="Cairo" w:eastAsia="Cairo" w:hAnsi="Cairo"/>
          <w:color w:val="1E2A22"/>
          <w:sz w:val="22"/>
          <w:szCs w:val="22"/>
        </w:rPr>
        <w:t xml:space="preserve">data.js — النموذج المُدرَّب مُصدَّرًا كـ JSON + إحصاءات المتغيرات + متوسطات المحافظات الـ27</w:t>
      </w:r>
    </w:p>
    <w:p>
      <w:pPr>
        <w:bidi/>
        <w:spacing w:before="120"/>
        <w:jc w:val="right"/>
      </w:pPr>
      <w:r>
        <w:rPr>
          <w:rFonts w:ascii="Cairo" w:cs="Cairo" w:eastAsia="Cairo" w:hAnsi="Cairo"/>
          <w:color w:val="1E2A22"/>
          <w:sz w:val="22"/>
          <w:szCs w:val="22"/>
        </w:rPr>
        <w:t xml:space="preserve">للتشغيل: افتح ملف index.html مباشرة في أي متصفح — لا حاجة لخادم أو تثبيت أي حزمة.</w:t>
      </w:r>
    </w:p>
    <w:p>
      <w:pPr>
        <w:pStyle w:val="Heading1"/>
        <w:pBdr>
          <w:bottom w:val="single" w:color="B9853A" w:sz="6" w:space="4"/>
        </w:pBdr>
        <w:bidi/>
        <w:spacing w:after="140" w:before="280"/>
        <w:jc w:val="right"/>
      </w:pPr>
      <w:r>
        <w:rPr>
          <w:rFonts w:ascii="Aref Ruqaa" w:cs="Aref Ruqaa" w:eastAsia="Aref Ruqaa" w:hAnsi="Aref Ruqaa"/>
          <w:b/>
          <w:bCs/>
          <w:color w:val="0C3230"/>
          <w:sz w:val="32"/>
          <w:szCs w:val="32"/>
        </w:rPr>
        <w:t xml:space="preserve">١٣. المرحلة التالية (Stage 2)</w:t>
      </w:r>
    </w:p>
    <w:p>
      <w:pPr>
        <w:bidi/>
        <w:spacing w:after="120"/>
        <w:jc w:val="right"/>
      </w:pPr>
      <w:r>
        <w:rPr>
          <w:rFonts w:ascii="Cairo" w:cs="Cairo" w:eastAsia="Cairo" w:hAnsi="Cairo"/>
          <w:color w:val="1E2A22"/>
          <w:sz w:val="22"/>
          <w:szCs w:val="22"/>
        </w:rPr>
        <w:t xml:space="preserve">النموذج الحالي مبني على بيانات تمثيلية بمنهجية توليد واقعية، تحاكي التوزيعات الفعلية بين المحافظات المصرية. عند توفر البيانات الرسمية من الجهاز المركزي للتعبئة العامة والإحصاء (CAPMAS) ووزارتي الصحة والتعليم، يمكن إعادة تدريب نفس الأنبوب (Pipeline) على البيانات الرسمية دون تغيير أي جزء من بنية النظام أو الواجهة، تماشيًا مع استراتيجية التخفيف من المخاطر الموضحة في وثيقة المشروع الأصلية.</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7A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iro" w:cs="Cairo" w:eastAsia="Cairo" w:hAnsi="Cairo"/>
        <w:color w:val="8A7A55"/>
        <w:sz w:val="16"/>
        <w:szCs w:val="16"/>
      </w:rPr>
      <w:t xml:space="preserve">EDIP — Egypt Development Intelligence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iro" w:cs="Cairo" w:eastAsia="Cairo" w:hAnsi="Cairo"/>
        <w:color w:val="1E2A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2026-08-28T22:33:27.931Z</dcterms:created>
  <dcterms:modified xsi:type="dcterms:W3CDTF">2026-08-28T22:33:27.932Z</dcterms:modified>
</cp:coreProperties>
</file>

<file path=docProps/custom.xml><?xml version="1.0" encoding="utf-8"?>
<Properties xmlns="http://schemas.openxmlformats.org/officeDocument/2006/custom-properties" xmlns:vt="http://schemas.openxmlformats.org/officeDocument/2006/docPropsVTypes"/>
</file>