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4D"/>
          <w:sz w:val="44"/>
          <w:szCs w:val="44"/>
        </w:rPr>
        <w:t xml:space="preserve">Where Your Energy Is Being Wasted</w:t>
      </w:r>
    </w:p>
    <w:p>
      <w:pPr>
        <w:spacing w:after="300"/>
      </w:pPr>
      <w:r>
        <w:rPr>
          <w:i/>
          <w:iCs/>
          <w:color w:val="666666"/>
          <w:sz w:val="24"/>
          <w:szCs w:val="24"/>
        </w:rPr>
        <w:t xml:space="preserve">A plain-language guide to overnight standby, weekend, and spike-day energy waste, built on your meters' normal behaviour profiles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Based on the 417-meter behaviour analysis, covering 25 Oct 2025 – 27 Aug 2026.</w:t>
      </w:r>
    </w:p>
    <w:p>
      <w:pPr>
        <w:pStyle w:val="Heading1"/>
        <w:pBdr>
          <w:bottom w:val="single" w:color="1F3B4D" w:sz="6" w:space="4"/>
        </w:pBdr>
        <w:spacing w:after="160" w:before="320"/>
      </w:pPr>
      <w:r>
        <w:rPr>
          <w:b/>
          <w:bCs/>
          <w:color w:val="1F3B4D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Now that we know what “normal” looks like for each meter, we can go a step further and ask: where does actual use depart from what a well-run version of that same meter would look like? We looked at three specific, common ways energy gets wasted — and quantified all three.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2F5F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B23A48"/>
                <w:sz w:val="32"/>
                <w:szCs w:val="32"/>
              </w:rPr>
              <w:t xml:space="preserve">~3,281 kWh</w:t>
            </w:r>
          </w:p>
          <w:p>
            <w:pPr>
              <w:jc w:val="center"/>
            </w:pPr>
            <w:r>
              <w:rPr>
                <w:color w:val="444444"/>
                <w:sz w:val="17"/>
                <w:szCs w:val="17"/>
              </w:rPr>
              <w:t xml:space="preserve">estimated per day sitting in overnight standby draw that similar meters avoid</w:t>
            </w:r>
          </w:p>
        </w:tc>
        <w:tc>
          <w:tcPr>
            <w:tcW w:type="dxa" w:w="3360"/>
            <w:shd w:fill="F2F5F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77B4A"/>
                <w:sz w:val="32"/>
                <w:szCs w:val="32"/>
              </w:rPr>
              <w:t xml:space="preserve">~887 kWh</w:t>
            </w:r>
          </w:p>
          <w:p>
            <w:pPr>
              <w:jc w:val="center"/>
            </w:pPr>
            <w:r>
              <w:rPr>
                <w:color w:val="444444"/>
                <w:sz w:val="17"/>
                <w:szCs w:val="17"/>
              </w:rPr>
              <w:t xml:space="preserve">estimated per weekend day where “weekday-only” equipment doesn't scale down</w:t>
            </w:r>
          </w:p>
        </w:tc>
        <w:tc>
          <w:tcPr>
            <w:tcW w:type="dxa" w:w="3360"/>
            <w:shd w:fill="F2F5F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1F3B4D"/>
                <w:sz w:val="32"/>
                <w:szCs w:val="32"/>
              </w:rPr>
              <w:t xml:space="preserve">~120,000 kWh</w:t>
            </w:r>
          </w:p>
          <w:p>
            <w:pPr>
              <w:jc w:val="center"/>
            </w:pPr>
            <w:r>
              <w:rPr>
                <w:color w:val="444444"/>
                <w:sz w:val="17"/>
                <w:szCs w:val="17"/>
              </w:rPr>
              <w:t xml:space="preserve">total excess used on unusually high “spike” days across the whole period</w:t>
            </w:r>
          </w:p>
        </w:tc>
      </w:tr>
    </w:tbl>
    <w:p>
      <w:pPr>
        <w:spacing w:before="220"/>
      </w:pPr>
    </w:p>
    <w:p>
      <w:pPr>
        <w:spacing w:after="160" w:line="300"/>
      </w:pPr>
      <w:r>
        <w:rPr>
          <w:i/>
          <w:iCs/>
          <w:color w:val="666666"/>
          <w:sz w:val="22"/>
          <w:szCs w:val="22"/>
        </w:rPr>
        <w:t xml:space="preserve">Added together, that's on the order of 1.4 million kWh a year of potentially recoverable energy across the fleet — for reference, at an illustrative rate of $0.25/kWh, that's roughly $360,000/year. Replace that rate with your actual tariff for an accurate figure. These are statistical estimates from meter data, not a certified energy audit — they tell you where to look, not a guaranteed saving.</w:t>
      </w:r>
    </w:p>
    <w:p>
      <w:pPr>
        <w:pStyle w:val="Heading1"/>
        <w:pBdr>
          <w:bottom w:val="single" w:color="1F3B4D" w:sz="6" w:space="4"/>
        </w:pBdr>
        <w:spacing w:after="160" w:before="320"/>
      </w:pPr>
      <w:r>
        <w:rPr>
          <w:b/>
          <w:bCs/>
          <w:color w:val="1F3B4D"/>
          <w:sz w:val="30"/>
          <w:szCs w:val="30"/>
        </w:rPr>
        <w:t xml:space="preserve">2. How We Found This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For each meter, we already know its own normal pattern — what's typical for it specifically, not a one-size-fits-all rule. We used that baseline to look for three everyday signs of waste: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Standby waste — a meter that barely drops overnight compared with similar, well-managed meters of the same type.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Weekend waste — equipment that's clearly scheduled to run on weekdays, but still uses nearly as much energy on weekends as during the week.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Spike days — individual days where a meter used far more energy than is typical for that same meter, even accounting for its own normal ups and downs.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All three are compared against each meter's own history, or its closest peers of the same equipment type — never a single fleet-wide number — so a naturally larger or smaller site isn't unfairly flagged.</w:t>
      </w:r>
    </w:p>
    <w:p>
      <w:pPr>
        <w:pStyle w:val="Heading1"/>
        <w:pBdr>
          <w:bottom w:val="single" w:color="1F3B4D" w:sz="6" w:space="4"/>
        </w:pBdr>
        <w:spacing w:after="160" w:before="320"/>
      </w:pPr>
      <w:r>
        <w:rPr>
          <w:b/>
          <w:bCs/>
          <w:color w:val="1F3B4D"/>
          <w:sz w:val="30"/>
          <w:szCs w:val="30"/>
        </w:rPr>
        <w:t xml:space="preserve">3. Meters Grouped by Everyday Behaviour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Before looking for waste, it helps to see the different “kinds” of meters in the fleet. We grouped every meter by the behaviour pattern it actually showed in the data:</w:t>
      </w:r>
    </w:p>
    <w:p>
      <w:pPr>
        <w:spacing w:after="200"/>
        <w:jc w:val="center"/>
      </w:pPr>
      <w:r>
        <w:drawing>
          <wp:inline distT="0" distB="0" distL="0" distR="0">
            <wp:extent cx="5760720" cy="30319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5850"/>
      </w:tblGrid>
      <w:tr>
        <w:tc>
          <w:tcPr>
            <w:tcW w:type="dxa" w:w="36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2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Meters</w:t>
            </w:r>
          </w:p>
        </w:tc>
        <w:tc>
          <w:tcPr>
            <w:tcW w:type="dxa" w:w="585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Weekday-scheduled equipment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124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Runs mainly during business hours — prime group for standby &amp; weekend checks</w:t>
            </w:r>
          </w:p>
        </w:tc>
      </w:tr>
      <w:tr>
        <w:tc>
          <w:tcPr>
            <w:tcW w:type="dxa" w:w="3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Cycling / on-off equipment</w:t>
            </w:r>
          </w:p>
        </w:tc>
        <w:tc>
          <w:tcPr>
            <w:tcW w:type="dxa" w:w="12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88</w:t>
            </w:r>
          </w:p>
        </w:tc>
        <w:tc>
          <w:tcPr>
            <w:tcW w:type="dxa" w:w="58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Pumps, chargers, compressors switching on and off in a rhythm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Continuous / always-on load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Fridges, servers, base site load — expected to run steadily</w:t>
            </w:r>
          </w:p>
        </w:tc>
      </w:tr>
      <w:tr>
        <w:tc>
          <w:tcPr>
            <w:tcW w:type="dxa" w:w="3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Solar generation</w:t>
            </w:r>
          </w:p>
        </w:tc>
        <w:tc>
          <w:tcPr>
            <w:tcW w:type="dxa" w:w="12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58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Generates rather than consumes — excluded from waste checks below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consistent pattern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repeatable schedule found — harder to judge, worth a manual look</w:t>
            </w:r>
          </w:p>
        </w:tc>
      </w:tr>
      <w:tr>
        <w:tc>
          <w:tcPr>
            <w:tcW w:type="dxa" w:w="3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Other / mixed behaviour</w:t>
            </w:r>
          </w:p>
        </w:tc>
        <w:tc>
          <w:tcPr>
            <w:tcW w:type="dxa" w:w="12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46</w:t>
            </w:r>
          </w:p>
        </w:tc>
        <w:tc>
          <w:tcPr>
            <w:tcW w:type="dxa" w:w="58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Doesn't fit neatly into the groups above</w:t>
            </w:r>
          </w:p>
        </w:tc>
      </w:tr>
    </w:tbl>
    <w:p>
      <w:pPr>
        <w:pStyle w:val="Heading1"/>
        <w:pBdr>
          <w:bottom w:val="single" w:color="1F3B4D" w:sz="6" w:space="4"/>
        </w:pBdr>
        <w:spacing w:after="160" w:before="320"/>
      </w:pPr>
      <w:r>
        <w:rPr>
          <w:b/>
          <w:bCs/>
          <w:color w:val="1F3B4D"/>
          <w:sz w:val="30"/>
          <w:szCs w:val="30"/>
        </w:rPr>
        <w:t xml:space="preserve">4. Opportunity 1 — Overnight Standby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We compared each meter's overnight power to its own daytime level, then compared that ratio against the best-performing quarter of similar meters (same equipment category). Of 240 meters where this comparison is meaningful, 144 sit notably above what their peers already achieve — meaning they hold a high power draw overnight when the equivalent equipment elsewhere drops much lower.</w:t>
      </w:r>
    </w:p>
    <w:p>
      <w:pPr>
        <w:spacing w:after="200"/>
        <w:jc w:val="center"/>
      </w:pPr>
      <w:r>
        <w:drawing>
          <wp:inline distT="0" distB="0" distL="0" distR="0">
            <wp:extent cx="5943600" cy="416664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b/>
          <w:bCs/>
          <w:color w:val="2E7D5B"/>
          <w:sz w:val="24"/>
          <w:szCs w:val="24"/>
        </w:rPr>
        <w:t xml:space="preserve">Meters to check first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100"/>
        <w:gridCol w:w="2350"/>
      </w:tblGrid>
      <w:tr>
        <w:tc>
          <w:tcPr>
            <w:tcW w:type="dxa" w:w="26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Meter</w:t>
            </w:r>
          </w:p>
        </w:tc>
        <w:tc>
          <w:tcPr>
            <w:tcW w:type="dxa" w:w="24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Overnight vs. daytime</w:t>
            </w:r>
          </w:p>
        </w:tc>
        <w:tc>
          <w:tcPr>
            <w:tcW w:type="dxa" w:w="235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opportunity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DD93710161470_0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89%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157 kWh/day</w:t>
            </w:r>
          </w:p>
        </w:tc>
      </w:tr>
      <w:tr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DD93710159602_3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86%</w:t>
            </w:r>
          </w:p>
        </w:tc>
        <w:tc>
          <w:tcPr>
            <w:tcW w:type="dxa" w:w="23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141 kWh/day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DD33710148566_3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Lighting &amp; Power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66%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121 kWh/day</w:t>
            </w:r>
          </w:p>
        </w:tc>
      </w:tr>
      <w:tr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DD33710148566_4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Lighting &amp; Power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67%</w:t>
            </w:r>
          </w:p>
        </w:tc>
        <w:tc>
          <w:tcPr>
            <w:tcW w:type="dxa" w:w="23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113 kWh/day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DD13710149684_1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 conditioning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84%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107 kWh/day</w:t>
            </w:r>
          </w:p>
        </w:tc>
      </w:tr>
      <w:tr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DD13710149684_2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 conditioning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23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105 kWh/day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DD93710159602_4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104 kWh/day</w:t>
            </w:r>
          </w:p>
        </w:tc>
      </w:tr>
      <w:tr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DD93710161470_1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W w:type="dxa" w:w="23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96 kWh/day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DD93710161470_2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81%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81 kWh/day</w:t>
            </w:r>
          </w:p>
        </w:tc>
      </w:tr>
      <w:tr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DD33710148566_5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Lighting &amp; Power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57%</w:t>
            </w:r>
          </w:p>
        </w:tc>
        <w:tc>
          <w:tcPr>
            <w:tcW w:type="dxa" w:w="23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77 kWh/day</w:t>
            </w:r>
          </w:p>
        </w:tc>
      </w:tr>
    </w:tbl>
    <w:p>
      <w:pPr>
        <w:spacing w:after="160" w:line="300"/>
      </w:pPr>
      <w:r>
        <w:rPr>
          <w:i/>
          <w:iCs/>
          <w:color w:val="666666"/>
          <w:sz w:val="22"/>
          <w:szCs w:val="22"/>
        </w:rPr>
        <w:t xml:space="preserve">Several rows above are different channels on the same physical installation (for example, three phases of one grid connection) — that's expected, since a schedule or shutdown issue usually affects the whole site at once, not just one channel.</w:t>
      </w:r>
    </w:p>
    <w:p>
      <w:pPr>
        <w:spacing w:after="160" w:line="300"/>
      </w:pPr>
      <w:r>
        <w:rPr>
          <w:i/>
          <w:iCs/>
          <w:color w:val="666666"/>
          <w:sz w:val="22"/>
          <w:szCs w:val="22"/>
        </w:rPr>
        <w:t xml:space="preserve">A high percentage here means the meter is using nearly as much power at 2am as it does at 2pm. That's not automatically a fault — some equipment genuinely needs to run continuously — but for the categories above (mostly grid-connect site power, lighting and air conditioning), it's usually worth checking whether equipment is being left on, whether a timer or BMS schedule has failed, or whether a night setback exists at all.</w:t>
      </w:r>
    </w:p>
    <w:p>
      <w:pPr>
        <w:pStyle w:val="Heading1"/>
        <w:pBdr>
          <w:bottom w:val="single" w:color="1F3B4D" w:sz="6" w:space="4"/>
        </w:pBdr>
        <w:spacing w:after="160" w:before="320"/>
      </w:pPr>
      <w:r>
        <w:rPr>
          <w:b/>
          <w:bCs/>
          <w:color w:val="1F3B4D"/>
          <w:sz w:val="30"/>
          <w:szCs w:val="30"/>
        </w:rPr>
        <w:t xml:space="preserve">5. Opportunity 2 — Weekend Usage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Among the 110 meters clearly scheduled around the working week, a typical one drops to about 49% of its weekday energy on weekends. 39 meters in total still use well over half their weekday energy on Saturdays and Sundays — the ten with the smallest drop-off are shown below.</w:t>
      </w:r>
    </w:p>
    <w:p>
      <w:pPr>
        <w:spacing w:after="200"/>
        <w:jc w:val="center"/>
      </w:pPr>
      <w:r>
        <w:drawing>
          <wp:inline distT="0" distB="0" distL="0" distR="0">
            <wp:extent cx="5943600" cy="331590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650"/>
        <w:gridCol w:w="1650"/>
        <w:gridCol w:w="1850"/>
      </w:tblGrid>
      <w:tr>
        <w:tc>
          <w:tcPr>
            <w:tcW w:type="dxa" w:w="20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Meter</w:t>
            </w:r>
          </w:p>
        </w:tc>
        <w:tc>
          <w:tcPr>
            <w:tcW w:type="dxa" w:w="23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5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Weekday (kWh)</w:t>
            </w:r>
          </w:p>
        </w:tc>
        <w:tc>
          <w:tcPr>
            <w:tcW w:type="dxa" w:w="165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Weekend (kWh)</w:t>
            </w:r>
          </w:p>
        </w:tc>
        <w:tc>
          <w:tcPr>
            <w:tcW w:type="dxa" w:w="185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Weekend as % of weekday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DDC3710136170_3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 conditioning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0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DDF3710147031_3</w:t>
            </w:r>
          </w:p>
        </w:tc>
        <w:tc>
          <w:tcPr>
            <w:tcW w:type="dxa" w:w="23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Lighting &amp; Power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type="dxa" w:w="18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DD63710153384_5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99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87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0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DD53710134734_0</w:t>
            </w:r>
          </w:p>
        </w:tc>
        <w:tc>
          <w:tcPr>
            <w:tcW w:type="dxa" w:w="23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193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168</w:t>
            </w:r>
          </w:p>
        </w:tc>
        <w:tc>
          <w:tcPr>
            <w:tcW w:type="dxa" w:w="18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DD13710147065_1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20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DD53710134734_2</w:t>
            </w:r>
          </w:p>
        </w:tc>
        <w:tc>
          <w:tcPr>
            <w:tcW w:type="dxa" w:w="23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153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132</w:t>
            </w:r>
          </w:p>
        </w:tc>
        <w:tc>
          <w:tcPr>
            <w:tcW w:type="dxa" w:w="18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DD53710134734_1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182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157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20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DD63710153384_2</w:t>
            </w:r>
          </w:p>
        </w:tc>
        <w:tc>
          <w:tcPr>
            <w:tcW w:type="dxa" w:w="23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type="dxa" w:w="16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type="dxa" w:w="185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84%</w:t>
            </w:r>
          </w:p>
        </w:tc>
      </w:tr>
    </w:tbl>
    <w:p>
      <w:pPr>
        <w:spacing w:after="160" w:line="300"/>
      </w:pPr>
      <w:r>
        <w:rPr>
          <w:i/>
          <w:iCs/>
          <w:color w:val="666666"/>
          <w:sz w:val="22"/>
          <w:szCs w:val="22"/>
        </w:rPr>
        <w:t xml:space="preserve">If a site is meant to be unoccupied or idle on weekends, this gap is the clearest, easiest-to-action saving in this report — it usually points to a schedule, timer, or building-management setting that isn't switching over for the weekend.</w:t>
      </w:r>
    </w:p>
    <w:p>
      <w:pPr>
        <w:pStyle w:val="Heading1"/>
        <w:pBdr>
          <w:bottom w:val="single" w:color="1F3B4D" w:sz="6" w:space="4"/>
        </w:pBdr>
        <w:spacing w:after="160" w:before="320"/>
      </w:pPr>
      <w:r>
        <w:rPr>
          <w:b/>
          <w:bCs/>
          <w:color w:val="1F3B4D"/>
          <w:sz w:val="30"/>
          <w:szCs w:val="30"/>
        </w:rPr>
        <w:t xml:space="preserve">6. Opportunity 3 — Spike Days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Spike days are dates where a specific meter used far more energy than is typical for that same meter — not compared to other meters, just to its own history. Here's a worked example on one air-conditioning meter, showing how spike days (red) stand out clearly above its normal day-to-day range, and cluster in Melbourne's hottest months:</w:t>
      </w:r>
    </w:p>
    <w:p>
      <w:pPr>
        <w:spacing w:after="200"/>
        <w:jc w:val="center"/>
      </w:pPr>
      <w:r>
        <w:drawing>
          <wp:inline distT="0" distB="0" distL="0" distR="0">
            <wp:extent cx="6035040" cy="28968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89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b/>
          <w:bCs/>
          <w:color w:val="2E7D5B"/>
          <w:sz w:val="24"/>
          <w:szCs w:val="24"/>
        </w:rPr>
        <w:t xml:space="preserve">Meters with the largest spike-day impact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00"/>
        <w:gridCol w:w="2600"/>
      </w:tblGrid>
      <w:tr>
        <w:tc>
          <w:tcPr>
            <w:tcW w:type="dxa" w:w="24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Meter</w:t>
            </w:r>
          </w:p>
        </w:tc>
        <w:tc>
          <w:tcPr>
            <w:tcW w:type="dxa" w:w="24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Spike days</w:t>
            </w:r>
          </w:p>
        </w:tc>
        <w:tc>
          <w:tcPr>
            <w:tcW w:type="dxa" w:w="2600"/>
            <w:shd w:fill="1F3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Extra energy used on those days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DD33710161970_1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 of 251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8,577 kWh</w:t>
            </w:r>
          </w:p>
        </w:tc>
      </w:tr>
      <w:tr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DD33710161970_0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 of 251</w:t>
            </w:r>
          </w:p>
        </w:tc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8,106 kWh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DD33710161970_4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 of 251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7,689 kWh</w:t>
            </w:r>
          </w:p>
        </w:tc>
      </w:tr>
      <w:tr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DD33710161970_3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 of 251</w:t>
            </w:r>
          </w:p>
        </w:tc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7,237 kWh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DD33710161970_5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 of 252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7,199 kWh</w:t>
            </w:r>
          </w:p>
        </w:tc>
      </w:tr>
      <w:tr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DD13710148400_0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Electric vehicle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 of 301</w:t>
            </w:r>
          </w:p>
        </w:tc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4,716 kWh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DD43710136402_5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 of 288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3,071 kWh</w:t>
            </w:r>
          </w:p>
        </w:tc>
      </w:tr>
      <w:tr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DD83710131752_3</w:t>
            </w:r>
          </w:p>
        </w:tc>
        <w:tc>
          <w:tcPr>
            <w:tcW w:type="dxa" w:w="24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 connect</w:t>
            </w:r>
          </w:p>
        </w:tc>
        <w:tc>
          <w:tcPr>
            <w:tcW w:type="dxa" w:w="21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 of 295</w:t>
            </w:r>
          </w:p>
        </w:tc>
        <w:tc>
          <w:tcPr>
            <w:tcW w:type="dxa" w:w="2600"/>
            <w:shd w:fill="F2F5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2,694 kWh</w:t>
            </w:r>
          </w:p>
        </w:tc>
      </w:tr>
    </w:tbl>
    <w:p>
      <w:pPr>
        <w:spacing w:after="160" w:line="300"/>
      </w:pPr>
      <w:r>
        <w:rPr>
          <w:i/>
          <w:iCs/>
          <w:color w:val="666666"/>
          <w:sz w:val="22"/>
          <w:szCs w:val="22"/>
        </w:rPr>
        <w:t xml:space="preserve">The top five rows are five channels on one installation — the same 13 dates drove all of them, so this is really one site with a strong recurring event, not five separate problems.</w:t>
      </w:r>
    </w:p>
    <w:p>
      <w:pPr>
        <w:spacing w:after="160" w:line="300"/>
      </w:pPr>
      <w:r>
        <w:rPr>
          <w:i/>
          <w:iCs/>
          <w:color w:val="666666"/>
          <w:sz w:val="22"/>
          <w:szCs w:val="22"/>
        </w:rPr>
        <w:t xml:space="preserve">A spike day isn't necessarily a problem — a hot day driving up air-conditioning use is expected and reasonable. But a meter with frequent, large spikes is worth a look: it may indicate equipment cycling harder than it should, a fault causing it to run inefficiently, or simply a pattern worth knowing about for demand planning.</w:t>
      </w:r>
    </w:p>
    <w:p>
      <w:pPr>
        <w:pStyle w:val="Heading1"/>
        <w:pBdr>
          <w:bottom w:val="single" w:color="1F3B4D" w:sz="6" w:space="4"/>
        </w:pBdr>
        <w:spacing w:after="160" w:before="320"/>
      </w:pPr>
      <w:r>
        <w:rPr>
          <w:b/>
          <w:bCs/>
          <w:color w:val="1F3B4D"/>
          <w:sz w:val="30"/>
          <w:szCs w:val="30"/>
        </w:rPr>
        <w:t xml:space="preserve">7. Recommendations &amp; Next Steps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Start with Section 4's top meters — overnight standby is usually the simplest fix (timer, schedule, or shutdown check) and the estimate above suggests it's the single largest opportunity.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For Section 5's meters, confirm whether the site is actually meant to be unoccupied on weekends; if so, check the building/equipment schedule.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For Section 6, cross-check spike dates against known hot/cold snaps, special events, or maintenance records — spikes that don't line up with an obvious cause are worth a site visit.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These are estimates from statistical patterns in the meter data, not a certified energy audit. Treat this as a prioritised list of where to look first, and confirm on-site before assuming a fault.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sz w:val="22"/>
          <w:szCs w:val="22"/>
        </w:rPr>
        <w:t xml:space="preserve">The frozen/stuck-reading issue covered in the earlier report can distort short-term comparisons — the estimates here already exclude those periods.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Energy Waste &amp; Savings Opportunities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f870f4555db5a201acc8eb3fd6af2b335347b1.png"/><Relationship Id="rId10" Type="http://schemas.openxmlformats.org/officeDocument/2006/relationships/image" Target="media/f47fbcd65b54e95fb687634b817ec412c2de576b.png"/><Relationship Id="rId11" Type="http://schemas.openxmlformats.org/officeDocument/2006/relationships/image" Target="media/9e9a41a6ce2fe5002c2d8b04b902dee0a51c1bd1.png"/><Relationship Id="rId12" Type="http://schemas.openxmlformats.org/officeDocument/2006/relationships/image" Target="media/27431898f026790a5bf1c5cb23fe6a030e5418c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2026-09-29T07:45:24.696Z</dcterms:created>
  <dcterms:modified xsi:type="dcterms:W3CDTF">2026-09-29T07:45:24.696Z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