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4D"/>
          <w:sz w:val="44"/>
          <w:szCs w:val="44"/>
        </w:rPr>
        <w:t xml:space="preserve">Electricity Meter Behaviour Analysis</w:t>
      </w:r>
    </w:p>
    <w:p>
      <w:pPr>
        <w:spacing w:after="300"/>
      </w:pPr>
      <w:r>
        <w:rPr>
          <w:i/>
          <w:iCs/>
          <w:color w:val="666666"/>
          <w:sz w:val="24"/>
          <w:szCs w:val="24"/>
        </w:rPr>
        <w:t xml:space="preserve">A plain-language summary of what “normal” looks like across your metered sites</w:t>
      </w:r>
    </w:p>
    <w:p>
      <w:pPr>
        <w:spacing w:after="400"/>
      </w:pPr>
      <w:r>
        <w:rPr>
          <w:color w:val="666666"/>
          <w:sz w:val="20"/>
          <w:szCs w:val="20"/>
        </w:rPr>
        <w:t xml:space="preserve">Prepared from 10 months of 5-minute meter readings (25 Oct 2025 – 27 Aug 2026) across 622 metered circuits at two organisations.</w:t>
      </w:r>
    </w:p>
    <w:p>
      <w:pPr>
        <w:pStyle w:val="Heading1"/>
        <w:pBdr>
          <w:bottom w:val="single" w:color="1F3B4D" w:sz="6" w:space="4"/>
        </w:pBdr>
        <w:spacing w:after="160" w:before="320"/>
      </w:pPr>
      <w:r>
        <w:rPr>
          <w:b/>
          <w:bCs/>
          <w:color w:val="1F3B4D"/>
          <w:sz w:val="30"/>
          <w:szCs w:val="30"/>
        </w:rPr>
        <w:t xml:space="preserve">1. Executive Summary</w:t>
      </w:r>
    </w:p>
    <w:p>
      <w:pPr>
        <w:spacing w:after="160" w:line="300"/>
      </w:pPr>
      <w:r>
        <w:rPr>
          <w:color w:val="222222"/>
          <w:sz w:val="22"/>
          <w:szCs w:val="22"/>
        </w:rPr>
        <w:t xml:space="preserve">We looked at electricity readings taken every 5 minutes, for up to 10 months, across 622 individual metered circuits, to work out what “normal” electricity use looks like for each one — when it's typically busy, when it's quiet, and how consistent that pattern is. Two things came out of this that matter for you:</w:t>
      </w:r>
    </w:p>
    <w:p>
      <w:pPr>
        <w:pStyle w:val="ListParagraph"/>
        <w:numPr>
          <w:ilvl w:val="0"/>
          <w:numId w:val="1"/>
        </w:numPr>
        <w:spacing w:after="90" w:line="290"/>
      </w:pPr>
      <w:r>
        <w:rPr>
          <w:b/>
          <w:bCs/>
          <w:sz w:val="22"/>
          <w:szCs w:val="22"/>
        </w:rPr>
        <w:t xml:space="preserve">Most meters do have an understandable, describable pattern of use. Only a small number (3%) show no repeatable pattern at all.</w:t>
      </w:r>
    </w:p>
    <w:p>
      <w:pPr>
        <w:pStyle w:val="ListParagraph"/>
        <w:numPr>
          <w:ilvl w:val="0"/>
          <w:numId w:val="1"/>
        </w:numPr>
        <w:spacing w:after="90" w:line="290"/>
      </w:pPr>
      <w:r>
        <w:rPr>
          <w:b/>
          <w:bCs/>
          <w:sz w:val="22"/>
          <w:szCs w:val="22"/>
        </w:rPr>
        <w:t xml:space="preserve">There is a widespread, recurring data-reliability issue: readings from almost every channel get “stuck” on one value for a period, sometimes for several days, and this keeps happening throughout the year — not just once. This is worth raising with your meter or data provider.</w:t>
      </w:r>
    </w:p>
    <w:p>
      <w:pPr>
        <w:spacing w:after="160" w:line="300"/>
      </w:pPr>
      <w:r>
        <w:rPr>
          <w:color w:val="222222"/>
          <w:sz w:val="22"/>
          <w:szCs w:val="22"/>
        </w:rPr>
        <w:t xml:space="preserve">The rest of this report explains both findings in plain terms, with the numbers behind them.</w:t>
      </w:r>
    </w:p>
    <w:p>
      <w:pPr>
        <w:pStyle w:val="Heading1"/>
        <w:pBdr>
          <w:bottom w:val="single" w:color="1F3B4D" w:sz="6" w:space="4"/>
        </w:pBdr>
        <w:spacing w:after="160" w:before="320"/>
      </w:pPr>
      <w:r>
        <w:rPr>
          <w:b/>
          <w:bCs/>
          <w:color w:val="1F3B4D"/>
          <w:sz w:val="30"/>
          <w:szCs w:val="30"/>
        </w:rPr>
        <w:t xml:space="preserve">2. What We Did</w:t>
      </w:r>
    </w:p>
    <w:p>
      <w:pPr>
        <w:spacing w:after="160" w:line="300"/>
      </w:pPr>
      <w:r>
        <w:rPr>
          <w:color w:val="222222"/>
          <w:sz w:val="22"/>
          <w:szCs w:val="22"/>
        </w:rPr>
        <w:t xml:space="preserve">Two organisations' worth of metered circuits — things like grid connections, air conditioning units, solar panels, EV chargers and hot water systems — report a power reading every 5 minutes. We used those readings to build a picture of typical behaviour for each individual circuit: what time of day it's usually busiest, whether weekdays differ from weekends, and whether that pattern holds steady across the year or changes with the seasons.</w:t>
      </w:r>
    </w:p>
    <w:p>
      <w:pPr>
        <w:spacing w:after="160" w:line="300"/>
      </w:pPr>
      <w:r>
        <w:rPr>
          <w:color w:val="222222"/>
          <w:sz w:val="22"/>
          <w:szCs w:val="22"/>
        </w:rPr>
        <w:t xml:space="preserve">Of 622 circuits on record, usable reading files existed for 427. We've fully analysed 417 of those so far; the remaining 10 (about 2%) are still being processed and will be added shortly. All figures below are based on the 417 already analysed.</w:t>
      </w:r>
    </w:p>
    <w:p>
      <w:pPr>
        <w:pStyle w:val="Heading1"/>
        <w:pBdr>
          <w:bottom w:val="single" w:color="1F3B4D" w:sz="6" w:space="4"/>
        </w:pBdr>
        <w:spacing w:after="160" w:before="320"/>
      </w:pPr>
      <w:r>
        <w:rPr>
          <w:b/>
          <w:bCs/>
          <w:color w:val="1F3B4D"/>
          <w:sz w:val="30"/>
          <w:szCs w:val="30"/>
        </w:rPr>
        <w:t xml:space="preserve">3. Finding 1 — Most Meters Have an Understandable Pattern</w:t>
      </w:r>
    </w:p>
    <w:p>
      <w:pPr>
        <w:spacing w:after="160" w:line="300"/>
      </w:pPr>
      <w:r>
        <w:rPr>
          <w:color w:val="222222"/>
          <w:sz w:val="22"/>
          <w:szCs w:val="22"/>
        </w:rPr>
        <w:t xml:space="preserve">For every meter, we asked: does this circuit have one steady, repeatable pattern of use, or does its behaviour change over time, or does it have no describable pattern at all? Here is what we found:</w:t>
      </w:r>
    </w:p>
    <w:p>
      <w:pPr>
        <w:spacing w:after="200"/>
        <w:jc w:val="center"/>
      </w:pPr>
      <w:r>
        <w:drawing>
          <wp:inline distT="0" distB="0" distL="0" distR="0">
            <wp:extent cx="5669280" cy="34771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477158"/>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400"/>
            <w:shd w:fill="F2F5F6" w:val="clear"/>
            <w:tcMar>
              <w:top w:type="dxa" w:w="160"/>
              <w:left w:type="dxa" w:w="160"/>
              <w:bottom w:type="dxa" w:w="160"/>
              <w:right w:type="dxa" w:w="160"/>
            </w:tcMar>
            <w:vAlign w:val="center"/>
          </w:tcPr>
          <w:p>
            <w:pPr>
              <w:spacing w:after="60"/>
              <w:jc w:val="center"/>
            </w:pPr>
            <w:r>
              <w:rPr>
                <w:b/>
                <w:bCs/>
                <w:color w:val="2E7D5B"/>
                <w:sz w:val="34"/>
                <w:szCs w:val="34"/>
              </w:rPr>
              <w:t xml:space="preserve">149 (36%)</w:t>
            </w:r>
          </w:p>
          <w:p>
            <w:pPr>
              <w:jc w:val="center"/>
            </w:pPr>
            <w:r>
              <w:rPr>
                <w:color w:val="444444"/>
                <w:sz w:val="18"/>
                <w:szCs w:val="18"/>
              </w:rPr>
              <w:t xml:space="preserve">Same pattern all year — a steady, reliable “normal”</w:t>
            </w:r>
          </w:p>
        </w:tc>
        <w:tc>
          <w:tcPr>
            <w:tcW w:type="dxa" w:w="3400"/>
            <w:shd w:fill="F2F5F6" w:val="clear"/>
            <w:tcMar>
              <w:top w:type="dxa" w:w="160"/>
              <w:left w:type="dxa" w:w="160"/>
              <w:bottom w:type="dxa" w:w="160"/>
              <w:right w:type="dxa" w:w="160"/>
            </w:tcMar>
            <w:vAlign w:val="center"/>
          </w:tcPr>
          <w:p>
            <w:pPr>
              <w:spacing w:after="60"/>
              <w:jc w:val="center"/>
            </w:pPr>
            <w:r>
              <w:rPr>
                <w:b/>
                <w:bCs/>
                <w:color w:val="4A90A4"/>
                <w:sz w:val="34"/>
                <w:szCs w:val="34"/>
              </w:rPr>
              <w:t xml:space="preserve">254 (61%)</w:t>
            </w:r>
          </w:p>
          <w:p>
            <w:pPr>
              <w:jc w:val="center"/>
            </w:pPr>
            <w:r>
              <w:rPr>
                <w:color w:val="444444"/>
                <w:sz w:val="18"/>
                <w:szCs w:val="18"/>
              </w:rPr>
              <w:t xml:space="preserve">Real pattern, but it shifts between warm and cool months</w:t>
            </w:r>
          </w:p>
        </w:tc>
        <w:tc>
          <w:tcPr>
            <w:tcW w:type="dxa" w:w="3400"/>
            <w:shd w:fill="F2F5F6" w:val="clear"/>
            <w:tcMar>
              <w:top w:type="dxa" w:w="160"/>
              <w:left w:type="dxa" w:w="160"/>
              <w:bottom w:type="dxa" w:w="160"/>
              <w:right w:type="dxa" w:w="160"/>
            </w:tcMar>
            <w:vAlign w:val="center"/>
          </w:tcPr>
          <w:p>
            <w:pPr>
              <w:spacing w:after="60"/>
              <w:jc w:val="center"/>
            </w:pPr>
            <w:r>
              <w:rPr>
                <w:b/>
                <w:bCs/>
                <w:color w:val="C77B4A"/>
                <w:sz w:val="34"/>
                <w:szCs w:val="34"/>
              </w:rPr>
              <w:t xml:space="preserve">14 (3%)</w:t>
            </w:r>
          </w:p>
          <w:p>
            <w:pPr>
              <w:jc w:val="center"/>
            </w:pPr>
            <w:r>
              <w:rPr>
                <w:color w:val="444444"/>
                <w:sz w:val="18"/>
                <w:szCs w:val="18"/>
              </w:rPr>
              <w:t xml:space="preserve">No repeatable pattern found — worth a manual look</w:t>
            </w:r>
          </w:p>
        </w:tc>
      </w:tr>
    </w:tbl>
    <w:p>
      <w:pPr>
        <w:spacing w:before="220"/>
      </w:pPr>
    </w:p>
    <w:p>
      <w:pPr>
        <w:spacing w:after="160" w:line="300"/>
      </w:pPr>
      <w:r>
        <w:rPr>
          <w:color w:val="222222"/>
          <w:sz w:val="22"/>
          <w:szCs w:val="22"/>
        </w:rPr>
        <w:t xml:space="preserve">The “shifts with the season” group is the largest, and that's expected rather than concerning: air conditioning uses more power in extreme weather, solar panels generate more in summer daylight, and pool pumps or heating run on different schedules through the year. Treating these as one fixed year-round “normal” would actually be misleading — the more accurate description is “normal for summer” and “normal for winter” separately.</w:t>
      </w:r>
    </w:p>
    <w:p>
      <w:pPr>
        <w:pStyle w:val="Heading2"/>
        <w:spacing w:after="120" w:before="220"/>
      </w:pPr>
      <w:r>
        <w:rPr>
          <w:b/>
          <w:bCs/>
          <w:color w:val="2E7D5B"/>
          <w:sz w:val="24"/>
          <w:szCs w:val="24"/>
        </w:rPr>
        <w:t xml:space="preserve">By equipment type</w:t>
      </w:r>
    </w:p>
    <w:p>
      <w:pPr>
        <w:spacing w:after="160" w:line="300"/>
      </w:pPr>
      <w:r>
        <w:rPr>
          <w:color w:val="222222"/>
          <w:sz w:val="22"/>
          <w:szCs w:val="22"/>
        </w:rPr>
        <w:t xml:space="preserve">Some equipment types are far more season-driven than others. Every single solar-generation channel, for example, falls into the “shifts with season” group — exactly as you'd expect from a system whose output depends on daylight and weather.</w:t>
      </w:r>
    </w:p>
    <w:p>
      <w:pPr>
        <w:spacing w:after="200"/>
        <w:jc w:val="center"/>
      </w:pPr>
      <w:r>
        <w:drawing>
          <wp:inline distT="0" distB="0" distL="0" distR="0">
            <wp:extent cx="5852160" cy="34462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3446272"/>
                    </a:xfrm>
                    <a:prstGeom prst="rect">
                      <a:avLst/>
                    </a:prstGeom>
                  </pic:spPr>
                </pic:pic>
              </a:graphicData>
            </a:graphic>
          </wp:inline>
        </w:drawing>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gridCol w:w="1650"/>
      </w:tblGrid>
      <w:tr>
        <w:tc>
          <w:tcPr>
            <w:tcW w:type="dxa" w:w="3400"/>
            <w:shd w:fill="1F3B4D" w:val="clear"/>
            <w:tcMar>
              <w:top w:type="dxa" w:w="100"/>
              <w:left w:type="dxa" w:w="140"/>
              <w:bottom w:type="dxa" w:w="100"/>
              <w:right w:type="dxa" w:w="140"/>
            </w:tcMar>
          </w:tcPr>
          <w:p>
            <w:r>
              <w:rPr>
                <w:b/>
                <w:bCs/>
                <w:color w:val="FFFFFF"/>
                <w:sz w:val="20"/>
                <w:szCs w:val="20"/>
              </w:rPr>
              <w:t xml:space="preserve">Equipment type</w:t>
            </w:r>
          </w:p>
        </w:tc>
        <w:tc>
          <w:tcPr>
            <w:tcW w:type="dxa" w:w="1800"/>
            <w:shd w:fill="1F3B4D" w:val="clear"/>
            <w:tcMar>
              <w:top w:type="dxa" w:w="100"/>
              <w:left w:type="dxa" w:w="140"/>
              <w:bottom w:type="dxa" w:w="100"/>
              <w:right w:type="dxa" w:w="140"/>
            </w:tcMar>
          </w:tcPr>
          <w:p>
            <w:r>
              <w:rPr>
                <w:b/>
                <w:bCs/>
                <w:color w:val="FFFFFF"/>
                <w:sz w:val="20"/>
                <w:szCs w:val="20"/>
              </w:rPr>
              <w:t xml:space="preserve">Meters analysed</w:t>
            </w:r>
          </w:p>
        </w:tc>
        <w:tc>
          <w:tcPr>
            <w:tcW w:type="dxa" w:w="1800"/>
            <w:shd w:fill="1F3B4D" w:val="clear"/>
            <w:tcMar>
              <w:top w:type="dxa" w:w="100"/>
              <w:left w:type="dxa" w:w="140"/>
              <w:bottom w:type="dxa" w:w="100"/>
              <w:right w:type="dxa" w:w="140"/>
            </w:tcMar>
          </w:tcPr>
          <w:p>
            <w:r>
              <w:rPr>
                <w:b/>
                <w:bCs/>
                <w:color w:val="FFFFFF"/>
                <w:sz w:val="20"/>
                <w:szCs w:val="20"/>
              </w:rPr>
              <w:t xml:space="preserve">Same pattern all year</w:t>
            </w:r>
          </w:p>
        </w:tc>
        <w:tc>
          <w:tcPr>
            <w:tcW w:type="dxa" w:w="1800"/>
            <w:shd w:fill="1F3B4D" w:val="clear"/>
            <w:tcMar>
              <w:top w:type="dxa" w:w="100"/>
              <w:left w:type="dxa" w:w="140"/>
              <w:bottom w:type="dxa" w:w="100"/>
              <w:right w:type="dxa" w:w="140"/>
            </w:tcMar>
          </w:tcPr>
          <w:p>
            <w:r>
              <w:rPr>
                <w:b/>
                <w:bCs/>
                <w:color w:val="FFFFFF"/>
                <w:sz w:val="20"/>
                <w:szCs w:val="20"/>
              </w:rPr>
              <w:t xml:space="preserve">Shifts with season</w:t>
            </w:r>
          </w:p>
        </w:tc>
        <w:tc>
          <w:tcPr>
            <w:tcW w:type="dxa" w:w="1650"/>
            <w:shd w:fill="1F3B4D" w:val="clear"/>
            <w:tcMar>
              <w:top w:type="dxa" w:w="100"/>
              <w:left w:type="dxa" w:w="140"/>
              <w:bottom w:type="dxa" w:w="100"/>
              <w:right w:type="dxa" w:w="140"/>
            </w:tcMar>
          </w:tcPr>
          <w:p>
            <w:r>
              <w:rPr>
                <w:b/>
                <w:bCs/>
                <w:color w:val="FFFFFF"/>
                <w:sz w:val="20"/>
                <w:szCs w:val="20"/>
              </w:rPr>
              <w:t xml:space="preserve">No clear pattern</w:t>
            </w:r>
          </w:p>
        </w:tc>
      </w:tr>
      <w:tr>
        <w:tc>
          <w:tcPr>
            <w:tcW w:type="dxa" w:w="3400"/>
            <w:shd w:fill="FFFFFF" w:val="clear"/>
            <w:tcMar>
              <w:top w:type="dxa" w:w="90"/>
              <w:left w:type="dxa" w:w="140"/>
              <w:bottom w:type="dxa" w:w="90"/>
              <w:right w:type="dxa" w:w="140"/>
            </w:tcMar>
          </w:tcPr>
          <w:p>
            <w:r>
              <w:rPr>
                <w:sz w:val="20"/>
                <w:szCs w:val="20"/>
              </w:rPr>
              <w:t xml:space="preserve">Grid connect (whole-site power)</w:t>
            </w:r>
          </w:p>
        </w:tc>
        <w:tc>
          <w:tcPr>
            <w:tcW w:type="dxa" w:w="1800"/>
            <w:shd w:fill="FFFFFF" w:val="clear"/>
            <w:tcMar>
              <w:top w:type="dxa" w:w="90"/>
              <w:left w:type="dxa" w:w="140"/>
              <w:bottom w:type="dxa" w:w="90"/>
              <w:right w:type="dxa" w:w="140"/>
            </w:tcMar>
          </w:tcPr>
          <w:p>
            <w:r>
              <w:rPr>
                <w:sz w:val="20"/>
                <w:szCs w:val="20"/>
              </w:rPr>
              <w:t xml:space="preserve">213</w:t>
            </w:r>
          </w:p>
        </w:tc>
        <w:tc>
          <w:tcPr>
            <w:tcW w:type="dxa" w:w="1800"/>
            <w:shd w:fill="FFFFFF" w:val="clear"/>
            <w:tcMar>
              <w:top w:type="dxa" w:w="90"/>
              <w:left w:type="dxa" w:w="140"/>
              <w:bottom w:type="dxa" w:w="90"/>
              <w:right w:type="dxa" w:w="140"/>
            </w:tcMar>
          </w:tcPr>
          <w:p>
            <w:r>
              <w:rPr>
                <w:sz w:val="20"/>
                <w:szCs w:val="20"/>
              </w:rPr>
              <w:t xml:space="preserve">100</w:t>
            </w:r>
          </w:p>
        </w:tc>
        <w:tc>
          <w:tcPr>
            <w:tcW w:type="dxa" w:w="1800"/>
            <w:shd w:fill="FFFFFF" w:val="clear"/>
            <w:tcMar>
              <w:top w:type="dxa" w:w="90"/>
              <w:left w:type="dxa" w:w="140"/>
              <w:bottom w:type="dxa" w:w="90"/>
              <w:right w:type="dxa" w:w="140"/>
            </w:tcMar>
          </w:tcPr>
          <w:p>
            <w:r>
              <w:rPr>
                <w:sz w:val="20"/>
                <w:szCs w:val="20"/>
              </w:rPr>
              <w:t xml:space="preserve">106</w:t>
            </w:r>
          </w:p>
        </w:tc>
        <w:tc>
          <w:tcPr>
            <w:tcW w:type="dxa" w:w="1650"/>
            <w:shd w:fill="FFFFFF" w:val="clear"/>
            <w:tcMar>
              <w:top w:type="dxa" w:w="90"/>
              <w:left w:type="dxa" w:w="140"/>
              <w:bottom w:type="dxa" w:w="90"/>
              <w:right w:type="dxa" w:w="140"/>
            </w:tcMar>
          </w:tcPr>
          <w:p>
            <w:r>
              <w:rPr>
                <w:sz w:val="20"/>
                <w:szCs w:val="20"/>
              </w:rPr>
              <w:t xml:space="preserve">7</w:t>
            </w:r>
          </w:p>
        </w:tc>
      </w:tr>
      <w:tr>
        <w:tc>
          <w:tcPr>
            <w:tcW w:type="dxa" w:w="3400"/>
            <w:shd w:fill="F2F5F6" w:val="clear"/>
            <w:tcMar>
              <w:top w:type="dxa" w:w="90"/>
              <w:left w:type="dxa" w:w="140"/>
              <w:bottom w:type="dxa" w:w="90"/>
              <w:right w:type="dxa" w:w="140"/>
            </w:tcMar>
          </w:tcPr>
          <w:p>
            <w:r>
              <w:rPr>
                <w:sz w:val="20"/>
                <w:szCs w:val="20"/>
              </w:rPr>
              <w:t xml:space="preserve">Air conditioning</w:t>
            </w:r>
          </w:p>
        </w:tc>
        <w:tc>
          <w:tcPr>
            <w:tcW w:type="dxa" w:w="1800"/>
            <w:shd w:fill="F2F5F6" w:val="clear"/>
            <w:tcMar>
              <w:top w:type="dxa" w:w="90"/>
              <w:left w:type="dxa" w:w="140"/>
              <w:bottom w:type="dxa" w:w="90"/>
              <w:right w:type="dxa" w:w="140"/>
            </w:tcMar>
          </w:tcPr>
          <w:p>
            <w:r>
              <w:rPr>
                <w:sz w:val="20"/>
                <w:szCs w:val="20"/>
              </w:rPr>
              <w:t xml:space="preserve">93</w:t>
            </w:r>
          </w:p>
        </w:tc>
        <w:tc>
          <w:tcPr>
            <w:tcW w:type="dxa" w:w="1800"/>
            <w:shd w:fill="F2F5F6" w:val="clear"/>
            <w:tcMar>
              <w:top w:type="dxa" w:w="90"/>
              <w:left w:type="dxa" w:w="140"/>
              <w:bottom w:type="dxa" w:w="90"/>
              <w:right w:type="dxa" w:w="140"/>
            </w:tcMar>
          </w:tcPr>
          <w:p>
            <w:r>
              <w:rPr>
                <w:sz w:val="20"/>
                <w:szCs w:val="20"/>
              </w:rPr>
              <w:t xml:space="preserve">16</w:t>
            </w:r>
          </w:p>
        </w:tc>
        <w:tc>
          <w:tcPr>
            <w:tcW w:type="dxa" w:w="1800"/>
            <w:shd w:fill="F2F5F6" w:val="clear"/>
            <w:tcMar>
              <w:top w:type="dxa" w:w="90"/>
              <w:left w:type="dxa" w:w="140"/>
              <w:bottom w:type="dxa" w:w="90"/>
              <w:right w:type="dxa" w:w="140"/>
            </w:tcMar>
          </w:tcPr>
          <w:p>
            <w:r>
              <w:rPr>
                <w:sz w:val="20"/>
                <w:szCs w:val="20"/>
              </w:rPr>
              <w:t xml:space="preserve">71</w:t>
            </w:r>
          </w:p>
        </w:tc>
        <w:tc>
          <w:tcPr>
            <w:tcW w:type="dxa" w:w="1650"/>
            <w:shd w:fill="F2F5F6" w:val="clear"/>
            <w:tcMar>
              <w:top w:type="dxa" w:w="90"/>
              <w:left w:type="dxa" w:w="140"/>
              <w:bottom w:type="dxa" w:w="90"/>
              <w:right w:type="dxa" w:w="140"/>
            </w:tcMar>
          </w:tcPr>
          <w:p>
            <w:r>
              <w:rPr>
                <w:sz w:val="20"/>
                <w:szCs w:val="20"/>
              </w:rPr>
              <w:t xml:space="preserve">6</w:t>
            </w:r>
          </w:p>
        </w:tc>
      </w:tr>
      <w:tr>
        <w:tc>
          <w:tcPr>
            <w:tcW w:type="dxa" w:w="3400"/>
            <w:shd w:fill="FFFFFF" w:val="clear"/>
            <w:tcMar>
              <w:top w:type="dxa" w:w="90"/>
              <w:left w:type="dxa" w:w="140"/>
              <w:bottom w:type="dxa" w:w="90"/>
              <w:right w:type="dxa" w:w="140"/>
            </w:tcMar>
          </w:tcPr>
          <w:p>
            <w:r>
              <w:rPr>
                <w:sz w:val="20"/>
                <w:szCs w:val="20"/>
              </w:rPr>
              <w:t xml:space="preserve">Solar generation</w:t>
            </w:r>
          </w:p>
        </w:tc>
        <w:tc>
          <w:tcPr>
            <w:tcW w:type="dxa" w:w="1800"/>
            <w:shd w:fill="FFFFFF" w:val="clear"/>
            <w:tcMar>
              <w:top w:type="dxa" w:w="90"/>
              <w:left w:type="dxa" w:w="140"/>
              <w:bottom w:type="dxa" w:w="90"/>
              <w:right w:type="dxa" w:w="140"/>
            </w:tcMar>
          </w:tcPr>
          <w:p>
            <w:r>
              <w:rPr>
                <w:sz w:val="20"/>
                <w:szCs w:val="20"/>
              </w:rPr>
              <w:t xml:space="preserve">48</w:t>
            </w:r>
          </w:p>
        </w:tc>
        <w:tc>
          <w:tcPr>
            <w:tcW w:type="dxa" w:w="1800"/>
            <w:shd w:fill="FFFFFF" w:val="clear"/>
            <w:tcMar>
              <w:top w:type="dxa" w:w="90"/>
              <w:left w:type="dxa" w:w="140"/>
              <w:bottom w:type="dxa" w:w="90"/>
              <w:right w:type="dxa" w:w="140"/>
            </w:tcMar>
          </w:tcPr>
          <w:p>
            <w:r>
              <w:rPr>
                <w:sz w:val="20"/>
                <w:szCs w:val="20"/>
              </w:rPr>
              <w:t xml:space="preserve">0</w:t>
            </w:r>
          </w:p>
        </w:tc>
        <w:tc>
          <w:tcPr>
            <w:tcW w:type="dxa" w:w="1800"/>
            <w:shd w:fill="FFFFFF" w:val="clear"/>
            <w:tcMar>
              <w:top w:type="dxa" w:w="90"/>
              <w:left w:type="dxa" w:w="140"/>
              <w:bottom w:type="dxa" w:w="90"/>
              <w:right w:type="dxa" w:w="140"/>
            </w:tcMar>
          </w:tcPr>
          <w:p>
            <w:r>
              <w:rPr>
                <w:sz w:val="20"/>
                <w:szCs w:val="20"/>
              </w:rPr>
              <w:t xml:space="preserve">48</w:t>
            </w:r>
          </w:p>
        </w:tc>
        <w:tc>
          <w:tcPr>
            <w:tcW w:type="dxa" w:w="1650"/>
            <w:shd w:fill="FFFFFF" w:val="clear"/>
            <w:tcMar>
              <w:top w:type="dxa" w:w="90"/>
              <w:left w:type="dxa" w:w="140"/>
              <w:bottom w:type="dxa" w:w="90"/>
              <w:right w:type="dxa" w:w="140"/>
            </w:tcMar>
          </w:tcPr>
          <w:p>
            <w:r>
              <w:rPr>
                <w:sz w:val="20"/>
                <w:szCs w:val="20"/>
              </w:rPr>
              <w:t xml:space="preserve">0</w:t>
            </w:r>
          </w:p>
        </w:tc>
      </w:tr>
      <w:tr>
        <w:tc>
          <w:tcPr>
            <w:tcW w:type="dxa" w:w="3400"/>
            <w:shd w:fill="F2F5F6" w:val="clear"/>
            <w:tcMar>
              <w:top w:type="dxa" w:w="90"/>
              <w:left w:type="dxa" w:w="140"/>
              <w:bottom w:type="dxa" w:w="90"/>
              <w:right w:type="dxa" w:w="140"/>
            </w:tcMar>
          </w:tcPr>
          <w:p>
            <w:r>
              <w:rPr>
                <w:sz w:val="20"/>
                <w:szCs w:val="20"/>
              </w:rPr>
              <w:t xml:space="preserve">Lighting &amp; Power</w:t>
            </w:r>
          </w:p>
        </w:tc>
        <w:tc>
          <w:tcPr>
            <w:tcW w:type="dxa" w:w="1800"/>
            <w:shd w:fill="F2F5F6" w:val="clear"/>
            <w:tcMar>
              <w:top w:type="dxa" w:w="90"/>
              <w:left w:type="dxa" w:w="140"/>
              <w:bottom w:type="dxa" w:w="90"/>
              <w:right w:type="dxa" w:w="140"/>
            </w:tcMar>
          </w:tcPr>
          <w:p>
            <w:r>
              <w:rPr>
                <w:sz w:val="20"/>
                <w:szCs w:val="20"/>
              </w:rPr>
              <w:t xml:space="preserve">27</w:t>
            </w:r>
          </w:p>
        </w:tc>
        <w:tc>
          <w:tcPr>
            <w:tcW w:type="dxa" w:w="1800"/>
            <w:shd w:fill="F2F5F6" w:val="clear"/>
            <w:tcMar>
              <w:top w:type="dxa" w:w="90"/>
              <w:left w:type="dxa" w:w="140"/>
              <w:bottom w:type="dxa" w:w="90"/>
              <w:right w:type="dxa" w:w="140"/>
            </w:tcMar>
          </w:tcPr>
          <w:p>
            <w:r>
              <w:rPr>
                <w:sz w:val="20"/>
                <w:szCs w:val="20"/>
              </w:rPr>
              <w:t xml:space="preserve">16</w:t>
            </w:r>
          </w:p>
        </w:tc>
        <w:tc>
          <w:tcPr>
            <w:tcW w:type="dxa" w:w="1800"/>
            <w:shd w:fill="F2F5F6" w:val="clear"/>
            <w:tcMar>
              <w:top w:type="dxa" w:w="90"/>
              <w:left w:type="dxa" w:w="140"/>
              <w:bottom w:type="dxa" w:w="90"/>
              <w:right w:type="dxa" w:w="140"/>
            </w:tcMar>
          </w:tcPr>
          <w:p>
            <w:r>
              <w:rPr>
                <w:sz w:val="20"/>
                <w:szCs w:val="20"/>
              </w:rPr>
              <w:t xml:space="preserve">11</w:t>
            </w:r>
          </w:p>
        </w:tc>
        <w:tc>
          <w:tcPr>
            <w:tcW w:type="dxa" w:w="1650"/>
            <w:shd w:fill="F2F5F6" w:val="clear"/>
            <w:tcMar>
              <w:top w:type="dxa" w:w="90"/>
              <w:left w:type="dxa" w:w="140"/>
              <w:bottom w:type="dxa" w:w="90"/>
              <w:right w:type="dxa" w:w="140"/>
            </w:tcMar>
          </w:tcPr>
          <w:p>
            <w:r>
              <w:rPr>
                <w:sz w:val="20"/>
                <w:szCs w:val="20"/>
              </w:rPr>
              <w:t xml:space="preserve">0</w:t>
            </w:r>
          </w:p>
        </w:tc>
      </w:tr>
      <w:tr>
        <w:tc>
          <w:tcPr>
            <w:tcW w:type="dxa" w:w="3400"/>
            <w:shd w:fill="FFFFFF" w:val="clear"/>
            <w:tcMar>
              <w:top w:type="dxa" w:w="90"/>
              <w:left w:type="dxa" w:w="140"/>
              <w:bottom w:type="dxa" w:w="90"/>
              <w:right w:type="dxa" w:w="140"/>
            </w:tcMar>
          </w:tcPr>
          <w:p>
            <w:r>
              <w:rPr>
                <w:sz w:val="20"/>
                <w:szCs w:val="20"/>
              </w:rPr>
              <w:t xml:space="preserve">Electric vehicle</w:t>
            </w:r>
          </w:p>
        </w:tc>
        <w:tc>
          <w:tcPr>
            <w:tcW w:type="dxa" w:w="1800"/>
            <w:shd w:fill="FFFFFF" w:val="clear"/>
            <w:tcMar>
              <w:top w:type="dxa" w:w="90"/>
              <w:left w:type="dxa" w:w="140"/>
              <w:bottom w:type="dxa" w:w="90"/>
              <w:right w:type="dxa" w:w="140"/>
            </w:tcMar>
          </w:tcPr>
          <w:p>
            <w:r>
              <w:rPr>
                <w:sz w:val="20"/>
                <w:szCs w:val="20"/>
              </w:rPr>
              <w:t xml:space="preserve">19</w:t>
            </w:r>
          </w:p>
        </w:tc>
        <w:tc>
          <w:tcPr>
            <w:tcW w:type="dxa" w:w="1800"/>
            <w:shd w:fill="FFFFFF" w:val="clear"/>
            <w:tcMar>
              <w:top w:type="dxa" w:w="90"/>
              <w:left w:type="dxa" w:w="140"/>
              <w:bottom w:type="dxa" w:w="90"/>
              <w:right w:type="dxa" w:w="140"/>
            </w:tcMar>
          </w:tcPr>
          <w:p>
            <w:r>
              <w:rPr>
                <w:sz w:val="20"/>
                <w:szCs w:val="20"/>
              </w:rPr>
              <w:t xml:space="preserve">9</w:t>
            </w:r>
          </w:p>
        </w:tc>
        <w:tc>
          <w:tcPr>
            <w:tcW w:type="dxa" w:w="1800"/>
            <w:shd w:fill="FFFFFF" w:val="clear"/>
            <w:tcMar>
              <w:top w:type="dxa" w:w="90"/>
              <w:left w:type="dxa" w:w="140"/>
              <w:bottom w:type="dxa" w:w="90"/>
              <w:right w:type="dxa" w:w="140"/>
            </w:tcMar>
          </w:tcPr>
          <w:p>
            <w:r>
              <w:rPr>
                <w:sz w:val="20"/>
                <w:szCs w:val="20"/>
              </w:rPr>
              <w:t xml:space="preserve">10</w:t>
            </w:r>
          </w:p>
        </w:tc>
        <w:tc>
          <w:tcPr>
            <w:tcW w:type="dxa" w:w="1650"/>
            <w:shd w:fill="FFFFFF" w:val="clear"/>
            <w:tcMar>
              <w:top w:type="dxa" w:w="90"/>
              <w:left w:type="dxa" w:w="140"/>
              <w:bottom w:type="dxa" w:w="90"/>
              <w:right w:type="dxa" w:w="140"/>
            </w:tcMar>
          </w:tcPr>
          <w:p>
            <w:r>
              <w:rPr>
                <w:sz w:val="20"/>
                <w:szCs w:val="20"/>
              </w:rPr>
              <w:t xml:space="preserve">0</w:t>
            </w:r>
          </w:p>
        </w:tc>
      </w:tr>
      <w:tr>
        <w:tc>
          <w:tcPr>
            <w:tcW w:type="dxa" w:w="3400"/>
            <w:shd w:fill="F2F5F6" w:val="clear"/>
            <w:tcMar>
              <w:top w:type="dxa" w:w="90"/>
              <w:left w:type="dxa" w:w="140"/>
              <w:bottom w:type="dxa" w:w="90"/>
              <w:right w:type="dxa" w:w="140"/>
            </w:tcMar>
          </w:tcPr>
          <w:p>
            <w:r>
              <w:rPr>
                <w:sz w:val="20"/>
                <w:szCs w:val="20"/>
              </w:rPr>
              <w:t xml:space="preserve">Hot water</w:t>
            </w:r>
          </w:p>
        </w:tc>
        <w:tc>
          <w:tcPr>
            <w:tcW w:type="dxa" w:w="1800"/>
            <w:shd w:fill="F2F5F6" w:val="clear"/>
            <w:tcMar>
              <w:top w:type="dxa" w:w="90"/>
              <w:left w:type="dxa" w:w="140"/>
              <w:bottom w:type="dxa" w:w="90"/>
              <w:right w:type="dxa" w:w="140"/>
            </w:tcMar>
          </w:tcPr>
          <w:p>
            <w:r>
              <w:rPr>
                <w:sz w:val="20"/>
                <w:szCs w:val="20"/>
              </w:rPr>
              <w:t xml:space="preserve">8</w:t>
            </w:r>
          </w:p>
        </w:tc>
        <w:tc>
          <w:tcPr>
            <w:tcW w:type="dxa" w:w="1800"/>
            <w:shd w:fill="F2F5F6" w:val="clear"/>
            <w:tcMar>
              <w:top w:type="dxa" w:w="90"/>
              <w:left w:type="dxa" w:w="140"/>
              <w:bottom w:type="dxa" w:w="90"/>
              <w:right w:type="dxa" w:w="140"/>
            </w:tcMar>
          </w:tcPr>
          <w:p>
            <w:r>
              <w:rPr>
                <w:sz w:val="20"/>
                <w:szCs w:val="20"/>
              </w:rPr>
              <w:t xml:space="preserve">3</w:t>
            </w:r>
          </w:p>
        </w:tc>
        <w:tc>
          <w:tcPr>
            <w:tcW w:type="dxa" w:w="1800"/>
            <w:shd w:fill="F2F5F6" w:val="clear"/>
            <w:tcMar>
              <w:top w:type="dxa" w:w="90"/>
              <w:left w:type="dxa" w:w="140"/>
              <w:bottom w:type="dxa" w:w="90"/>
              <w:right w:type="dxa" w:w="140"/>
            </w:tcMar>
          </w:tcPr>
          <w:p>
            <w:r>
              <w:rPr>
                <w:sz w:val="20"/>
                <w:szCs w:val="20"/>
              </w:rPr>
              <w:t xml:space="preserve">5</w:t>
            </w:r>
          </w:p>
        </w:tc>
        <w:tc>
          <w:tcPr>
            <w:tcW w:type="dxa" w:w="1650"/>
            <w:shd w:fill="F2F5F6" w:val="clear"/>
            <w:tcMar>
              <w:top w:type="dxa" w:w="90"/>
              <w:left w:type="dxa" w:w="140"/>
              <w:bottom w:type="dxa" w:w="90"/>
              <w:right w:type="dxa" w:w="140"/>
            </w:tcMar>
          </w:tcPr>
          <w:p>
            <w:r>
              <w:rPr>
                <w:sz w:val="20"/>
                <w:szCs w:val="20"/>
              </w:rPr>
              <w:t xml:space="preserve">0</w:t>
            </w:r>
          </w:p>
        </w:tc>
      </w:tr>
      <w:tr>
        <w:tc>
          <w:tcPr>
            <w:tcW w:type="dxa" w:w="3400"/>
            <w:shd w:fill="FFFFFF" w:val="clear"/>
            <w:tcMar>
              <w:top w:type="dxa" w:w="90"/>
              <w:left w:type="dxa" w:w="140"/>
              <w:bottom w:type="dxa" w:w="90"/>
              <w:right w:type="dxa" w:w="140"/>
            </w:tcMar>
          </w:tcPr>
          <w:p>
            <w:r>
              <w:rPr>
                <w:sz w:val="20"/>
                <w:szCs w:val="20"/>
              </w:rPr>
              <w:t xml:space="preserve">Refrigeration</w:t>
            </w:r>
          </w:p>
        </w:tc>
        <w:tc>
          <w:tcPr>
            <w:tcW w:type="dxa" w:w="1800"/>
            <w:shd w:fill="FFFFFF" w:val="clear"/>
            <w:tcMar>
              <w:top w:type="dxa" w:w="90"/>
              <w:left w:type="dxa" w:w="140"/>
              <w:bottom w:type="dxa" w:w="90"/>
              <w:right w:type="dxa" w:w="140"/>
            </w:tcMar>
          </w:tcPr>
          <w:p>
            <w:r>
              <w:rPr>
                <w:sz w:val="20"/>
                <w:szCs w:val="20"/>
              </w:rPr>
              <w:t xml:space="preserve">6</w:t>
            </w:r>
          </w:p>
        </w:tc>
        <w:tc>
          <w:tcPr>
            <w:tcW w:type="dxa" w:w="1800"/>
            <w:shd w:fill="FFFFFF" w:val="clear"/>
            <w:tcMar>
              <w:top w:type="dxa" w:w="90"/>
              <w:left w:type="dxa" w:w="140"/>
              <w:bottom w:type="dxa" w:w="90"/>
              <w:right w:type="dxa" w:w="140"/>
            </w:tcMar>
          </w:tcPr>
          <w:p>
            <w:r>
              <w:rPr>
                <w:sz w:val="20"/>
                <w:szCs w:val="20"/>
              </w:rPr>
              <w:t xml:space="preserve">3</w:t>
            </w:r>
          </w:p>
        </w:tc>
        <w:tc>
          <w:tcPr>
            <w:tcW w:type="dxa" w:w="1800"/>
            <w:shd w:fill="FFFFFF" w:val="clear"/>
            <w:tcMar>
              <w:top w:type="dxa" w:w="90"/>
              <w:left w:type="dxa" w:w="140"/>
              <w:bottom w:type="dxa" w:w="90"/>
              <w:right w:type="dxa" w:w="140"/>
            </w:tcMar>
          </w:tcPr>
          <w:p>
            <w:r>
              <w:rPr>
                <w:sz w:val="20"/>
                <w:szCs w:val="20"/>
              </w:rPr>
              <w:t xml:space="preserve">3</w:t>
            </w:r>
          </w:p>
        </w:tc>
        <w:tc>
          <w:tcPr>
            <w:tcW w:type="dxa" w:w="1650"/>
            <w:shd w:fill="FFFFFF" w:val="clear"/>
            <w:tcMar>
              <w:top w:type="dxa" w:w="90"/>
              <w:left w:type="dxa" w:w="140"/>
              <w:bottom w:type="dxa" w:w="90"/>
              <w:right w:type="dxa" w:w="140"/>
            </w:tcMar>
          </w:tcPr>
          <w:p>
            <w:r>
              <w:rPr>
                <w:sz w:val="20"/>
                <w:szCs w:val="20"/>
              </w:rPr>
              <w:t xml:space="preserve">0</w:t>
            </w:r>
          </w:p>
        </w:tc>
      </w:tr>
      <w:tr>
        <w:tc>
          <w:tcPr>
            <w:tcW w:type="dxa" w:w="3400"/>
            <w:shd w:fill="F2F5F6" w:val="clear"/>
            <w:tcMar>
              <w:top w:type="dxa" w:w="90"/>
              <w:left w:type="dxa" w:w="140"/>
              <w:bottom w:type="dxa" w:w="90"/>
              <w:right w:type="dxa" w:w="140"/>
            </w:tcMar>
          </w:tcPr>
          <w:p>
            <w:r>
              <w:rPr>
                <w:sz w:val="20"/>
                <w:szCs w:val="20"/>
              </w:rPr>
              <w:t xml:space="preserve">Power</w:t>
            </w:r>
          </w:p>
        </w:tc>
        <w:tc>
          <w:tcPr>
            <w:tcW w:type="dxa" w:w="1800"/>
            <w:shd w:fill="F2F5F6" w:val="clear"/>
            <w:tcMar>
              <w:top w:type="dxa" w:w="90"/>
              <w:left w:type="dxa" w:w="140"/>
              <w:bottom w:type="dxa" w:w="90"/>
              <w:right w:type="dxa" w:w="140"/>
            </w:tcMar>
          </w:tcPr>
          <w:p>
            <w:r>
              <w:rPr>
                <w:sz w:val="20"/>
                <w:szCs w:val="20"/>
              </w:rPr>
              <w:t xml:space="preserve">3</w:t>
            </w:r>
          </w:p>
        </w:tc>
        <w:tc>
          <w:tcPr>
            <w:tcW w:type="dxa" w:w="1800"/>
            <w:shd w:fill="F2F5F6" w:val="clear"/>
            <w:tcMar>
              <w:top w:type="dxa" w:w="90"/>
              <w:left w:type="dxa" w:w="140"/>
              <w:bottom w:type="dxa" w:w="90"/>
              <w:right w:type="dxa" w:w="140"/>
            </w:tcMar>
          </w:tcPr>
          <w:p>
            <w:r>
              <w:rPr>
                <w:sz w:val="20"/>
                <w:szCs w:val="20"/>
              </w:rPr>
              <w:t xml:space="preserve">2</w:t>
            </w:r>
          </w:p>
        </w:tc>
        <w:tc>
          <w:tcPr>
            <w:tcW w:type="dxa" w:w="1800"/>
            <w:shd w:fill="F2F5F6" w:val="clear"/>
            <w:tcMar>
              <w:top w:type="dxa" w:w="90"/>
              <w:left w:type="dxa" w:w="140"/>
              <w:bottom w:type="dxa" w:w="90"/>
              <w:right w:type="dxa" w:w="140"/>
            </w:tcMar>
          </w:tcPr>
          <w:p>
            <w:r>
              <w:rPr>
                <w:sz w:val="20"/>
                <w:szCs w:val="20"/>
              </w:rPr>
              <w:t xml:space="preserve">0</w:t>
            </w:r>
          </w:p>
        </w:tc>
        <w:tc>
          <w:tcPr>
            <w:tcW w:type="dxa" w:w="1650"/>
            <w:shd w:fill="F2F5F6" w:val="clear"/>
            <w:tcMar>
              <w:top w:type="dxa" w:w="90"/>
              <w:left w:type="dxa" w:w="140"/>
              <w:bottom w:type="dxa" w:w="90"/>
              <w:right w:type="dxa" w:w="140"/>
            </w:tcMar>
          </w:tcPr>
          <w:p>
            <w:r>
              <w:rPr>
                <w:sz w:val="20"/>
                <w:szCs w:val="20"/>
              </w:rPr>
              <w:t xml:space="preserve">1</w:t>
            </w:r>
          </w:p>
        </w:tc>
      </w:tr>
    </w:tbl>
    <w:p>
      <w:pPr>
        <w:pStyle w:val="Heading1"/>
        <w:pBdr>
          <w:bottom w:val="single" w:color="1F3B4D" w:sz="6" w:space="4"/>
        </w:pBdr>
        <w:spacing w:after="160" w:before="320"/>
      </w:pPr>
      <w:r>
        <w:rPr>
          <w:b/>
          <w:bCs/>
          <w:color w:val="1F3B4D"/>
          <w:sz w:val="30"/>
          <w:szCs w:val="30"/>
        </w:rPr>
        <w:t xml:space="preserve">4. Finding 2 — A Recurring Data Reliability Issue</w:t>
      </w:r>
    </w:p>
    <w:p>
      <w:pPr>
        <w:spacing w:after="160" w:line="300"/>
      </w:pPr>
      <w:r>
        <w:rPr>
          <w:color w:val="222222"/>
          <w:sz w:val="22"/>
          <w:szCs w:val="22"/>
        </w:rPr>
        <w:t xml:space="preserve">This is the most important operational finding in this report. While building these profiles, we found that readings from almost every meter occasionally get “stuck” — the exact same value repeats for hours or even days in a row, across several different measurements at once (power, voltage and current all frozen together). This is not realistic electricity behaviour; it looks like the meter or its communication link fails silently and keeps reporting its last known reading.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3400"/>
            <w:shd w:fill="F2F5F6" w:val="clear"/>
            <w:tcMar>
              <w:top w:type="dxa" w:w="160"/>
              <w:left w:type="dxa" w:w="160"/>
              <w:bottom w:type="dxa" w:w="160"/>
              <w:right w:type="dxa" w:w="160"/>
            </w:tcMar>
            <w:vAlign w:val="center"/>
          </w:tcPr>
          <w:p>
            <w:pPr>
              <w:spacing w:after="60"/>
              <w:jc w:val="center"/>
            </w:pPr>
            <w:r>
              <w:rPr>
                <w:b/>
                <w:bCs/>
                <w:color w:val="B23A48"/>
                <w:sz w:val="34"/>
                <w:szCs w:val="34"/>
              </w:rPr>
              <w:t xml:space="preserve">96%</w:t>
            </w:r>
          </w:p>
          <w:p>
            <w:pPr>
              <w:jc w:val="center"/>
            </w:pPr>
            <w:r>
              <w:rPr>
                <w:color w:val="444444"/>
                <w:sz w:val="18"/>
                <w:szCs w:val="18"/>
              </w:rPr>
              <w:t xml:space="preserve">of the 417 meters had at least one “stuck reading” episode</w:t>
            </w:r>
          </w:p>
        </w:tc>
        <w:tc>
          <w:tcPr>
            <w:tcW w:type="dxa" w:w="3400"/>
            <w:shd w:fill="F2F5F6" w:val="clear"/>
            <w:tcMar>
              <w:top w:type="dxa" w:w="160"/>
              <w:left w:type="dxa" w:w="160"/>
              <w:bottom w:type="dxa" w:w="160"/>
              <w:right w:type="dxa" w:w="160"/>
            </w:tcMar>
            <w:vAlign w:val="center"/>
          </w:tcPr>
          <w:p>
            <w:pPr>
              <w:spacing w:after="60"/>
              <w:jc w:val="center"/>
            </w:pPr>
            <w:r>
              <w:rPr>
                <w:b/>
                <w:bCs/>
                <w:color w:val="B23A48"/>
                <w:sz w:val="34"/>
                <w:szCs w:val="34"/>
              </w:rPr>
              <w:t xml:space="preserve">99</w:t>
            </w:r>
          </w:p>
          <w:p>
            <w:pPr>
              <w:jc w:val="center"/>
            </w:pPr>
            <w:r>
              <w:rPr>
                <w:color w:val="444444"/>
                <w:sz w:val="18"/>
                <w:szCs w:val="18"/>
              </w:rPr>
              <w:t xml:space="preserve">meters had at least one episode lasting more than 2 days</w:t>
            </w:r>
          </w:p>
        </w:tc>
      </w:tr>
    </w:tbl>
    <w:p>
      <w:pPr>
        <w:spacing w:before="220"/>
      </w:pPr>
    </w:p>
    <w:p>
      <w:pPr>
        <w:spacing w:after="160" w:line="300"/>
      </w:pPr>
      <w:r>
        <w:rPr>
          <w:color w:val="222222"/>
          <w:sz w:val="22"/>
          <w:szCs w:val="22"/>
        </w:rPr>
        <w:t xml:space="preserve">Two details point to a shared cause rather than individual faulty meters: first, when one circuit on a site freezes, the other circuits on that same physical meter almost always freeze at exactly the same time (true for 81 of the 86 affected installations); second, these events cluster — large numbers of meters go stale within the same hour, on the same day, again and again across the year.</w:t>
      </w:r>
    </w:p>
    <w:p>
      <w:pPr>
        <w:spacing w:after="200"/>
        <w:jc w:val="center"/>
      </w:pPr>
      <w:r>
        <w:drawing>
          <wp:inline distT="0" distB="0" distL="0" distR="0">
            <wp:extent cx="5760720" cy="29443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944368"/>
                    </a:xfrm>
                    <a:prstGeom prst="rect">
                      <a:avLst/>
                    </a:prstGeom>
                  </pic:spPr>
                </pic:pic>
              </a:graphicData>
            </a:graphic>
          </wp:inline>
        </w:drawing>
      </w:r>
    </w:p>
    <w:p>
      <w:pPr>
        <w:pStyle w:val="Heading2"/>
        <w:spacing w:after="120" w:before="220"/>
      </w:pPr>
      <w:r>
        <w:rPr>
          <w:b/>
          <w:bCs/>
          <w:color w:val="2E7D5B"/>
          <w:sz w:val="24"/>
          <w:szCs w:val="24"/>
        </w:rPr>
        <w:t xml:space="preserve">The largest events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1900"/>
        <w:gridCol w:w="2850"/>
      </w:tblGrid>
      <w:tr>
        <w:tc>
          <w:tcPr>
            <w:tcW w:type="dxa" w:w="2600"/>
            <w:shd w:fill="1F3B4D" w:val="clear"/>
            <w:tcMar>
              <w:top w:type="dxa" w:w="100"/>
              <w:left w:type="dxa" w:w="140"/>
              <w:bottom w:type="dxa" w:w="100"/>
              <w:right w:type="dxa" w:w="140"/>
            </w:tcMar>
          </w:tcPr>
          <w:p>
            <w:r>
              <w:rPr>
                <w:b/>
                <w:bCs/>
                <w:color w:val="FFFFFF"/>
                <w:sz w:val="20"/>
                <w:szCs w:val="20"/>
              </w:rPr>
              <w:t xml:space="preserve">When</w:t>
            </w:r>
          </w:p>
        </w:tc>
        <w:tc>
          <w:tcPr>
            <w:tcW w:type="dxa" w:w="3100"/>
            <w:shd w:fill="1F3B4D" w:val="clear"/>
            <w:tcMar>
              <w:top w:type="dxa" w:w="100"/>
              <w:left w:type="dxa" w:w="140"/>
              <w:bottom w:type="dxa" w:w="100"/>
              <w:right w:type="dxa" w:w="140"/>
            </w:tcMar>
          </w:tcPr>
          <w:p>
            <w:r>
              <w:rPr>
                <w:b/>
                <w:bCs/>
                <w:color w:val="FFFFFF"/>
                <w:sz w:val="20"/>
                <w:szCs w:val="20"/>
              </w:rPr>
              <w:t xml:space="preserve">Scale</w:t>
            </w:r>
          </w:p>
        </w:tc>
        <w:tc>
          <w:tcPr>
            <w:tcW w:type="dxa" w:w="1900"/>
            <w:shd w:fill="1F3B4D" w:val="clear"/>
            <w:tcMar>
              <w:top w:type="dxa" w:w="100"/>
              <w:left w:type="dxa" w:w="140"/>
              <w:bottom w:type="dxa" w:w="100"/>
              <w:right w:type="dxa" w:w="140"/>
            </w:tcMar>
          </w:tcPr>
          <w:p>
            <w:r>
              <w:rPr>
                <w:b/>
                <w:bCs/>
                <w:color w:val="FFFFFF"/>
                <w:sz w:val="20"/>
                <w:szCs w:val="20"/>
              </w:rPr>
              <w:t xml:space="preserve">Duration</w:t>
            </w:r>
          </w:p>
        </w:tc>
        <w:tc>
          <w:tcPr>
            <w:tcW w:type="dxa" w:w="2850"/>
            <w:shd w:fill="1F3B4D" w:val="clear"/>
            <w:tcMar>
              <w:top w:type="dxa" w:w="100"/>
              <w:left w:type="dxa" w:w="140"/>
              <w:bottom w:type="dxa" w:w="100"/>
              <w:right w:type="dxa" w:w="140"/>
            </w:tcMar>
          </w:tcPr>
          <w:p>
            <w:r>
              <w:rPr>
                <w:b/>
                <w:bCs/>
                <w:color w:val="FFFFFF"/>
                <w:sz w:val="20"/>
                <w:szCs w:val="20"/>
              </w:rPr>
              <w:t xml:space="preserve">Note</w:t>
            </w:r>
          </w:p>
        </w:tc>
      </w:tr>
      <w:tr>
        <w:tc>
          <w:tcPr>
            <w:tcW w:type="dxa" w:w="2600"/>
            <w:shd w:fill="FFFFFF" w:val="clear"/>
            <w:tcMar>
              <w:top w:type="dxa" w:w="90"/>
              <w:left w:type="dxa" w:w="140"/>
              <w:bottom w:type="dxa" w:w="90"/>
              <w:right w:type="dxa" w:w="140"/>
            </w:tcMar>
          </w:tcPr>
          <w:p>
            <w:r>
              <w:rPr>
                <w:sz w:val="20"/>
                <w:szCs w:val="20"/>
              </w:rPr>
              <w:t xml:space="preserve">18–20 Aug 2026</w:t>
            </w:r>
          </w:p>
        </w:tc>
        <w:tc>
          <w:tcPr>
            <w:tcW w:type="dxa" w:w="3100"/>
            <w:shd w:fill="FFFFFF" w:val="clear"/>
            <w:tcMar>
              <w:top w:type="dxa" w:w="90"/>
              <w:left w:type="dxa" w:w="140"/>
              <w:bottom w:type="dxa" w:w="90"/>
              <w:right w:type="dxa" w:w="140"/>
            </w:tcMar>
          </w:tcPr>
          <w:p>
            <w:r>
              <w:rPr>
                <w:sz w:val="20"/>
                <w:szCs w:val="20"/>
              </w:rPr>
              <w:t xml:space="preserve">up to 355 channels at once</w:t>
            </w:r>
          </w:p>
        </w:tc>
        <w:tc>
          <w:tcPr>
            <w:tcW w:type="dxa" w:w="1900"/>
            <w:shd w:fill="FFFFFF" w:val="clear"/>
            <w:tcMar>
              <w:top w:type="dxa" w:w="90"/>
              <w:left w:type="dxa" w:w="140"/>
              <w:bottom w:type="dxa" w:w="90"/>
              <w:right w:type="dxa" w:w="140"/>
            </w:tcMar>
          </w:tcPr>
          <w:p>
            <w:r>
              <w:rPr>
                <w:sz w:val="20"/>
                <w:szCs w:val="20"/>
              </w:rPr>
              <w:t xml:space="preserve">~2.4 days</w:t>
            </w:r>
          </w:p>
        </w:tc>
        <w:tc>
          <w:tcPr>
            <w:tcW w:type="dxa" w:w="2850"/>
            <w:shd w:fill="FFFFFF" w:val="clear"/>
            <w:tcMar>
              <w:top w:type="dxa" w:w="90"/>
              <w:left w:type="dxa" w:w="140"/>
              <w:bottom w:type="dxa" w:w="90"/>
              <w:right w:type="dxa" w:w="140"/>
            </w:tcMar>
          </w:tcPr>
          <w:p>
            <w:r>
              <w:rPr>
                <w:sz w:val="20"/>
                <w:szCs w:val="20"/>
              </w:rPr>
              <w:t xml:space="preserve">The largest shared event found</w:t>
            </w:r>
          </w:p>
        </w:tc>
      </w:tr>
      <w:tr>
        <w:tc>
          <w:tcPr>
            <w:tcW w:type="dxa" w:w="2600"/>
            <w:shd w:fill="F2F5F6" w:val="clear"/>
            <w:tcMar>
              <w:top w:type="dxa" w:w="90"/>
              <w:left w:type="dxa" w:w="140"/>
              <w:bottom w:type="dxa" w:w="90"/>
              <w:right w:type="dxa" w:w="140"/>
            </w:tcMar>
          </w:tcPr>
          <w:p>
            <w:r>
              <w:rPr>
                <w:sz w:val="20"/>
                <w:szCs w:val="20"/>
              </w:rPr>
              <w:t xml:space="preserve">28–31 Mar 2026</w:t>
            </w:r>
          </w:p>
        </w:tc>
        <w:tc>
          <w:tcPr>
            <w:tcW w:type="dxa" w:w="3100"/>
            <w:shd w:fill="F2F5F6" w:val="clear"/>
            <w:tcMar>
              <w:top w:type="dxa" w:w="90"/>
              <w:left w:type="dxa" w:w="140"/>
              <w:bottom w:type="dxa" w:w="90"/>
              <w:right w:type="dxa" w:w="140"/>
            </w:tcMar>
          </w:tcPr>
          <w:p>
            <w:r>
              <w:rPr>
                <w:sz w:val="20"/>
                <w:szCs w:val="20"/>
              </w:rPr>
              <w:t xml:space="preserve">up to 72 channels at once</w:t>
            </w:r>
          </w:p>
        </w:tc>
        <w:tc>
          <w:tcPr>
            <w:tcW w:type="dxa" w:w="1900"/>
            <w:shd w:fill="F2F5F6" w:val="clear"/>
            <w:tcMar>
              <w:top w:type="dxa" w:w="90"/>
              <w:left w:type="dxa" w:w="140"/>
              <w:bottom w:type="dxa" w:w="90"/>
              <w:right w:type="dxa" w:w="140"/>
            </w:tcMar>
          </w:tcPr>
          <w:p>
            <w:r>
              <w:rPr>
                <w:sz w:val="20"/>
                <w:szCs w:val="20"/>
              </w:rPr>
              <w:t xml:space="preserve">up to 3.5 days</w:t>
            </w:r>
          </w:p>
        </w:tc>
        <w:tc>
          <w:tcPr>
            <w:tcW w:type="dxa" w:w="2850"/>
            <w:shd w:fill="F2F5F6" w:val="clear"/>
            <w:tcMar>
              <w:top w:type="dxa" w:w="90"/>
              <w:left w:type="dxa" w:w="140"/>
              <w:bottom w:type="dxa" w:w="90"/>
              <w:right w:type="dxa" w:w="140"/>
            </w:tcMar>
          </w:tcPr>
          <w:p>
            <w:r>
              <w:rPr>
                <w:sz w:val="20"/>
                <w:szCs w:val="20"/>
              </w:rPr>
              <w:t xml:space="preserve">Second-largest shared event</w:t>
            </w:r>
          </w:p>
        </w:tc>
      </w:tr>
      <w:tr>
        <w:tc>
          <w:tcPr>
            <w:tcW w:type="dxa" w:w="2600"/>
            <w:shd w:fill="FFFFFF" w:val="clear"/>
            <w:tcMar>
              <w:top w:type="dxa" w:w="90"/>
              <w:left w:type="dxa" w:w="140"/>
              <w:bottom w:type="dxa" w:w="90"/>
              <w:right w:type="dxa" w:w="140"/>
            </w:tcMar>
          </w:tcPr>
          <w:p>
            <w:r>
              <w:rPr>
                <w:sz w:val="20"/>
                <w:szCs w:val="20"/>
              </w:rPr>
              <w:t xml:space="preserve">23–30 Jan 2026</w:t>
            </w:r>
          </w:p>
        </w:tc>
        <w:tc>
          <w:tcPr>
            <w:tcW w:type="dxa" w:w="3100"/>
            <w:shd w:fill="FFFFFF" w:val="clear"/>
            <w:tcMar>
              <w:top w:type="dxa" w:w="90"/>
              <w:left w:type="dxa" w:w="140"/>
              <w:bottom w:type="dxa" w:w="90"/>
              <w:right w:type="dxa" w:w="140"/>
            </w:tcMar>
          </w:tcPr>
          <w:p>
            <w:r>
              <w:rPr>
                <w:sz w:val="20"/>
                <w:szCs w:val="20"/>
              </w:rPr>
              <w:t xml:space="preserve">3 channels, one installation</w:t>
            </w:r>
          </w:p>
        </w:tc>
        <w:tc>
          <w:tcPr>
            <w:tcW w:type="dxa" w:w="1900"/>
            <w:shd w:fill="FFFFFF" w:val="clear"/>
            <w:tcMar>
              <w:top w:type="dxa" w:w="90"/>
              <w:left w:type="dxa" w:w="140"/>
              <w:bottom w:type="dxa" w:w="90"/>
              <w:right w:type="dxa" w:w="140"/>
            </w:tcMar>
          </w:tcPr>
          <w:p>
            <w:r>
              <w:rPr>
                <w:sz w:val="20"/>
                <w:szCs w:val="20"/>
              </w:rPr>
              <w:t xml:space="preserve">6.7 days</w:t>
            </w:r>
          </w:p>
        </w:tc>
        <w:tc>
          <w:tcPr>
            <w:tcW w:type="dxa" w:w="2850"/>
            <w:shd w:fill="FFFFFF" w:val="clear"/>
            <w:tcMar>
              <w:top w:type="dxa" w:w="90"/>
              <w:left w:type="dxa" w:w="140"/>
              <w:bottom w:type="dxa" w:w="90"/>
              <w:right w:type="dxa" w:w="140"/>
            </w:tcMar>
          </w:tcPr>
          <w:p>
            <w:r>
              <w:rPr>
                <w:sz w:val="20"/>
                <w:szCs w:val="20"/>
              </w:rPr>
              <w:t xml:space="preserve">Longest single freeze found</w:t>
            </w:r>
          </w:p>
        </w:tc>
      </w:tr>
      <w:tr>
        <w:tc>
          <w:tcPr>
            <w:tcW w:type="dxa" w:w="2600"/>
            <w:shd w:fill="F2F5F6" w:val="clear"/>
            <w:tcMar>
              <w:top w:type="dxa" w:w="90"/>
              <w:left w:type="dxa" w:w="140"/>
              <w:bottom w:type="dxa" w:w="90"/>
              <w:right w:type="dxa" w:w="140"/>
            </w:tcMar>
          </w:tcPr>
          <w:p>
            <w:r>
              <w:rPr>
                <w:sz w:val="20"/>
                <w:szCs w:val="20"/>
              </w:rPr>
              <w:t xml:space="preserve">22–28 May 2026</w:t>
            </w:r>
          </w:p>
        </w:tc>
        <w:tc>
          <w:tcPr>
            <w:tcW w:type="dxa" w:w="3100"/>
            <w:shd w:fill="F2F5F6" w:val="clear"/>
            <w:tcMar>
              <w:top w:type="dxa" w:w="90"/>
              <w:left w:type="dxa" w:w="140"/>
              <w:bottom w:type="dxa" w:w="90"/>
              <w:right w:type="dxa" w:w="140"/>
            </w:tcMar>
          </w:tcPr>
          <w:p>
            <w:r>
              <w:rPr>
                <w:sz w:val="20"/>
                <w:szCs w:val="20"/>
              </w:rPr>
              <w:t xml:space="preserve">6 channels, one installation</w:t>
            </w:r>
          </w:p>
        </w:tc>
        <w:tc>
          <w:tcPr>
            <w:tcW w:type="dxa" w:w="1900"/>
            <w:shd w:fill="F2F5F6" w:val="clear"/>
            <w:tcMar>
              <w:top w:type="dxa" w:w="90"/>
              <w:left w:type="dxa" w:w="140"/>
              <w:bottom w:type="dxa" w:w="90"/>
              <w:right w:type="dxa" w:w="140"/>
            </w:tcMar>
          </w:tcPr>
          <w:p>
            <w:r>
              <w:rPr>
                <w:sz w:val="20"/>
                <w:szCs w:val="20"/>
              </w:rPr>
              <w:t xml:space="preserve">6.3 days</w:t>
            </w:r>
          </w:p>
        </w:tc>
        <w:tc>
          <w:tcPr>
            <w:tcW w:type="dxa" w:w="2850"/>
            <w:shd w:fill="F2F5F6" w:val="clear"/>
            <w:tcMar>
              <w:top w:type="dxa" w:w="90"/>
              <w:left w:type="dxa" w:w="140"/>
              <w:bottom w:type="dxa" w:w="90"/>
              <w:right w:type="dxa" w:w="140"/>
            </w:tcMar>
          </w:tcPr>
          <w:p>
            <w:r>
              <w:rPr>
                <w:sz w:val="20"/>
                <w:szCs w:val="20"/>
              </w:rPr>
              <w:t xml:space="preserve">Whole installation frozen together</w:t>
            </w:r>
          </w:p>
        </w:tc>
      </w:tr>
    </w:tbl>
    <w:p>
      <w:pPr>
        <w:spacing w:after="160" w:line="300"/>
      </w:pPr>
      <w:r>
        <w:rPr>
          <w:color w:val="222222"/>
          <w:sz w:val="22"/>
          <w:szCs w:val="22"/>
        </w:rPr>
        <w:t xml:space="preserve">We identified and excluded every one of these stuck-reading periods before calculating the “normal” patterns in this report, so the findings above are not distorted by this issue. But the missing/stuck data is itself worth acting on — it represents real information you are not receiving during those windows, and the recurring, sitewide nature of it suggests a shared infrastructure or communications problem worth raising with your metering or data provider, particularly the 18–20 August event, which affected up to 355 channels simultaneously.</w:t>
      </w:r>
    </w:p>
    <w:p>
      <w:pPr>
        <w:pStyle w:val="Heading1"/>
        <w:pBdr>
          <w:bottom w:val="single" w:color="1F3B4D" w:sz="6" w:space="4"/>
        </w:pBdr>
        <w:spacing w:after="160" w:before="320"/>
      </w:pPr>
      <w:r>
        <w:rPr>
          <w:b/>
          <w:bCs/>
          <w:color w:val="1F3B4D"/>
          <w:sz w:val="30"/>
          <w:szCs w:val="30"/>
        </w:rPr>
        <w:t xml:space="preserve">5. What “Normal” Looks Like, Day to Day</w:t>
      </w:r>
    </w:p>
    <w:p>
      <w:pPr>
        <w:spacing w:after="160" w:line="300"/>
      </w:pPr>
      <w:r>
        <w:rPr>
          <w:color w:val="222222"/>
          <w:sz w:val="22"/>
          <w:szCs w:val="22"/>
        </w:rPr>
        <w:t xml:space="preserve">Beyond the season-vs-stable split, we looked for specific, recognisable everyday behaviours — the kind of thing a site manager would recognise. A single meter can show more than one of these at once (for example, “always on” plus “busier on weekdays”).</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750"/>
      </w:tblGrid>
      <w:tr>
        <w:tc>
          <w:tcPr>
            <w:tcW w:type="dxa" w:w="3200"/>
            <w:shd w:fill="1F3B4D" w:val="clear"/>
            <w:tcMar>
              <w:top w:type="dxa" w:w="100"/>
              <w:left w:type="dxa" w:w="140"/>
              <w:bottom w:type="dxa" w:w="100"/>
              <w:right w:type="dxa" w:w="140"/>
            </w:tcMar>
          </w:tcPr>
          <w:p>
            <w:r>
              <w:rPr>
                <w:b/>
                <w:bCs/>
                <w:color w:val="FFFFFF"/>
                <w:sz w:val="20"/>
                <w:szCs w:val="20"/>
              </w:rPr>
              <w:t xml:space="preserve">Everyday pattern</w:t>
            </w:r>
          </w:p>
        </w:tc>
        <w:tc>
          <w:tcPr>
            <w:tcW w:type="dxa" w:w="1700"/>
            <w:shd w:fill="1F3B4D" w:val="clear"/>
            <w:tcMar>
              <w:top w:type="dxa" w:w="100"/>
              <w:left w:type="dxa" w:w="140"/>
              <w:bottom w:type="dxa" w:w="100"/>
              <w:right w:type="dxa" w:w="140"/>
            </w:tcMar>
          </w:tcPr>
          <w:p>
            <w:r>
              <w:rPr>
                <w:b/>
                <w:bCs/>
                <w:color w:val="FFFFFF"/>
                <w:sz w:val="20"/>
                <w:szCs w:val="20"/>
              </w:rPr>
              <w:t xml:space="preserve">Meters showing it</w:t>
            </w:r>
          </w:p>
        </w:tc>
        <w:tc>
          <w:tcPr>
            <w:tcW w:type="dxa" w:w="4750"/>
            <w:shd w:fill="1F3B4D" w:val="clear"/>
            <w:tcMar>
              <w:top w:type="dxa" w:w="100"/>
              <w:left w:type="dxa" w:w="140"/>
              <w:bottom w:type="dxa" w:w="100"/>
              <w:right w:type="dxa" w:w="140"/>
            </w:tcMar>
          </w:tcPr>
          <w:p>
            <w:r>
              <w:rPr>
                <w:b/>
                <w:bCs/>
                <w:color w:val="FFFFFF"/>
                <w:sz w:val="20"/>
                <w:szCs w:val="20"/>
              </w:rPr>
              <w:t xml:space="preserve">What it usually means</w:t>
            </w:r>
          </w:p>
        </w:tc>
      </w:tr>
      <w:tr>
        <w:tc>
          <w:tcPr>
            <w:tcW w:type="dxa" w:w="3200"/>
            <w:shd w:fill="FFFFFF" w:val="clear"/>
            <w:tcMar>
              <w:top w:type="dxa" w:w="90"/>
              <w:left w:type="dxa" w:w="140"/>
              <w:bottom w:type="dxa" w:w="90"/>
              <w:right w:type="dxa" w:w="140"/>
            </w:tcMar>
          </w:tcPr>
          <w:p>
            <w:r>
              <w:rPr>
                <w:sz w:val="20"/>
                <w:szCs w:val="20"/>
              </w:rPr>
              <w:t xml:space="preserve">Busier during the day than overnight</w:t>
            </w:r>
          </w:p>
        </w:tc>
        <w:tc>
          <w:tcPr>
            <w:tcW w:type="dxa" w:w="1700"/>
            <w:shd w:fill="FFFFFF" w:val="clear"/>
            <w:tcMar>
              <w:top w:type="dxa" w:w="90"/>
              <w:left w:type="dxa" w:w="140"/>
              <w:bottom w:type="dxa" w:w="90"/>
              <w:right w:type="dxa" w:w="140"/>
            </w:tcMar>
          </w:tcPr>
          <w:p>
            <w:r>
              <w:rPr>
                <w:sz w:val="20"/>
                <w:szCs w:val="20"/>
              </w:rPr>
              <w:t xml:space="preserve">282</w:t>
            </w:r>
          </w:p>
        </w:tc>
        <w:tc>
          <w:tcPr>
            <w:tcW w:type="dxa" w:w="4750"/>
            <w:shd w:fill="FFFFFF" w:val="clear"/>
            <w:tcMar>
              <w:top w:type="dxa" w:w="90"/>
              <w:left w:type="dxa" w:w="140"/>
              <w:bottom w:type="dxa" w:w="90"/>
              <w:right w:type="dxa" w:w="140"/>
            </w:tcMar>
          </w:tcPr>
          <w:p>
            <w:r>
              <w:rPr>
                <w:sz w:val="20"/>
                <w:szCs w:val="20"/>
              </w:rPr>
              <w:t xml:space="preserve">Typical for most business and site loads</w:t>
            </w:r>
          </w:p>
        </w:tc>
      </w:tr>
      <w:tr>
        <w:tc>
          <w:tcPr>
            <w:tcW w:type="dxa" w:w="3200"/>
            <w:shd w:fill="F2F5F6" w:val="clear"/>
            <w:tcMar>
              <w:top w:type="dxa" w:w="90"/>
              <w:left w:type="dxa" w:w="140"/>
              <w:bottom w:type="dxa" w:w="90"/>
              <w:right w:type="dxa" w:w="140"/>
            </w:tcMar>
          </w:tcPr>
          <w:p>
            <w:r>
              <w:rPr>
                <w:sz w:val="20"/>
                <w:szCs w:val="20"/>
              </w:rPr>
              <w:t xml:space="preserve">Very low overnight usage</w:t>
            </w:r>
          </w:p>
        </w:tc>
        <w:tc>
          <w:tcPr>
            <w:tcW w:type="dxa" w:w="1700"/>
            <w:shd w:fill="F2F5F6" w:val="clear"/>
            <w:tcMar>
              <w:top w:type="dxa" w:w="90"/>
              <w:left w:type="dxa" w:w="140"/>
              <w:bottom w:type="dxa" w:w="90"/>
              <w:right w:type="dxa" w:w="140"/>
            </w:tcMar>
          </w:tcPr>
          <w:p>
            <w:r>
              <w:rPr>
                <w:sz w:val="20"/>
                <w:szCs w:val="20"/>
              </w:rPr>
              <w:t xml:space="preserve">90</w:t>
            </w:r>
          </w:p>
        </w:tc>
        <w:tc>
          <w:tcPr>
            <w:tcW w:type="dxa" w:w="4750"/>
            <w:shd w:fill="F2F5F6" w:val="clear"/>
            <w:tcMar>
              <w:top w:type="dxa" w:w="90"/>
              <w:left w:type="dxa" w:w="140"/>
              <w:bottom w:type="dxa" w:w="90"/>
              <w:right w:type="dxa" w:w="140"/>
            </w:tcMar>
          </w:tcPr>
          <w:p>
            <w:r>
              <w:rPr>
                <w:sz w:val="20"/>
                <w:szCs w:val="20"/>
              </w:rPr>
              <w:t xml:space="preserve">No significant unnecessary overnight draw</w:t>
            </w:r>
          </w:p>
        </w:tc>
      </w:tr>
      <w:tr>
        <w:tc>
          <w:tcPr>
            <w:tcW w:type="dxa" w:w="3200"/>
            <w:shd w:fill="FFFFFF" w:val="clear"/>
            <w:tcMar>
              <w:top w:type="dxa" w:w="90"/>
              <w:left w:type="dxa" w:w="140"/>
              <w:bottom w:type="dxa" w:w="90"/>
              <w:right w:type="dxa" w:w="140"/>
            </w:tcMar>
          </w:tcPr>
          <w:p>
            <w:r>
              <w:rPr>
                <w:sz w:val="20"/>
                <w:szCs w:val="20"/>
              </w:rPr>
              <w:t xml:space="preserve">Always on, rarely fully idle</w:t>
            </w:r>
          </w:p>
        </w:tc>
        <w:tc>
          <w:tcPr>
            <w:tcW w:type="dxa" w:w="1700"/>
            <w:shd w:fill="FFFFFF" w:val="clear"/>
            <w:tcMar>
              <w:top w:type="dxa" w:w="90"/>
              <w:left w:type="dxa" w:w="140"/>
              <w:bottom w:type="dxa" w:w="90"/>
              <w:right w:type="dxa" w:w="140"/>
            </w:tcMar>
          </w:tcPr>
          <w:p>
            <w:r>
              <w:rPr>
                <w:sz w:val="20"/>
                <w:szCs w:val="20"/>
              </w:rPr>
              <w:t xml:space="preserve">71</w:t>
            </w:r>
          </w:p>
        </w:tc>
        <w:tc>
          <w:tcPr>
            <w:tcW w:type="dxa" w:w="4750"/>
            <w:shd w:fill="FFFFFF" w:val="clear"/>
            <w:tcMar>
              <w:top w:type="dxa" w:w="90"/>
              <w:left w:type="dxa" w:w="140"/>
              <w:bottom w:type="dxa" w:w="90"/>
              <w:right w:type="dxa" w:w="140"/>
            </w:tcMar>
          </w:tcPr>
          <w:p>
            <w:r>
              <w:rPr>
                <w:sz w:val="20"/>
                <w:szCs w:val="20"/>
              </w:rPr>
              <w:t xml:space="preserve">Continuous equipment — fridges, servers, always-on circuits</w:t>
            </w:r>
          </w:p>
        </w:tc>
      </w:tr>
      <w:tr>
        <w:tc>
          <w:tcPr>
            <w:tcW w:type="dxa" w:w="3200"/>
            <w:shd w:fill="F2F5F6" w:val="clear"/>
            <w:tcMar>
              <w:top w:type="dxa" w:w="90"/>
              <w:left w:type="dxa" w:w="140"/>
              <w:bottom w:type="dxa" w:w="90"/>
              <w:right w:type="dxa" w:w="140"/>
            </w:tcMar>
          </w:tcPr>
          <w:p>
            <w:r>
              <w:rPr>
                <w:sz w:val="20"/>
                <w:szCs w:val="20"/>
              </w:rPr>
              <w:t xml:space="preserve">Regular on/off cycling</w:t>
            </w:r>
          </w:p>
        </w:tc>
        <w:tc>
          <w:tcPr>
            <w:tcW w:type="dxa" w:w="1700"/>
            <w:shd w:fill="F2F5F6" w:val="clear"/>
            <w:tcMar>
              <w:top w:type="dxa" w:w="90"/>
              <w:left w:type="dxa" w:w="140"/>
              <w:bottom w:type="dxa" w:w="90"/>
              <w:right w:type="dxa" w:w="140"/>
            </w:tcMar>
          </w:tcPr>
          <w:p>
            <w:r>
              <w:rPr>
                <w:sz w:val="20"/>
                <w:szCs w:val="20"/>
              </w:rPr>
              <w:t xml:space="preserve">116</w:t>
            </w:r>
          </w:p>
        </w:tc>
        <w:tc>
          <w:tcPr>
            <w:tcW w:type="dxa" w:w="4750"/>
            <w:shd w:fill="F2F5F6" w:val="clear"/>
            <w:tcMar>
              <w:top w:type="dxa" w:w="90"/>
              <w:left w:type="dxa" w:w="140"/>
              <w:bottom w:type="dxa" w:w="90"/>
              <w:right w:type="dxa" w:w="140"/>
            </w:tcMar>
          </w:tcPr>
          <w:p>
            <w:r>
              <w:rPr>
                <w:sz w:val="20"/>
                <w:szCs w:val="20"/>
              </w:rPr>
              <w:t xml:space="preserve">Pumps, compressors, EV chargers switching in a repeatable rhythm</w:t>
            </w:r>
          </w:p>
        </w:tc>
      </w:tr>
      <w:tr>
        <w:tc>
          <w:tcPr>
            <w:tcW w:type="dxa" w:w="3200"/>
            <w:shd w:fill="FFFFFF" w:val="clear"/>
            <w:tcMar>
              <w:top w:type="dxa" w:w="90"/>
              <w:left w:type="dxa" w:w="140"/>
              <w:bottom w:type="dxa" w:w="90"/>
              <w:right w:type="dxa" w:w="140"/>
            </w:tcMar>
          </w:tcPr>
          <w:p>
            <w:r>
              <w:rPr>
                <w:sz w:val="20"/>
                <w:szCs w:val="20"/>
              </w:rPr>
              <w:t xml:space="preserve">Midday solar production</w:t>
            </w:r>
          </w:p>
        </w:tc>
        <w:tc>
          <w:tcPr>
            <w:tcW w:type="dxa" w:w="1700"/>
            <w:shd w:fill="FFFFFF" w:val="clear"/>
            <w:tcMar>
              <w:top w:type="dxa" w:w="90"/>
              <w:left w:type="dxa" w:w="140"/>
              <w:bottom w:type="dxa" w:w="90"/>
              <w:right w:type="dxa" w:w="140"/>
            </w:tcMar>
          </w:tcPr>
          <w:p>
            <w:r>
              <w:rPr>
                <w:sz w:val="20"/>
                <w:szCs w:val="20"/>
              </w:rPr>
              <w:t xml:space="preserve">53</w:t>
            </w:r>
          </w:p>
        </w:tc>
        <w:tc>
          <w:tcPr>
            <w:tcW w:type="dxa" w:w="4750"/>
            <w:shd w:fill="FFFFFF" w:val="clear"/>
            <w:tcMar>
              <w:top w:type="dxa" w:w="90"/>
              <w:left w:type="dxa" w:w="140"/>
              <w:bottom w:type="dxa" w:w="90"/>
              <w:right w:type="dxa" w:w="140"/>
            </w:tcMar>
          </w:tcPr>
          <w:p>
            <w:r>
              <w:rPr>
                <w:sz w:val="20"/>
                <w:szCs w:val="20"/>
              </w:rPr>
              <w:t xml:space="preserve">Matches expected solar panel behaviour</w:t>
            </w:r>
          </w:p>
        </w:tc>
      </w:tr>
      <w:tr>
        <w:tc>
          <w:tcPr>
            <w:tcW w:type="dxa" w:w="3200"/>
            <w:shd w:fill="F2F5F6" w:val="clear"/>
            <w:tcMar>
              <w:top w:type="dxa" w:w="90"/>
              <w:left w:type="dxa" w:w="140"/>
              <w:bottom w:type="dxa" w:w="90"/>
              <w:right w:type="dxa" w:w="140"/>
            </w:tcMar>
          </w:tcPr>
          <w:p>
            <w:r>
              <w:rPr>
                <w:sz w:val="20"/>
                <w:szCs w:val="20"/>
              </w:rPr>
              <w:t xml:space="preserve">One clear peak time each day</w:t>
            </w:r>
          </w:p>
        </w:tc>
        <w:tc>
          <w:tcPr>
            <w:tcW w:type="dxa" w:w="1700"/>
            <w:shd w:fill="F2F5F6" w:val="clear"/>
            <w:tcMar>
              <w:top w:type="dxa" w:w="90"/>
              <w:left w:type="dxa" w:w="140"/>
              <w:bottom w:type="dxa" w:w="90"/>
              <w:right w:type="dxa" w:w="140"/>
            </w:tcMar>
          </w:tcPr>
          <w:p>
            <w:r>
              <w:rPr>
                <w:sz w:val="20"/>
                <w:szCs w:val="20"/>
              </w:rPr>
              <w:t xml:space="preserve">112</w:t>
            </w:r>
          </w:p>
        </w:tc>
        <w:tc>
          <w:tcPr>
            <w:tcW w:type="dxa" w:w="4750"/>
            <w:shd w:fill="F2F5F6" w:val="clear"/>
            <w:tcMar>
              <w:top w:type="dxa" w:w="90"/>
              <w:left w:type="dxa" w:w="140"/>
              <w:bottom w:type="dxa" w:w="90"/>
              <w:right w:type="dxa" w:w="140"/>
            </w:tcMar>
          </w:tcPr>
          <w:p>
            <w:r>
              <w:rPr>
                <w:sz w:val="20"/>
                <w:szCs w:val="20"/>
              </w:rPr>
              <w:t xml:space="preserve">A defined morning, midday, afternoon, evening or overnight peak</w:t>
            </w:r>
          </w:p>
        </w:tc>
      </w:tr>
      <w:tr>
        <w:tc>
          <w:tcPr>
            <w:tcW w:type="dxa" w:w="3200"/>
            <w:shd w:fill="FFFFFF" w:val="clear"/>
            <w:tcMar>
              <w:top w:type="dxa" w:w="90"/>
              <w:left w:type="dxa" w:w="140"/>
              <w:bottom w:type="dxa" w:w="90"/>
              <w:right w:type="dxa" w:w="140"/>
            </w:tcMar>
          </w:tcPr>
          <w:p>
            <w:r>
              <w:rPr>
                <w:sz w:val="20"/>
                <w:szCs w:val="20"/>
              </w:rPr>
              <w:t xml:space="preserve">Mainly active on weekdays</w:t>
            </w:r>
          </w:p>
        </w:tc>
        <w:tc>
          <w:tcPr>
            <w:tcW w:type="dxa" w:w="1700"/>
            <w:shd w:fill="FFFFFF" w:val="clear"/>
            <w:tcMar>
              <w:top w:type="dxa" w:w="90"/>
              <w:left w:type="dxa" w:w="140"/>
              <w:bottom w:type="dxa" w:w="90"/>
              <w:right w:type="dxa" w:w="140"/>
            </w:tcMar>
          </w:tcPr>
          <w:p>
            <w:r>
              <w:rPr>
                <w:sz w:val="20"/>
                <w:szCs w:val="20"/>
              </w:rPr>
              <w:t xml:space="preserve">~130</w:t>
            </w:r>
          </w:p>
        </w:tc>
        <w:tc>
          <w:tcPr>
            <w:tcW w:type="dxa" w:w="4750"/>
            <w:shd w:fill="FFFFFF" w:val="clear"/>
            <w:tcMar>
              <w:top w:type="dxa" w:w="90"/>
              <w:left w:type="dxa" w:w="140"/>
              <w:bottom w:type="dxa" w:w="90"/>
              <w:right w:type="dxa" w:w="140"/>
            </w:tcMar>
          </w:tcPr>
          <w:p>
            <w:r>
              <w:rPr>
                <w:sz w:val="20"/>
                <w:szCs w:val="20"/>
              </w:rPr>
              <w:t xml:space="preserve">Site scales down on weekends</w:t>
            </w:r>
          </w:p>
        </w:tc>
      </w:tr>
      <w:tr>
        <w:tc>
          <w:tcPr>
            <w:tcW w:type="dxa" w:w="3200"/>
            <w:shd w:fill="F2F5F6" w:val="clear"/>
            <w:tcMar>
              <w:top w:type="dxa" w:w="90"/>
              <w:left w:type="dxa" w:w="140"/>
              <w:bottom w:type="dxa" w:w="90"/>
              <w:right w:type="dxa" w:w="140"/>
            </w:tcMar>
          </w:tcPr>
          <w:p>
            <w:r>
              <w:rPr>
                <w:sz w:val="20"/>
                <w:szCs w:val="20"/>
              </w:rPr>
              <w:t xml:space="preserve">Same energy on weekends, different timing</w:t>
            </w:r>
          </w:p>
        </w:tc>
        <w:tc>
          <w:tcPr>
            <w:tcW w:type="dxa" w:w="1700"/>
            <w:shd w:fill="F2F5F6" w:val="clear"/>
            <w:tcMar>
              <w:top w:type="dxa" w:w="90"/>
              <w:left w:type="dxa" w:w="140"/>
              <w:bottom w:type="dxa" w:w="90"/>
              <w:right w:type="dxa" w:w="140"/>
            </w:tcMar>
          </w:tcPr>
          <w:p>
            <w:r>
              <w:rPr>
                <w:sz w:val="20"/>
                <w:szCs w:val="20"/>
              </w:rPr>
              <w:t xml:space="preserve">13</w:t>
            </w:r>
          </w:p>
        </w:tc>
        <w:tc>
          <w:tcPr>
            <w:tcW w:type="dxa" w:w="4750"/>
            <w:shd w:fill="F2F5F6" w:val="clear"/>
            <w:tcMar>
              <w:top w:type="dxa" w:w="90"/>
              <w:left w:type="dxa" w:w="140"/>
              <w:bottom w:type="dxa" w:w="90"/>
              <w:right w:type="dxa" w:w="140"/>
            </w:tcMar>
          </w:tcPr>
          <w:p>
            <w:r>
              <w:rPr>
                <w:sz w:val="20"/>
                <w:szCs w:val="20"/>
              </w:rPr>
              <w:t xml:space="preserve">Worth an operational look — routine shifts but doesn't reduce</w:t>
            </w:r>
          </w:p>
        </w:tc>
      </w:tr>
    </w:tbl>
    <w:p>
      <w:pPr>
        <w:pStyle w:val="Heading1"/>
        <w:pBdr>
          <w:bottom w:val="single" w:color="1F3B4D" w:sz="6" w:space="4"/>
        </w:pBdr>
        <w:spacing w:after="160" w:before="320"/>
      </w:pPr>
      <w:r>
        <w:rPr>
          <w:b/>
          <w:bCs/>
          <w:color w:val="1F3B4D"/>
          <w:sz w:val="30"/>
          <w:szCs w:val="30"/>
        </w:rPr>
        <w:t xml:space="preserve">6. How Complete Is the Data?</w:t>
      </w:r>
    </w:p>
    <w:p>
      <w:pPr>
        <w:spacing w:after="160" w:line="300"/>
      </w:pPr>
      <w:r>
        <w:rPr>
          <w:color w:val="222222"/>
          <w:sz w:val="22"/>
          <w:szCs w:val="22"/>
        </w:rPr>
        <w:t xml:space="preserve">Meter readings are taken every 5 minutes, so a full record for the ~10-month period is roughly 88,000 readings per meter. Most meters are close to complete:</w:t>
      </w:r>
    </w:p>
    <w:p>
      <w:pPr>
        <w:pStyle w:val="ListParagraph"/>
        <w:numPr>
          <w:ilvl w:val="0"/>
          <w:numId w:val="1"/>
        </w:numPr>
        <w:spacing w:after="90" w:line="290"/>
      </w:pPr>
      <w:r>
        <w:rPr>
          <w:b w:val="false"/>
          <w:bCs w:val="false"/>
          <w:sz w:val="22"/>
          <w:szCs w:val="22"/>
        </w:rPr>
        <w:t xml:space="preserve">339 of 417 meters (81%) have at least 95% of their expected readings.</w:t>
      </w:r>
    </w:p>
    <w:p>
      <w:pPr>
        <w:pStyle w:val="ListParagraph"/>
        <w:numPr>
          <w:ilvl w:val="0"/>
          <w:numId w:val="1"/>
        </w:numPr>
        <w:spacing w:after="90" w:line="290"/>
      </w:pPr>
      <w:r>
        <w:rPr>
          <w:b w:val="false"/>
          <w:bCs w:val="false"/>
          <w:sz w:val="22"/>
          <w:szCs w:val="22"/>
        </w:rPr>
        <w:t xml:space="preserve">66 meters (16%) are missing a moderate amount — between 5% and 20% of readings.</w:t>
      </w:r>
    </w:p>
    <w:p>
      <w:pPr>
        <w:pStyle w:val="ListParagraph"/>
        <w:numPr>
          <w:ilvl w:val="0"/>
          <w:numId w:val="1"/>
        </w:numPr>
        <w:spacing w:after="90" w:line="290"/>
      </w:pPr>
      <w:r>
        <w:rPr>
          <w:b w:val="false"/>
          <w:bCs w:val="false"/>
          <w:sz w:val="22"/>
          <w:szCs w:val="22"/>
        </w:rPr>
        <w:t xml:space="preserve">12 meters (3%) have significant gaps, generally matching a small number of installations already known to have had extended outages earlier in the project.</w:t>
      </w:r>
    </w:p>
    <w:p>
      <w:pPr>
        <w:spacing w:after="160" w:line="300"/>
      </w:pPr>
      <w:r>
        <w:rPr>
          <w:color w:val="222222"/>
          <w:sz w:val="22"/>
          <w:szCs w:val="22"/>
        </w:rPr>
        <w:t xml:space="preserve">Missing readings were never assumed to be zero usage — they are treated as “we don't know,” and excluded from every calculation above, so a gap in the data cannot masquerade as quiet or normal behaviour.</w:t>
      </w:r>
    </w:p>
    <w:p>
      <w:pPr>
        <w:pStyle w:val="Heading1"/>
        <w:pBdr>
          <w:bottom w:val="single" w:color="1F3B4D" w:sz="6" w:space="4"/>
        </w:pBdr>
        <w:spacing w:after="160" w:before="320"/>
      </w:pPr>
      <w:r>
        <w:rPr>
          <w:b/>
          <w:bCs/>
          <w:color w:val="1F3B4D"/>
          <w:sz w:val="30"/>
          <w:szCs w:val="30"/>
        </w:rPr>
        <w:t xml:space="preserve">7. Limitations and Suggested Next Steps</w:t>
      </w:r>
    </w:p>
    <w:p>
      <w:pPr>
        <w:pStyle w:val="ListParagraph"/>
        <w:numPr>
          <w:ilvl w:val="0"/>
          <w:numId w:val="1"/>
        </w:numPr>
        <w:spacing w:after="90" w:line="290"/>
      </w:pPr>
      <w:r>
        <w:rPr>
          <w:b/>
          <w:bCs/>
          <w:sz w:val="22"/>
          <w:szCs w:val="22"/>
        </w:rPr>
        <w:t xml:space="preserve">This report describes typical behaviour; it does not diagnose or flag individual events as faults. It's the reference point future monitoring can be compared against.</w:t>
      </w:r>
    </w:p>
    <w:p>
      <w:pPr>
        <w:pStyle w:val="ListParagraph"/>
        <w:numPr>
          <w:ilvl w:val="0"/>
          <w:numId w:val="1"/>
        </w:numPr>
        <w:spacing w:after="90" w:line="290"/>
      </w:pPr>
      <w:r>
        <w:rPr>
          <w:b/>
          <w:bCs/>
          <w:sz w:val="22"/>
          <w:szCs w:val="22"/>
        </w:rPr>
        <w:t xml:space="preserve">Because so many equipment types genuinely behave differently by season, “normal” for those meters is best understood as two profiles (warm months and cool months) rather than one number.</w:t>
      </w:r>
    </w:p>
    <w:p>
      <w:pPr>
        <w:pStyle w:val="ListParagraph"/>
        <w:numPr>
          <w:ilvl w:val="0"/>
          <w:numId w:val="1"/>
        </w:numPr>
        <w:spacing w:after="90" w:line="290"/>
      </w:pPr>
      <w:r>
        <w:rPr>
          <w:b/>
          <w:bCs/>
          <w:sz w:val="22"/>
          <w:szCs w:val="22"/>
        </w:rPr>
        <w:t xml:space="preserve">The recurring “stuck reading” issue (Section 4) is the most actionable item here — we'd recommend raising it with your meter or data provider, starting with the 18–20 August event.</w:t>
      </w:r>
    </w:p>
    <w:p>
      <w:pPr>
        <w:pStyle w:val="ListParagraph"/>
        <w:numPr>
          <w:ilvl w:val="0"/>
          <w:numId w:val="1"/>
        </w:numPr>
        <w:spacing w:after="90" w:line="290"/>
      </w:pPr>
      <w:r>
        <w:rPr>
          <w:b/>
          <w:bCs/>
          <w:sz w:val="22"/>
          <w:szCs w:val="22"/>
        </w:rPr>
        <w:t xml:space="preserve">The 14 meters with no repeatable pattern are worth a quick manual check — they may simply be rarely-used or spare circuits, but it's worth confirming rather than assuming.</w:t>
      </w:r>
    </w:p>
    <w:p>
      <w:pPr>
        <w:pStyle w:val="ListParagraph"/>
        <w:numPr>
          <w:ilvl w:val="0"/>
          <w:numId w:val="1"/>
        </w:numPr>
        <w:spacing w:after="90" w:line="290"/>
      </w:pPr>
      <w:r>
        <w:rPr>
          <w:b/>
          <w:bCs/>
          <w:sz w:val="22"/>
          <w:szCs w:val="22"/>
        </w:rPr>
        <w:t xml:space="preserve">10 remaining meters are still being processed and will be folded into an updated version of this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Meter Behaviour Analysis —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bacb42ad2939960374bda15565a6c42ace9164.png"/><Relationship Id="rId10" Type="http://schemas.openxmlformats.org/officeDocument/2006/relationships/image" Target="media/d69e2e9c1ac4126c31c159d684ba323db19d46ab.png"/><Relationship Id="rId11" Type="http://schemas.openxmlformats.org/officeDocument/2006/relationships/image" Target="media/c07d17017f0e3c28182d2e9cd618f902fa1b3a4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2026-09-29T04:01:19.201Z</dcterms:created>
  <dcterms:modified xsi:type="dcterms:W3CDTF">2026-09-29T04:01:19.201Z</dcterms:modified>
</cp:coreProperties>
</file>

<file path=docProps/custom.xml><?xml version="1.0" encoding="utf-8"?>
<Properties xmlns="http://schemas.openxmlformats.org/officeDocument/2006/custom-properties" xmlns:vt="http://schemas.openxmlformats.org/officeDocument/2006/docPropsVTypes"/>
</file>