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6049" w14:textId="1A666EE4"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 Detailed procedure for manual re-calling of KASP genotypes</w:t>
      </w:r>
    </w:p>
    <w:p w14:paraId="53C7B49F" w14:textId="60973999"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1. Input fluorescence data</w:t>
      </w:r>
    </w:p>
    <w:p w14:paraId="2F692B61"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Endpoint fluorescence values for the FAM and HEX channels were obtained from KASP allelic discrimination analysis and imported into the custom Python application. For each marker assay, the application visualized individual samples in a two-dimensional fluorescence space, with FAM intensity represented on the x-axis and HEX intensity represented on the y-axis.</w:t>
      </w:r>
    </w:p>
    <w:p w14:paraId="70B1E620"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Samples identified as NTCs and samples with previously known genotypes were used as reference points during manual re-evaluation.</w:t>
      </w:r>
    </w:p>
    <w:p w14:paraId="73D65B2C" w14:textId="4FB31D2D"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2. Definition of the NTC-based reference origin</w:t>
      </w:r>
    </w:p>
    <w:p w14:paraId="0174A970"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For each assay, the median fluorescence values of the NTC samples were used as the reference origin:</w:t>
      </w:r>
    </w:p>
    <w:p w14:paraId="7394EA4D" w14:textId="65C74CF2" w:rsidR="00A83BB9" w:rsidRPr="00C75E74" w:rsidRDefault="00000000" w:rsidP="00A83BB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FAM</m:t>
              </m:r>
            </m:sub>
          </m:sSub>
          <m:r>
            <w:rPr>
              <w:rFonts w:ascii="Cambria Math" w:hAnsi="Cambria Math" w:cs="Times New Roman"/>
            </w:rPr>
            <m:t>=</m:t>
          </m:r>
          <m:r>
            <m:rPr>
              <m:sty m:val="p"/>
            </m:rPr>
            <w:rPr>
              <w:rFonts w:ascii="Cambria Math" w:hAnsi="Cambria Math" w:cs="Times New Roman"/>
            </w:rPr>
            <m:t>median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FA</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NTC</m:t>
                  </m:r>
                </m:sub>
              </m:sSub>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HEX</m:t>
              </m:r>
            </m:sub>
          </m:sSub>
          <m:r>
            <w:rPr>
              <w:rFonts w:ascii="Cambria Math" w:hAnsi="Cambria Math" w:cs="Times New Roman"/>
            </w:rPr>
            <m:t>=</m:t>
          </m:r>
          <m:r>
            <m:rPr>
              <m:sty m:val="p"/>
            </m:rPr>
            <w:rPr>
              <w:rFonts w:ascii="Cambria Math" w:hAnsi="Cambria Math" w:cs="Times New Roman"/>
            </w:rPr>
            <m:t>median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HE</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NTC</m:t>
                  </m:r>
                </m:sub>
              </m:sSub>
            </m:e>
          </m:d>
          <m:r>
            <m:rPr>
              <m:sty m:val="p"/>
            </m:rPr>
            <w:rPr>
              <w:rFonts w:ascii="Cambria Math" w:hAnsi="Cambria Math" w:cs="Times New Roman"/>
            </w:rPr>
            <w:br/>
          </m:r>
        </m:oMath>
      </m:oMathPara>
    </w:p>
    <w:p w14:paraId="32ED8A27"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fluorescence displacement of each sample relative to the NTC-derived origin was calculated as:</w:t>
      </w:r>
    </w:p>
    <w:p w14:paraId="5DD9DB0C" w14:textId="3A23870F" w:rsidR="00A83BB9" w:rsidRPr="00C75E74" w:rsidRDefault="00A83BB9" w:rsidP="00A83BB9">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FAM=FA</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sample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FAM</m:t>
              </m:r>
            </m:sub>
          </m:sSub>
          <m:r>
            <m:rPr>
              <m:sty m:val="p"/>
            </m:rPr>
            <w:rPr>
              <w:rFonts w:ascii="Cambria Math" w:hAnsi="Cambria Math" w:cs="Times New Roman"/>
            </w:rPr>
            <w:br/>
          </m:r>
        </m:oMath>
        <m:oMath>
          <m:r>
            <m:rPr>
              <m:sty m:val="p"/>
            </m:rPr>
            <w:rPr>
              <w:rFonts w:ascii="Cambria Math" w:hAnsi="Cambria Math" w:cs="Times New Roman"/>
            </w:rPr>
            <m:t>Δ</m:t>
          </m:r>
          <m:r>
            <w:rPr>
              <w:rFonts w:ascii="Cambria Math" w:hAnsi="Cambria Math" w:cs="Times New Roman"/>
            </w:rPr>
            <m:t>HEX=HE</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sample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HEX</m:t>
              </m:r>
            </m:sub>
          </m:sSub>
          <m:r>
            <m:rPr>
              <m:sty m:val="p"/>
            </m:rPr>
            <w:rPr>
              <w:rFonts w:ascii="Cambria Math" w:hAnsi="Cambria Math" w:cs="Times New Roman"/>
            </w:rPr>
            <w:br/>
          </m:r>
        </m:oMath>
      </m:oMathPara>
    </w:p>
    <w:p w14:paraId="09B5563F"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Using an NTC-derived reference origin allowed the position of each sample to be interpreted relative to the background fluorescence of the corresponding assay.</w:t>
      </w:r>
    </w:p>
    <w:p w14:paraId="0CBA5E2C" w14:textId="6E7D8EE1"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3. Calculation of angular position</w:t>
      </w:r>
    </w:p>
    <w:p w14:paraId="64BB62B3"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position of each sample relative to the NTC-derived origin was converted to an angular coordinate using:</w:t>
      </w:r>
    </w:p>
    <w:p w14:paraId="03C64705" w14:textId="0EC062B8" w:rsidR="00A83BB9" w:rsidRPr="00C75E74" w:rsidRDefault="00A83BB9" w:rsidP="00A83BB9">
      <w:pPr>
        <w:rPr>
          <w:rFonts w:ascii="Times New Roman" w:hAnsi="Times New Roman" w:cs="Times New Roman"/>
        </w:rPr>
      </w:pPr>
      <m:oMathPara>
        <m:oMath>
          <m:r>
            <w:rPr>
              <w:rFonts w:ascii="Cambria Math" w:hAnsi="Cambria Math" w:cs="Times New Roman"/>
            </w:rPr>
            <m:t>θ=</m:t>
          </m:r>
          <m:r>
            <m:rPr>
              <m:sty m:val="p"/>
            </m:rPr>
            <w:rPr>
              <w:rFonts w:ascii="Cambria Math" w:hAnsi="Cambria Math" w:cs="Times New Roman"/>
            </w:rPr>
            <m:t>atan</m:t>
          </m:r>
          <m:r>
            <w:rPr>
              <w:rFonts w:ascii="Cambria Math" w:hAnsi="Cambria Math" w:cs="Times New Roman"/>
            </w:rPr>
            <m:t>2⁡</m:t>
          </m:r>
          <m:d>
            <m:dPr>
              <m:sepChr m:val=","/>
              <m:ctrlPr>
                <w:rPr>
                  <w:rFonts w:ascii="Cambria Math" w:hAnsi="Cambria Math" w:cs="Times New Roman"/>
                </w:rPr>
              </m:ctrlPr>
            </m:dPr>
            <m:e>
              <m:r>
                <m:rPr>
                  <m:sty m:val="p"/>
                </m:rPr>
                <w:rPr>
                  <w:rFonts w:ascii="Cambria Math" w:hAnsi="Cambria Math" w:cs="Times New Roman"/>
                </w:rPr>
                <m:t>Δ</m:t>
              </m:r>
            </m:e>
            <m:e>
              <m:r>
                <w:rPr>
                  <w:rFonts w:ascii="Cambria Math" w:hAnsi="Cambria Math" w:cs="Times New Roman"/>
                </w:rPr>
                <m:t>HEX</m:t>
              </m:r>
              <m:r>
                <m:rPr>
                  <m:sty m:val="p"/>
                </m:rPr>
                <w:rPr>
                  <w:rFonts w:ascii="Cambria Math" w:hAnsi="Cambria Math" w:cs="Times New Roman"/>
                </w:rPr>
                <m:t>Δ</m:t>
              </m:r>
              <m:r>
                <w:rPr>
                  <w:rFonts w:ascii="Cambria Math" w:hAnsi="Cambria Math" w:cs="Times New Roman"/>
                </w:rPr>
                <m:t>FAM</m:t>
              </m:r>
            </m:e>
          </m:d>
          <m:r>
            <m:rPr>
              <m:sty m:val="p"/>
            </m:rPr>
            <w:rPr>
              <w:rFonts w:ascii="Cambria Math" w:hAnsi="Cambria Math" w:cs="Times New Roman"/>
            </w:rPr>
            <w:br/>
          </m:r>
        </m:oMath>
      </m:oMathPara>
    </w:p>
    <w:p w14:paraId="689F440F" w14:textId="2D7FE73B" w:rsidR="00A83BB9" w:rsidRPr="00C75E74" w:rsidRDefault="00A83BB9" w:rsidP="00A83BB9">
      <w:pPr>
        <w:rPr>
          <w:rFonts w:ascii="Times New Roman" w:hAnsi="Times New Roman" w:cs="Times New Roman"/>
        </w:rPr>
      </w:pPr>
      <w:r w:rsidRPr="00C75E74">
        <w:rPr>
          <w:rFonts w:ascii="Times New Roman" w:hAnsi="Times New Roman" w:cs="Times New Roman"/>
        </w:rPr>
        <w:t xml:space="preserve">where </w:t>
      </w:r>
      <m:oMath>
        <m:r>
          <w:rPr>
            <w:rFonts w:ascii="Cambria Math" w:hAnsi="Cambria Math" w:cs="Times New Roman"/>
          </w:rPr>
          <m:t>θ</m:t>
        </m:r>
      </m:oMath>
      <w:r w:rsidRPr="00C75E74">
        <w:rPr>
          <w:rFonts w:ascii="Times New Roman" w:hAnsi="Times New Roman" w:cs="Times New Roman"/>
        </w:rPr>
        <w:t>was expressed in degrees.</w:t>
      </w:r>
    </w:p>
    <w:p w14:paraId="4102EAF6"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Samples positioned predominantly toward the FAM axis showed lower angular values, whereas samples positioned toward the HEX axis showed higher angular values. Samples located between these two directions showed intermediate angular values.</w:t>
      </w:r>
    </w:p>
    <w:p w14:paraId="27FCAE58"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angular coordinate was used as a quantitative aid for distinguishing the three genotype clusters.</w:t>
      </w:r>
    </w:p>
    <w:p w14:paraId="23B92AAE" w14:textId="3043FB4F"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4. Use of known genotype controls</w:t>
      </w:r>
    </w:p>
    <w:p w14:paraId="11A71E58"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Samples with previously established genotypes were manually designated as one of three reference groups:</w:t>
      </w:r>
    </w:p>
    <w:p w14:paraId="5343D43C" w14:textId="77777777" w:rsidR="00A83BB9" w:rsidRPr="00C75E74" w:rsidRDefault="00A83BB9" w:rsidP="00A83BB9">
      <w:pPr>
        <w:numPr>
          <w:ilvl w:val="0"/>
          <w:numId w:val="1"/>
        </w:numPr>
        <w:rPr>
          <w:rFonts w:ascii="Times New Roman" w:hAnsi="Times New Roman" w:cs="Times New Roman"/>
        </w:rPr>
      </w:pPr>
      <w:r w:rsidRPr="00C75E74">
        <w:rPr>
          <w:rFonts w:ascii="Times New Roman" w:hAnsi="Times New Roman" w:cs="Times New Roman"/>
        </w:rPr>
        <w:t xml:space="preserve">Allele 1 homozygous control, </w:t>
      </w:r>
    </w:p>
    <w:p w14:paraId="6C31D976" w14:textId="77777777" w:rsidR="00A83BB9" w:rsidRPr="00C75E74" w:rsidRDefault="00A83BB9" w:rsidP="00A83BB9">
      <w:pPr>
        <w:numPr>
          <w:ilvl w:val="0"/>
          <w:numId w:val="1"/>
        </w:numPr>
        <w:rPr>
          <w:rFonts w:ascii="Times New Roman" w:hAnsi="Times New Roman" w:cs="Times New Roman"/>
        </w:rPr>
      </w:pPr>
      <w:r w:rsidRPr="00C75E74">
        <w:rPr>
          <w:rFonts w:ascii="Times New Roman" w:hAnsi="Times New Roman" w:cs="Times New Roman"/>
        </w:rPr>
        <w:t xml:space="preserve">heterozygous control, or </w:t>
      </w:r>
    </w:p>
    <w:p w14:paraId="4F7071A3" w14:textId="77777777" w:rsidR="00A83BB9" w:rsidRPr="00C75E74" w:rsidRDefault="00A83BB9" w:rsidP="00A83BB9">
      <w:pPr>
        <w:numPr>
          <w:ilvl w:val="0"/>
          <w:numId w:val="1"/>
        </w:numPr>
        <w:rPr>
          <w:rFonts w:ascii="Times New Roman" w:hAnsi="Times New Roman" w:cs="Times New Roman"/>
        </w:rPr>
      </w:pPr>
      <w:r w:rsidRPr="00C75E74">
        <w:rPr>
          <w:rFonts w:ascii="Times New Roman" w:hAnsi="Times New Roman" w:cs="Times New Roman"/>
        </w:rPr>
        <w:t xml:space="preserve">Allele 2 homozygous control. </w:t>
      </w:r>
    </w:p>
    <w:p w14:paraId="27C4581A"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distribution of these controls in the FAM–HEX fluorescence space was used to identify the expected position of each genotype cluster.</w:t>
      </w:r>
    </w:p>
    <w:p w14:paraId="3274A7C6"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When all three control classes were available, the median angular position of each control group was calculated:</w:t>
      </w:r>
    </w:p>
    <w:p w14:paraId="405537F6" w14:textId="66C5B3F1" w:rsidR="00A83BB9" w:rsidRPr="00C75E74" w:rsidRDefault="00000000" w:rsidP="00A83BB9">
      <w:pPr>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A1</m:t>
              </m:r>
            </m:sub>
          </m:sSub>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Het</m:t>
              </m:r>
            </m:sub>
          </m:sSub>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A2</m:t>
              </m:r>
            </m:sub>
          </m:sSub>
          <m:r>
            <m:rPr>
              <m:sty m:val="p"/>
            </m:rPr>
            <w:rPr>
              <w:rFonts w:ascii="Cambria Math" w:hAnsi="Cambria Math" w:cs="Times New Roman"/>
            </w:rPr>
            <w:br/>
          </m:r>
        </m:oMath>
      </m:oMathPara>
    </w:p>
    <w:p w14:paraId="2050BAD3"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These median angular positions were used to provide an initial estimate of the boundaries between adjacent genotype clusters.</w:t>
      </w:r>
    </w:p>
    <w:p w14:paraId="541BFE0D"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initial Allele 1–heterozygous boundary was calculated as:</w:t>
      </w:r>
    </w:p>
    <w:p w14:paraId="50EE2AEA" w14:textId="3511FB90" w:rsidR="00A83BB9" w:rsidRPr="00C75E74" w:rsidRDefault="00000000" w:rsidP="00A83BB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A1/Het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A1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Het</m:t>
                  </m:r>
                </m:sub>
              </m:sSub>
            </m:num>
            <m:den>
              <m:r>
                <w:rPr>
                  <w:rFonts w:ascii="Cambria Math" w:hAnsi="Cambria Math" w:cs="Times New Roman"/>
                </w:rPr>
                <m:t>2</m:t>
              </m:r>
            </m:den>
          </m:f>
          <m:r>
            <m:rPr>
              <m:sty m:val="p"/>
            </m:rPr>
            <w:rPr>
              <w:rFonts w:ascii="Cambria Math" w:hAnsi="Cambria Math" w:cs="Times New Roman"/>
            </w:rPr>
            <w:br/>
          </m:r>
        </m:oMath>
      </m:oMathPara>
    </w:p>
    <w:p w14:paraId="5BF125F4"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and the initial heterozygous–Allele 2 boundary was calculated as:</w:t>
      </w:r>
    </w:p>
    <w:p w14:paraId="4D49DE67" w14:textId="5DB51B62" w:rsidR="00A83BB9" w:rsidRPr="00C75E74" w:rsidRDefault="00000000" w:rsidP="00A83BB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Het/A2</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Het</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A2</m:t>
                  </m:r>
                </m:sub>
              </m:sSub>
            </m:num>
            <m:den>
              <m:r>
                <w:rPr>
                  <w:rFonts w:ascii="Cambria Math" w:hAnsi="Cambria Math" w:cs="Times New Roman"/>
                </w:rPr>
                <m:t>2</m:t>
              </m:r>
            </m:den>
          </m:f>
          <m:r>
            <m:rPr>
              <m:sty m:val="p"/>
            </m:rPr>
            <w:rPr>
              <w:rFonts w:ascii="Cambria Math" w:hAnsi="Cambria Math" w:cs="Times New Roman"/>
            </w:rPr>
            <w:br/>
          </m:r>
        </m:oMath>
      </m:oMathPara>
    </w:p>
    <w:p w14:paraId="25E5EA50"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These values were used as starting points for manual review rather than as immutable genotype-calling thresholds.</w:t>
      </w:r>
    </w:p>
    <w:p w14:paraId="005AD130" w14:textId="14CB27F3"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5. Interactive adjustment of genotype boundaries</w:t>
      </w:r>
    </w:p>
    <w:p w14:paraId="3717D4E9"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initial genotype boundaries were displayed directly on the allelic discrimination plot. During manual review, the positions of the Allele 1 homozygous, heterozygous, and Allele 2 homozygous control samples were examined together with the distribution of experimental samples.</w:t>
      </w:r>
    </w:p>
    <w:p w14:paraId="284FCA83"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two genotype boundaries could be interactively adjusted to reflect the observed separation between fluorescence clusters. Boundary adjustment was performed while considering the relative positions of the known controls and the overall cluster structure rather than relying solely on a fixed angular threshold.</w:t>
      </w:r>
    </w:p>
    <w:p w14:paraId="1818B99E"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This procedure was particularly used for samples that had originally been classified as Undetermined by the instrument analysis software.</w:t>
      </w:r>
    </w:p>
    <w:p w14:paraId="07959474" w14:textId="00D7F03E"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6. Uncertainty margin for boundary review</w:t>
      </w:r>
    </w:p>
    <w:p w14:paraId="106CE682"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To facilitate the identification of samples located close to a genotype boundary, an uncertainty margin was displayed around each boundary.</w:t>
      </w:r>
    </w:p>
    <w:p w14:paraId="3CD3BDD4" w14:textId="7A7B575A" w:rsidR="00A83BB9" w:rsidRPr="00C75E74" w:rsidRDefault="00A83BB9" w:rsidP="00A83BB9">
      <w:pPr>
        <w:rPr>
          <w:rFonts w:ascii="Times New Roman" w:hAnsi="Times New Roman" w:cs="Times New Roman"/>
        </w:rPr>
      </w:pPr>
      <w:r w:rsidRPr="00C75E74">
        <w:rPr>
          <w:rFonts w:ascii="Times New Roman" w:hAnsi="Times New Roman" w:cs="Times New Roman"/>
        </w:rPr>
        <w:t xml:space="preserve">For a boundary </w:t>
      </w:r>
      <m:oMath>
        <m:r>
          <w:rPr>
            <w:rFonts w:ascii="Cambria Math" w:hAnsi="Cambria Math" w:cs="Times New Roman"/>
          </w:rPr>
          <m:t>B</m:t>
        </m:r>
      </m:oMath>
      <w:r w:rsidRPr="00C75E74">
        <w:rPr>
          <w:rFonts w:ascii="Times New Roman" w:hAnsi="Times New Roman" w:cs="Times New Roman"/>
        </w:rPr>
        <w:t>, samples located within:</w:t>
      </w:r>
    </w:p>
    <w:p w14:paraId="22263520" w14:textId="7B9B42B8" w:rsidR="00A83BB9" w:rsidRPr="00C75E74" w:rsidRDefault="00A83BB9" w:rsidP="00A83BB9">
      <w:pPr>
        <w:rPr>
          <w:rFonts w:ascii="Times New Roman" w:hAnsi="Times New Roman" w:cs="Times New Roman"/>
        </w:rPr>
      </w:pPr>
      <m:oMathPara>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m:t>
              </m:r>
            </m:sup>
          </m:sSup>
          <m:r>
            <w:rPr>
              <w:rFonts w:ascii="Cambria Math" w:hAnsi="Cambria Math" w:cs="Times New Roman"/>
            </w:rPr>
            <m:t>≤θ≤B+</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m:t>
              </m:r>
            </m:sup>
          </m:sSup>
          <m:r>
            <m:rPr>
              <m:sty m:val="p"/>
            </m:rPr>
            <w:rPr>
              <w:rFonts w:ascii="Cambria Math" w:hAnsi="Cambria Math" w:cs="Times New Roman"/>
            </w:rPr>
            <w:br/>
          </m:r>
        </m:oMath>
      </m:oMathPara>
    </w:p>
    <w:p w14:paraId="2ED0CE90"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were visually flagged as being close to the decision boundary.</w:t>
      </w:r>
    </w:p>
    <w:p w14:paraId="1B913E29"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 xml:space="preserve">Importantly, the ±3° interval was used as a </w:t>
      </w:r>
      <w:r w:rsidRPr="00C75E74">
        <w:rPr>
          <w:rFonts w:ascii="Times New Roman" w:hAnsi="Times New Roman" w:cs="Times New Roman"/>
          <w:b/>
          <w:bCs/>
        </w:rPr>
        <w:t>review aid</w:t>
      </w:r>
      <w:r w:rsidRPr="00C75E74">
        <w:rPr>
          <w:rFonts w:ascii="Times New Roman" w:hAnsi="Times New Roman" w:cs="Times New Roman"/>
        </w:rPr>
        <w:t xml:space="preserve"> and not as an automatic final genotype classification rule. Samples located within this region were inspected in relation to the known control clusters, and the genotype boundaries could be adjusted interactively before a final call was made.</w:t>
      </w:r>
    </w:p>
    <w:p w14:paraId="42755605" w14:textId="411A7AFE" w:rsidR="00A83BB9" w:rsidRPr="00C75E74" w:rsidRDefault="00B74EAB" w:rsidP="00A83BB9">
      <w:pPr>
        <w:rPr>
          <w:rFonts w:ascii="Times New Roman" w:hAnsi="Times New Roman" w:cs="Times New Roman"/>
          <w:b/>
          <w:bCs/>
        </w:rPr>
      </w:pPr>
      <w:r w:rsidRPr="00C75E74">
        <w:rPr>
          <w:rFonts w:ascii="Times New Roman" w:hAnsi="Times New Roman" w:cs="Times New Roman"/>
          <w:b/>
          <w:bCs/>
        </w:rPr>
        <w:t>1-</w:t>
      </w:r>
      <w:r w:rsidR="00A83BB9" w:rsidRPr="00C75E74">
        <w:rPr>
          <w:rFonts w:ascii="Times New Roman" w:hAnsi="Times New Roman" w:cs="Times New Roman"/>
          <w:b/>
          <w:bCs/>
        </w:rPr>
        <w:t>7. Manual re-calling of samples initially classified as Undetermined</w:t>
      </w:r>
    </w:p>
    <w:p w14:paraId="2A71C899"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Samples initially reported as Undetermined were examined after the genotype boundaries had been adjusted with reference to the known control clusters.</w:t>
      </w:r>
    </w:p>
    <w:p w14:paraId="6A2953B2"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The final genotype of each sample was determined according to its angular position relative to the adjusted boundaries and its location within the FAM–HEX fluorescence cluster distribution.</w:t>
      </w:r>
    </w:p>
    <w:p w14:paraId="4E7CC3C2" w14:textId="77777777" w:rsidR="00A83BB9" w:rsidRPr="00C75E74" w:rsidRDefault="00A83BB9" w:rsidP="00A83BB9">
      <w:pPr>
        <w:rPr>
          <w:rFonts w:ascii="Times New Roman" w:hAnsi="Times New Roman" w:cs="Times New Roman"/>
        </w:rPr>
      </w:pPr>
      <w:r w:rsidRPr="00C75E74">
        <w:rPr>
          <w:rFonts w:ascii="Times New Roman" w:hAnsi="Times New Roman" w:cs="Times New Roman"/>
        </w:rPr>
        <w:t>Conceptually, the final classification followed:</w:t>
      </w:r>
    </w:p>
    <w:p w14:paraId="236EB921" w14:textId="59E3954A" w:rsidR="00A83BB9" w:rsidRPr="00C75E74" w:rsidRDefault="00A83BB9" w:rsidP="00A83BB9">
      <w:pPr>
        <w:rPr>
          <w:rFonts w:ascii="Times New Roman" w:hAnsi="Times New Roman" w:cs="Times New Roman"/>
        </w:rPr>
      </w:pPr>
      <m:oMathPara>
        <m:oMath>
          <m:r>
            <w:rPr>
              <w:rFonts w:ascii="Cambria Math" w:hAnsi="Cambria Math" w:cs="Times New Roman"/>
            </w:rPr>
            <w:lastRenderedPageBreak/>
            <m:t>θ&lt;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A1/Het</m:t>
              </m:r>
            </m:sub>
          </m:sSub>
          <m:r>
            <w:rPr>
              <w:rFonts w:ascii="Cambria Math" w:hAnsi="Cambria Math" w:cs="Times New Roman"/>
            </w:rPr>
            <m:t> → Allele</m:t>
          </m:r>
          <m:r>
            <m:rPr>
              <m:nor/>
            </m:rPr>
            <w:rPr>
              <w:rFonts w:ascii="Times New Roman" w:hAnsi="Times New Roman" w:cs="Times New Roman"/>
            </w:rPr>
            <m:t> </m:t>
          </m:r>
          <m:r>
            <w:rPr>
              <w:rFonts w:ascii="Cambria Math" w:hAnsi="Cambria Math" w:cs="Times New Roman"/>
            </w:rPr>
            <m:t>1</m:t>
          </m:r>
          <m:r>
            <m:rPr>
              <m:nor/>
            </m:rPr>
            <w:rPr>
              <w:rFonts w:ascii="Times New Roman" w:hAnsi="Times New Roman" w:cs="Times New Roman"/>
            </w:rPr>
            <m:t> </m:t>
          </m:r>
          <m:r>
            <w:rPr>
              <w:rFonts w:ascii="Cambria Math" w:hAnsi="Cambria Math" w:cs="Times New Roman"/>
            </w:rPr>
            <m:t>homozygous</m:t>
          </m:r>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A1/Het</m:t>
              </m:r>
            </m:sub>
          </m:sSub>
          <m:r>
            <w:rPr>
              <w:rFonts w:ascii="Cambria Math" w:hAnsi="Cambria Math" w:cs="Times New Roman"/>
            </w:rPr>
            <m:t>&lt;θ&lt;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Het/A2</m:t>
              </m:r>
            </m:sub>
          </m:sSub>
          <m:r>
            <w:rPr>
              <w:rFonts w:ascii="Cambria Math" w:hAnsi="Cambria Math" w:cs="Times New Roman"/>
            </w:rPr>
            <m:t> → Heterozygous</m:t>
          </m:r>
          <m:r>
            <m:rPr>
              <m:sty m:val="p"/>
            </m:rPr>
            <w:rPr>
              <w:rFonts w:ascii="Cambria Math" w:hAnsi="Cambria Math" w:cs="Times New Roman"/>
            </w:rPr>
            <w:br/>
          </m:r>
        </m:oMath>
        <m:oMath>
          <m:r>
            <w:rPr>
              <w:rFonts w:ascii="Cambria Math" w:hAnsi="Cambria Math" w:cs="Times New Roman"/>
            </w:rPr>
            <m:t>θ&gt;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Het/A2</m:t>
              </m:r>
            </m:sub>
          </m:sSub>
          <m:r>
            <w:rPr>
              <w:rFonts w:ascii="Cambria Math" w:hAnsi="Cambria Math" w:cs="Times New Roman"/>
            </w:rPr>
            <m:t> → Allele</m:t>
          </m:r>
          <m:r>
            <m:rPr>
              <m:nor/>
            </m:rPr>
            <w:rPr>
              <w:rFonts w:ascii="Times New Roman" w:hAnsi="Times New Roman" w:cs="Times New Roman"/>
            </w:rPr>
            <m:t> </m:t>
          </m:r>
          <m:r>
            <w:rPr>
              <w:rFonts w:ascii="Cambria Math" w:hAnsi="Cambria Math" w:cs="Times New Roman"/>
            </w:rPr>
            <m:t>2</m:t>
          </m:r>
          <m:r>
            <m:rPr>
              <m:nor/>
            </m:rPr>
            <w:rPr>
              <w:rFonts w:ascii="Times New Roman" w:hAnsi="Times New Roman" w:cs="Times New Roman"/>
            </w:rPr>
            <m:t> </m:t>
          </m:r>
          <m:r>
            <w:rPr>
              <w:rFonts w:ascii="Cambria Math" w:hAnsi="Cambria Math" w:cs="Times New Roman"/>
            </w:rPr>
            <m:t>homozygous</m:t>
          </m:r>
          <m:r>
            <m:rPr>
              <m:sty m:val="p"/>
            </m:rPr>
            <w:rPr>
              <w:rFonts w:ascii="Cambria Math" w:hAnsi="Cambria Math" w:cs="Times New Roman"/>
            </w:rPr>
            <w:br/>
          </m:r>
        </m:oMath>
      </m:oMathPara>
    </w:p>
    <w:p w14:paraId="2DB2208C" w14:textId="1566AEF5" w:rsidR="00EC146E" w:rsidRPr="00C75E74" w:rsidRDefault="00A83BB9" w:rsidP="00F779B4">
      <w:pPr>
        <w:rPr>
          <w:rFonts w:ascii="Times New Roman" w:hAnsi="Times New Roman" w:cs="Times New Roman"/>
        </w:rPr>
      </w:pPr>
      <w:r w:rsidRPr="00C75E74">
        <w:rPr>
          <w:rFonts w:ascii="Times New Roman" w:hAnsi="Times New Roman" w:cs="Times New Roman"/>
        </w:rPr>
        <w:t>Final assignments were made after confirming that the sample position was consistent with the corresponding known-control cluster in the allelic discrimination plot.</w:t>
      </w:r>
    </w:p>
    <w:sectPr w:rsidR="00EC146E" w:rsidRPr="00C75E7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03E9" w14:textId="77777777" w:rsidR="00B37D92" w:rsidRDefault="00B37D92" w:rsidP="00A83BB9">
      <w:pPr>
        <w:spacing w:after="0"/>
      </w:pPr>
      <w:r>
        <w:separator/>
      </w:r>
    </w:p>
  </w:endnote>
  <w:endnote w:type="continuationSeparator" w:id="0">
    <w:p w14:paraId="107CAF33" w14:textId="77777777" w:rsidR="00B37D92" w:rsidRDefault="00B37D92" w:rsidP="00A83B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41EE" w14:textId="77777777" w:rsidR="00B37D92" w:rsidRDefault="00B37D92" w:rsidP="00A83BB9">
      <w:pPr>
        <w:spacing w:after="0"/>
      </w:pPr>
      <w:r>
        <w:separator/>
      </w:r>
    </w:p>
  </w:footnote>
  <w:footnote w:type="continuationSeparator" w:id="0">
    <w:p w14:paraId="3EF86B45" w14:textId="77777777" w:rsidR="00B37D92" w:rsidRDefault="00B37D92" w:rsidP="00A83B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F339F"/>
    <w:multiLevelType w:val="multilevel"/>
    <w:tmpl w:val="426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8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6E"/>
    <w:rsid w:val="000020D7"/>
    <w:rsid w:val="000963E1"/>
    <w:rsid w:val="000B5F3E"/>
    <w:rsid w:val="000D5595"/>
    <w:rsid w:val="0012431F"/>
    <w:rsid w:val="001A5C09"/>
    <w:rsid w:val="001B08A9"/>
    <w:rsid w:val="001C4E06"/>
    <w:rsid w:val="00251E19"/>
    <w:rsid w:val="00265587"/>
    <w:rsid w:val="002C7451"/>
    <w:rsid w:val="00304E88"/>
    <w:rsid w:val="00312023"/>
    <w:rsid w:val="003A4BBC"/>
    <w:rsid w:val="00510E8E"/>
    <w:rsid w:val="00673CFB"/>
    <w:rsid w:val="00685DFA"/>
    <w:rsid w:val="00763AC6"/>
    <w:rsid w:val="008117A4"/>
    <w:rsid w:val="00827C51"/>
    <w:rsid w:val="00836A0A"/>
    <w:rsid w:val="00877731"/>
    <w:rsid w:val="008A1B73"/>
    <w:rsid w:val="00955DFB"/>
    <w:rsid w:val="00A54482"/>
    <w:rsid w:val="00A83BB9"/>
    <w:rsid w:val="00AD68DC"/>
    <w:rsid w:val="00B37D92"/>
    <w:rsid w:val="00B74EAB"/>
    <w:rsid w:val="00BB41A3"/>
    <w:rsid w:val="00BC1EEF"/>
    <w:rsid w:val="00C47236"/>
    <w:rsid w:val="00C75E74"/>
    <w:rsid w:val="00CD3CC9"/>
    <w:rsid w:val="00D10C59"/>
    <w:rsid w:val="00DD2F8B"/>
    <w:rsid w:val="00DE10BE"/>
    <w:rsid w:val="00DF57C1"/>
    <w:rsid w:val="00EB71FC"/>
    <w:rsid w:val="00EC146E"/>
    <w:rsid w:val="00EC3036"/>
    <w:rsid w:val="00F1760A"/>
    <w:rsid w:val="00F779B4"/>
    <w:rsid w:val="00FA1D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E7461"/>
  <w15:chartTrackingRefBased/>
  <w15:docId w15:val="{6F345A7A-0A90-48D5-A535-BADC5B61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C14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C14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C146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C14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C14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C14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C14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C14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C14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C146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C146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C146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C146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C146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C146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C146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C146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C146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C146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C14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14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C146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C146E"/>
    <w:pPr>
      <w:spacing w:before="160"/>
      <w:jc w:val="center"/>
    </w:pPr>
    <w:rPr>
      <w:i/>
      <w:iCs/>
      <w:color w:val="404040" w:themeColor="text1" w:themeTint="BF"/>
    </w:rPr>
  </w:style>
  <w:style w:type="character" w:customStyle="1" w:styleId="Char1">
    <w:name w:val="인용 Char"/>
    <w:basedOn w:val="a0"/>
    <w:link w:val="a5"/>
    <w:uiPriority w:val="29"/>
    <w:rsid w:val="00EC146E"/>
    <w:rPr>
      <w:i/>
      <w:iCs/>
      <w:color w:val="404040" w:themeColor="text1" w:themeTint="BF"/>
    </w:rPr>
  </w:style>
  <w:style w:type="paragraph" w:styleId="a6">
    <w:name w:val="List Paragraph"/>
    <w:basedOn w:val="a"/>
    <w:uiPriority w:val="34"/>
    <w:qFormat/>
    <w:rsid w:val="00EC146E"/>
    <w:pPr>
      <w:ind w:left="720"/>
      <w:contextualSpacing/>
    </w:pPr>
  </w:style>
  <w:style w:type="character" w:styleId="a7">
    <w:name w:val="Intense Emphasis"/>
    <w:basedOn w:val="a0"/>
    <w:uiPriority w:val="21"/>
    <w:qFormat/>
    <w:rsid w:val="00EC146E"/>
    <w:rPr>
      <w:i/>
      <w:iCs/>
      <w:color w:val="0F4761" w:themeColor="accent1" w:themeShade="BF"/>
    </w:rPr>
  </w:style>
  <w:style w:type="paragraph" w:styleId="a8">
    <w:name w:val="Intense Quote"/>
    <w:basedOn w:val="a"/>
    <w:next w:val="a"/>
    <w:link w:val="Char2"/>
    <w:uiPriority w:val="30"/>
    <w:qFormat/>
    <w:rsid w:val="00EC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C146E"/>
    <w:rPr>
      <w:i/>
      <w:iCs/>
      <w:color w:val="0F4761" w:themeColor="accent1" w:themeShade="BF"/>
    </w:rPr>
  </w:style>
  <w:style w:type="character" w:styleId="a9">
    <w:name w:val="Intense Reference"/>
    <w:basedOn w:val="a0"/>
    <w:uiPriority w:val="32"/>
    <w:qFormat/>
    <w:rsid w:val="00EC146E"/>
    <w:rPr>
      <w:b/>
      <w:bCs/>
      <w:smallCaps/>
      <w:color w:val="0F4761" w:themeColor="accent1" w:themeShade="BF"/>
      <w:spacing w:val="5"/>
    </w:rPr>
  </w:style>
  <w:style w:type="paragraph" w:styleId="aa">
    <w:name w:val="header"/>
    <w:basedOn w:val="a"/>
    <w:link w:val="Char3"/>
    <w:uiPriority w:val="99"/>
    <w:unhideWhenUsed/>
    <w:rsid w:val="00A83BB9"/>
    <w:pPr>
      <w:tabs>
        <w:tab w:val="center" w:pos="4513"/>
        <w:tab w:val="right" w:pos="9026"/>
      </w:tabs>
      <w:snapToGrid w:val="0"/>
    </w:pPr>
  </w:style>
  <w:style w:type="character" w:customStyle="1" w:styleId="Char3">
    <w:name w:val="머리글 Char"/>
    <w:basedOn w:val="a0"/>
    <w:link w:val="aa"/>
    <w:uiPriority w:val="99"/>
    <w:rsid w:val="00A83BB9"/>
  </w:style>
  <w:style w:type="paragraph" w:styleId="ab">
    <w:name w:val="footer"/>
    <w:basedOn w:val="a"/>
    <w:link w:val="Char4"/>
    <w:uiPriority w:val="99"/>
    <w:unhideWhenUsed/>
    <w:rsid w:val="00A83BB9"/>
    <w:pPr>
      <w:tabs>
        <w:tab w:val="center" w:pos="4513"/>
        <w:tab w:val="right" w:pos="9026"/>
      </w:tabs>
      <w:snapToGrid w:val="0"/>
    </w:pPr>
  </w:style>
  <w:style w:type="character" w:customStyle="1" w:styleId="Char4">
    <w:name w:val="바닥글 Char"/>
    <w:basedOn w:val="a0"/>
    <w:link w:val="ab"/>
    <w:uiPriority w:val="99"/>
    <w:rsid w:val="00A83BB9"/>
  </w:style>
  <w:style w:type="character" w:styleId="ac">
    <w:name w:val="Hyperlink"/>
    <w:basedOn w:val="a0"/>
    <w:uiPriority w:val="99"/>
    <w:unhideWhenUsed/>
    <w:rsid w:val="00F779B4"/>
    <w:rPr>
      <w:color w:val="467886" w:themeColor="hyperlink"/>
      <w:u w:val="single"/>
    </w:rPr>
  </w:style>
  <w:style w:type="character" w:styleId="ad">
    <w:name w:val="Unresolved Mention"/>
    <w:basedOn w:val="a0"/>
    <w:uiPriority w:val="99"/>
    <w:semiHidden/>
    <w:unhideWhenUsed/>
    <w:rsid w:val="00F779B4"/>
    <w:rPr>
      <w:color w:val="605E5C"/>
      <w:shd w:val="clear" w:color="auto" w:fill="E1DFDD"/>
    </w:rPr>
  </w:style>
  <w:style w:type="character" w:styleId="ae">
    <w:name w:val="FollowedHyperlink"/>
    <w:basedOn w:val="a0"/>
    <w:uiPriority w:val="99"/>
    <w:semiHidden/>
    <w:unhideWhenUsed/>
    <w:rsid w:val="00F779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4149</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yousol Hwang</dc:creator>
  <cp:keywords/>
  <dc:description/>
  <cp:lastModifiedBy>yousol Hwang</cp:lastModifiedBy>
  <cp:revision>2</cp:revision>
  <dcterms:created xsi:type="dcterms:W3CDTF">2026-10-29T02:52:00Z</dcterms:created>
  <dcterms:modified xsi:type="dcterms:W3CDTF">2026-10-29T02:52:00Z</dcterms:modified>
</cp:coreProperties>
</file>