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5CF2B" w14:textId="77777777" w:rsidR="00212756" w:rsidRDefault="000A1154" w:rsidP="000A1154">
      <w:pPr>
        <w:rPr>
          <w:lang w:val="en-US"/>
        </w:rPr>
      </w:pPr>
      <w:r w:rsidRPr="000A1154">
        <w:rPr>
          <w:lang w:val="en-US"/>
        </w:rPr>
        <w:t xml:space="preserve">Abstract </w:t>
      </w:r>
    </w:p>
    <w:p w14:paraId="351CE497" w14:textId="4D7AE025" w:rsidR="00CF5637" w:rsidRDefault="000A1154" w:rsidP="000A1154">
      <w:pPr>
        <w:rPr>
          <w:lang w:val="en-US"/>
        </w:rPr>
      </w:pPr>
      <w:r w:rsidRPr="000A1154">
        <w:rPr>
          <w:lang w:val="en-US"/>
        </w:rPr>
        <w:t xml:space="preserve">Recent years have seen a surge of interest in understanding patterns and processes of plant invasions into mountains. Here, we </w:t>
      </w:r>
      <w:proofErr w:type="spellStart"/>
      <w:r w:rsidRPr="000A1154">
        <w:rPr>
          <w:lang w:val="en-US"/>
        </w:rPr>
        <w:t>synthesise</w:t>
      </w:r>
      <w:proofErr w:type="spellEnd"/>
      <w:r w:rsidRPr="000A1154">
        <w:rPr>
          <w:lang w:val="en-US"/>
        </w:rPr>
        <w:t xml:space="preserve"> current knowledge about the spread of non-native plants along elevation gradients, </w:t>
      </w:r>
      <w:proofErr w:type="spellStart"/>
      <w:r w:rsidRPr="000A1154">
        <w:rPr>
          <w:lang w:val="en-US"/>
        </w:rPr>
        <w:t>emphasising</w:t>
      </w:r>
      <w:proofErr w:type="spellEnd"/>
      <w:r w:rsidRPr="000A1154">
        <w:rPr>
          <w:lang w:val="en-US"/>
        </w:rPr>
        <w:t xml:space="preserve"> the current status and impacts that these species have in alpine ecosystems. Globally, invasions along elevation gradients are influenced by propagule availability, environmental constraints on population growth, evolutionary change and biotic interactions. The highest elevations are so far relatively free from non-native plants. Nonetheless, in total nearly 200 non-native plant species have been recorded from alpine environments around the world. However, we identified only three species as specifically cold-adapted, with the overwhelming majority having their </w:t>
      </w:r>
      <w:proofErr w:type="spellStart"/>
      <w:r w:rsidRPr="000A1154">
        <w:rPr>
          <w:lang w:val="en-US"/>
        </w:rPr>
        <w:t>centres</w:t>
      </w:r>
      <w:proofErr w:type="spellEnd"/>
      <w:r w:rsidRPr="000A1154">
        <w:rPr>
          <w:lang w:val="en-US"/>
        </w:rPr>
        <w:t xml:space="preserve"> of distribution under warmer environments, and few have substantial impacts on native communities. A combination of low propagule availability and low </w:t>
      </w:r>
      <w:proofErr w:type="spellStart"/>
      <w:r w:rsidRPr="000A1154">
        <w:rPr>
          <w:lang w:val="en-US"/>
        </w:rPr>
        <w:t>invasibility</w:t>
      </w:r>
      <w:proofErr w:type="spellEnd"/>
      <w:r w:rsidRPr="000A1154">
        <w:rPr>
          <w:lang w:val="en-US"/>
        </w:rPr>
        <w:t xml:space="preserve"> likely explain why alpine environments host few non-native plants relative to lowland ecosystems. However, experiences in some areas demonstrate that alpine ecosystems are not inherently resistant to invasions. Furthermore, they will face increasing pressure from the introduction of pre-adapted species, climate change, and the range expansion of native species, which are already causing concern in some areas. Nonetheless, because they are still relatively free from nonnative plants, preventative action could be an effective </w:t>
      </w:r>
      <w:proofErr w:type="gramStart"/>
      <w:r w:rsidRPr="000A1154">
        <w:rPr>
          <w:lang w:val="en-US"/>
        </w:rPr>
        <w:t>way  to</w:t>
      </w:r>
      <w:proofErr w:type="gramEnd"/>
      <w:r w:rsidRPr="000A1154">
        <w:rPr>
          <w:lang w:val="en-US"/>
        </w:rPr>
        <w:t xml:space="preserve"> limit future impacts of invasions in alpine environments.</w:t>
      </w:r>
    </w:p>
    <w:p w14:paraId="7184DAFF" w14:textId="77777777" w:rsidR="000A1154" w:rsidRDefault="000A1154" w:rsidP="000A1154">
      <w:pPr>
        <w:rPr>
          <w:lang w:val="en-US"/>
        </w:rPr>
      </w:pPr>
    </w:p>
    <w:p w14:paraId="70EAAA6C" w14:textId="75AD93A4" w:rsidR="000A1154" w:rsidRDefault="000A1154" w:rsidP="000A1154">
      <w:pPr>
        <w:rPr>
          <w:lang w:val="en-US"/>
        </w:rPr>
      </w:pPr>
      <w:r w:rsidRPr="000A1154">
        <w:rPr>
          <w:lang w:val="en-US"/>
        </w:rPr>
        <w:t xml:space="preserve">Most non-native species were in the families </w:t>
      </w:r>
      <w:proofErr w:type="spellStart"/>
      <w:r w:rsidRPr="000A1154">
        <w:rPr>
          <w:lang w:val="en-US"/>
        </w:rPr>
        <w:t>Poaceae</w:t>
      </w:r>
      <w:proofErr w:type="spellEnd"/>
      <w:r w:rsidRPr="000A1154">
        <w:rPr>
          <w:lang w:val="en-US"/>
        </w:rPr>
        <w:t xml:space="preserve">, Asteraceae, Caryophyllaceae, Fabaceae and Brassicaceae (Fig. 2a). They originated primarily from Europe and temperate Asia (63.9 and 39.9 %, respectively, 68.9 % combined) and to a lesser degree from the Americas (Fig. 2b), consistent with the over-representation of northern hemisphere species in the global non-native flora (van </w:t>
      </w:r>
      <w:proofErr w:type="spellStart"/>
      <w:r w:rsidRPr="000A1154">
        <w:rPr>
          <w:lang w:val="en-US"/>
        </w:rPr>
        <w:t>Kleunen</w:t>
      </w:r>
      <w:proofErr w:type="spellEnd"/>
      <w:r w:rsidRPr="000A1154">
        <w:rPr>
          <w:lang w:val="en-US"/>
        </w:rPr>
        <w:t xml:space="preserve"> et al. 2015). Half (51.6 %) of the non-native species were perennial, and 46.7 % were annual. 69.9 % of species were forbs and 24.6 % graminoids, and only 5 vines, 6 shrubs, and 1 tree species (Prunus persica, recorded as a seedling from South Africa/Lesotho; J. </w:t>
      </w:r>
      <w:proofErr w:type="spellStart"/>
      <w:r w:rsidRPr="000A1154">
        <w:rPr>
          <w:lang w:val="en-US"/>
        </w:rPr>
        <w:t>Kalwij</w:t>
      </w:r>
      <w:proofErr w:type="spellEnd"/>
      <w:r w:rsidRPr="000A1154">
        <w:rPr>
          <w:lang w:val="en-US"/>
        </w:rPr>
        <w:t xml:space="preserve">, pers. com.; </w:t>
      </w:r>
      <w:proofErr w:type="spellStart"/>
      <w:r w:rsidRPr="000A1154">
        <w:rPr>
          <w:lang w:val="en-US"/>
        </w:rPr>
        <w:t>Kalwij</w:t>
      </w:r>
      <w:proofErr w:type="spellEnd"/>
      <w:r w:rsidRPr="000A1154">
        <w:rPr>
          <w:lang w:val="en-US"/>
        </w:rPr>
        <w:t xml:space="preserve"> et al. 2015) were recorded, and these patterns were</w:t>
      </w:r>
      <w:r w:rsidR="00512774">
        <w:rPr>
          <w:lang w:val="en-US"/>
        </w:rPr>
        <w:t xml:space="preserve"> </w:t>
      </w:r>
      <w:r w:rsidR="00512774" w:rsidRPr="00512774">
        <w:rPr>
          <w:lang w:val="en-US"/>
        </w:rPr>
        <w:t>very consistent across the different regions (Fig. </w:t>
      </w:r>
      <w:hyperlink r:id="rId5" w:anchor="Fig3" w:tgtFrame="_blank" w:tooltip="https://link.springer.com/article/10.1007/s00035-016-0172-8#Fig3" w:history="1">
        <w:r w:rsidR="00512774" w:rsidRPr="00512774">
          <w:t>3</w:t>
        </w:r>
      </w:hyperlink>
      <w:r w:rsidR="00512774" w:rsidRPr="00512774">
        <w:rPr>
          <w:lang w:val="en-US"/>
        </w:rPr>
        <w:t>a). Overall, 7.5 % of species were nitrogen-fixers.</w:t>
      </w:r>
      <w:r>
        <w:rPr>
          <w:lang w:val="en-US"/>
        </w:rPr>
        <w:t xml:space="preserve"> </w:t>
      </w:r>
      <w:proofErr w:type="gramStart"/>
      <w:r w:rsidRPr="000A1154">
        <w:rPr>
          <w:lang w:val="en-US"/>
        </w:rPr>
        <w:t>A</w:t>
      </w:r>
      <w:proofErr w:type="gramEnd"/>
      <w:r w:rsidRPr="000A1154">
        <w:rPr>
          <w:lang w:val="en-US"/>
        </w:rPr>
        <w:t xml:space="preserve"> striking pattern was observed in the ecological affinity of the species. For the species for which data were available (80 %), we recorded their temperature indicator value according to Landolt (Landolt et al. 2010) (where 1 = alpine species and 5 = warm adapted temperate species of Central Europe) and CSR strategy according to Grime (Grime 1977) (C, competitive strategy; R, ruderal strategy; S, stress-tolerating strategy). Only three species (2.1 %) have a Landolt temperature indicator (T) B 2, indicative of alpine or mountain plants (Fig. 3b). These species were Alnus </w:t>
      </w:r>
      <w:proofErr w:type="spellStart"/>
      <w:r w:rsidRPr="000A1154">
        <w:rPr>
          <w:lang w:val="en-US"/>
        </w:rPr>
        <w:t>alnobetula</w:t>
      </w:r>
      <w:proofErr w:type="spellEnd"/>
      <w:r w:rsidRPr="000A1154">
        <w:rPr>
          <w:lang w:val="en-US"/>
        </w:rPr>
        <w:t xml:space="preserve"> ssp. sinuata (syn. A. </w:t>
      </w:r>
      <w:proofErr w:type="spellStart"/>
      <w:r w:rsidRPr="000A1154">
        <w:rPr>
          <w:lang w:val="en-US"/>
        </w:rPr>
        <w:t>viridis</w:t>
      </w:r>
      <w:proofErr w:type="spellEnd"/>
      <w:r w:rsidRPr="000A1154">
        <w:rPr>
          <w:lang w:val="en-US"/>
        </w:rPr>
        <w:t xml:space="preserve">; CCS, T = 2), Papaver </w:t>
      </w:r>
      <w:proofErr w:type="spellStart"/>
      <w:r w:rsidRPr="000A1154">
        <w:rPr>
          <w:lang w:val="en-US"/>
        </w:rPr>
        <w:t>nudicaule</w:t>
      </w:r>
      <w:proofErr w:type="spellEnd"/>
      <w:r w:rsidRPr="000A1154">
        <w:rPr>
          <w:lang w:val="en-US"/>
        </w:rPr>
        <w:t xml:space="preserve"> (syn. P. </w:t>
      </w:r>
      <w:proofErr w:type="spellStart"/>
      <w:r w:rsidRPr="000A1154">
        <w:rPr>
          <w:lang w:val="en-US"/>
        </w:rPr>
        <w:t>croceum</w:t>
      </w:r>
      <w:proofErr w:type="spellEnd"/>
      <w:r w:rsidRPr="000A1154">
        <w:rPr>
          <w:lang w:val="en-US"/>
        </w:rPr>
        <w:t xml:space="preserve">; CSS, T = 2) and Phleum alpinum </w:t>
      </w:r>
      <w:r w:rsidRPr="000A1154">
        <w:rPr>
          <w:lang w:val="en-US"/>
        </w:rPr>
        <w:lastRenderedPageBreak/>
        <w:t xml:space="preserve">(CSR, T = 2). No species were recorded as being stress-tolerators (S), although five are listed as CSS or SSR (Fig. 2c). The vast majority of species have broad temperature tolerances, or are more typical of lower elevations, and have a ruderal or competitive </w:t>
      </w:r>
      <w:proofErr w:type="spellStart"/>
      <w:r w:rsidRPr="000A1154">
        <w:rPr>
          <w:lang w:val="en-US"/>
        </w:rPr>
        <w:t>lifehistory</w:t>
      </w:r>
      <w:proofErr w:type="spellEnd"/>
      <w:r w:rsidRPr="000A1154">
        <w:rPr>
          <w:lang w:val="en-US"/>
        </w:rPr>
        <w:t xml:space="preserve"> strategy (Figs. 3b, 2c). Among the species for which Landolt temperature indicator data were not available, Wasowicz (2016) identified three species in Iceland that reach alpine environments in their native North America (Lupinus </w:t>
      </w:r>
      <w:proofErr w:type="spellStart"/>
      <w:r w:rsidRPr="000A1154">
        <w:rPr>
          <w:lang w:val="en-US"/>
        </w:rPr>
        <w:t>nootkatensis</w:t>
      </w:r>
      <w:proofErr w:type="spellEnd"/>
      <w:r w:rsidRPr="000A1154">
        <w:rPr>
          <w:lang w:val="en-US"/>
        </w:rPr>
        <w:t xml:space="preserve">, </w:t>
      </w:r>
      <w:proofErr w:type="spellStart"/>
      <w:r w:rsidRPr="000A1154">
        <w:rPr>
          <w:lang w:val="en-US"/>
        </w:rPr>
        <w:t>Deschampsia</w:t>
      </w:r>
      <w:proofErr w:type="spellEnd"/>
      <w:r w:rsidRPr="000A1154">
        <w:rPr>
          <w:lang w:val="en-US"/>
        </w:rPr>
        <w:t xml:space="preserve"> </w:t>
      </w:r>
      <w:proofErr w:type="spellStart"/>
      <w:r w:rsidRPr="000A1154">
        <w:rPr>
          <w:lang w:val="en-US"/>
        </w:rPr>
        <w:t>cespitosa</w:t>
      </w:r>
      <w:proofErr w:type="spellEnd"/>
      <w:r w:rsidRPr="000A1154">
        <w:rPr>
          <w:lang w:val="en-US"/>
        </w:rPr>
        <w:t xml:space="preserve"> subsp</w:t>
      </w:r>
      <w:r>
        <w:rPr>
          <w:lang w:val="en-US"/>
        </w:rPr>
        <w:t xml:space="preserve">. </w:t>
      </w:r>
      <w:proofErr w:type="spellStart"/>
      <w:r w:rsidRPr="000A1154">
        <w:rPr>
          <w:lang w:val="en-US"/>
        </w:rPr>
        <w:t>beringensis</w:t>
      </w:r>
      <w:proofErr w:type="spellEnd"/>
      <w:r w:rsidRPr="000A1154">
        <w:rPr>
          <w:lang w:val="en-US"/>
        </w:rPr>
        <w:t xml:space="preserve"> and Salix </w:t>
      </w:r>
      <w:proofErr w:type="spellStart"/>
      <w:r w:rsidRPr="000A1154">
        <w:rPr>
          <w:lang w:val="en-US"/>
        </w:rPr>
        <w:t>alaxensis</w:t>
      </w:r>
      <w:proofErr w:type="spellEnd"/>
      <w:r w:rsidRPr="000A1154">
        <w:rPr>
          <w:lang w:val="en-US"/>
        </w:rPr>
        <w:t>), although none are exclusively alpine species.</w:t>
      </w:r>
    </w:p>
    <w:p w14:paraId="6938EFC5" w14:textId="009E8A26" w:rsidR="000A1154" w:rsidRDefault="000A1154" w:rsidP="000A1154">
      <w:pPr>
        <w:rPr>
          <w:lang w:val="en-US"/>
        </w:rPr>
      </w:pPr>
      <w:r w:rsidRPr="000A1154">
        <w:rPr>
          <w:lang w:val="en-US"/>
        </w:rPr>
        <w:t xml:space="preserve">At least some non-native species are causing concern in alpine areas. </w:t>
      </w:r>
      <w:proofErr w:type="spellStart"/>
      <w:r w:rsidRPr="000A1154">
        <w:rPr>
          <w:lang w:val="en-US"/>
        </w:rPr>
        <w:t>Pilosella</w:t>
      </w:r>
      <w:proofErr w:type="spellEnd"/>
      <w:r w:rsidRPr="000A1154">
        <w:rPr>
          <w:lang w:val="en-US"/>
        </w:rPr>
        <w:t xml:space="preserve"> officinarum (syn. Hieracium </w:t>
      </w:r>
      <w:proofErr w:type="spellStart"/>
      <w:r w:rsidRPr="000A1154">
        <w:rPr>
          <w:lang w:val="en-US"/>
        </w:rPr>
        <w:t>pilosella</w:t>
      </w:r>
      <w:proofErr w:type="spellEnd"/>
      <w:r w:rsidRPr="000A1154">
        <w:rPr>
          <w:lang w:val="en-US"/>
        </w:rPr>
        <w:t xml:space="preserve">) was discovered in the alpine zone of Kosciuszko National Park (KNP) in Australia in 2015. Much of the site was sparsely vegetated because of a past grazing disturbance, but P. officinarum dominated vegetation cover where it occurred, up to 150 m2 in area (Caldwell et al. 2015). Although the pre-invasion vegetation was not documented, the monocultural nature of P. officinarum in KNP is consistent with its known biology. Studies in New Zealand indicate that some native montane species are poor competitors with P. officinarum (Moen and </w:t>
      </w:r>
      <w:proofErr w:type="spellStart"/>
      <w:r w:rsidRPr="000A1154">
        <w:rPr>
          <w:lang w:val="en-US"/>
        </w:rPr>
        <w:t>Meurk</w:t>
      </w:r>
      <w:proofErr w:type="spellEnd"/>
      <w:r w:rsidRPr="000A1154">
        <w:rPr>
          <w:lang w:val="en-US"/>
        </w:rPr>
        <w:t xml:space="preserve"> 2001). Nevertheless, it seems likely that disturbance facilitated invasion and subsequent dominance by P. officinarum in the alpine zone at KNP. Overall, we see that even for species currently introduced deliberately to alpine areas, impacts on native communities have so far been slight. However, there are exceptions, warranting greater efforts to understand the conditions under which impacts do arise.</w:t>
      </w:r>
    </w:p>
    <w:p w14:paraId="2909D360" w14:textId="77777777" w:rsidR="000A1154" w:rsidRDefault="000A1154" w:rsidP="000A1154">
      <w:pPr>
        <w:rPr>
          <w:lang w:val="en-US"/>
        </w:rPr>
      </w:pPr>
    </w:p>
    <w:p w14:paraId="63C3888D" w14:textId="2785B142" w:rsidR="000A1154" w:rsidRDefault="000A1154" w:rsidP="000A1154">
      <w:pPr>
        <w:rPr>
          <w:lang w:val="en-US"/>
        </w:rPr>
      </w:pPr>
      <w:r w:rsidRPr="000A1154">
        <w:rPr>
          <w:lang w:val="en-US"/>
        </w:rPr>
        <w:t xml:space="preserve">In this study, we quantify the extent of intraspecific plant functional trait variability, its spatial structure and its response to environmental factors. Using a sampling design structured along two direct and orthogonal climatic gradients in an alpine valley, we quantified and </w:t>
      </w:r>
      <w:proofErr w:type="spellStart"/>
      <w:r w:rsidRPr="000A1154">
        <w:rPr>
          <w:lang w:val="en-US"/>
        </w:rPr>
        <w:t>analysed</w:t>
      </w:r>
      <w:proofErr w:type="spellEnd"/>
      <w:r w:rsidRPr="000A1154">
        <w:rPr>
          <w:lang w:val="en-US"/>
        </w:rPr>
        <w:t xml:space="preserve"> the intraspecific variability for three functional traits (height, leaf dry matter content and leaf nitrogen content) measured on sixteen plant species with contrasting life histories. 3. Results showed a large variability of traits within species with large discrepancies between functional traits and species. This variability did not appear to be structured within populations. Between populations, the overall variability was partly explained by the selected gradients. Despite the strong effects of temperature and radiation on trait intraspecific variability, the response curves of traits along gradients were partly idiosyncratic. 4. Synthesis. Giving a comprehensive quantification of intraspecific functional variability through the analysis of an original data set, we report new evidence that using a single trait value to describe a given species can hide large functional variation for this species along environmental gradients. These findings suggest that intraspecific functional variability should be a concern for ecologists and its recognition opens new opportunities to better </w:t>
      </w:r>
      <w:r w:rsidRPr="000A1154">
        <w:rPr>
          <w:lang w:val="en-US"/>
        </w:rPr>
        <w:lastRenderedPageBreak/>
        <w:t>understand and predict ecological patterns in a changing environment. Further analyses are, however, required to compare inter- and intraspecific variability.</w:t>
      </w:r>
    </w:p>
    <w:p w14:paraId="48BEA3FF" w14:textId="77777777" w:rsidR="0072602C" w:rsidRDefault="0072602C" w:rsidP="000A1154">
      <w:pPr>
        <w:rPr>
          <w:lang w:val="en-US"/>
        </w:rPr>
      </w:pPr>
    </w:p>
    <w:p w14:paraId="2125AF33" w14:textId="09305A22" w:rsidR="0072602C" w:rsidRDefault="0072602C" w:rsidP="0072602C">
      <w:pPr>
        <w:rPr>
          <w:lang w:val="en-US"/>
        </w:rPr>
      </w:pPr>
      <w:r w:rsidRPr="0072602C">
        <w:rPr>
          <w:lang w:val="en-US"/>
        </w:rPr>
        <w:t>Despite strong climate change in the tropics, little is known about the responses of tropical plants to changing environments. Moreover, while variation in responses to climate change across plant functional groups may help to predict future vegetation dynamics, tropical multi-species studies are missing.</w:t>
      </w:r>
      <w:r>
        <w:rPr>
          <w:lang w:val="en-US"/>
        </w:rPr>
        <w:t xml:space="preserve"> </w:t>
      </w:r>
      <w:r w:rsidRPr="0072602C">
        <w:rPr>
          <w:lang w:val="en-US"/>
        </w:rPr>
        <w:t>To study plant responses to changes in temperature, we compared the survival, growth and reproduction of 101 herbaceous species originating from the savanna and the submontane vegetation zones in two experimental gardens representing the climate of both zones at Kilimanjaro, Tanzania. Additionally, we tested whether plant functional groups, such as annuals and perennials, shade-tolerant and shade-intolerant species, grasses and forbs, and natives and exotics differ in their responses to transplantation.</w:t>
      </w:r>
      <w:r>
        <w:rPr>
          <w:lang w:val="en-US"/>
        </w:rPr>
        <w:t xml:space="preserve"> </w:t>
      </w:r>
      <w:r w:rsidRPr="0072602C">
        <w:rPr>
          <w:lang w:val="en-US"/>
        </w:rPr>
        <w:t>We show that the submontane species in the lower Kilimanjaro area clearly prefer the cooler submontane temperature in terms of survival, growth and reproduction, while savanna plants can grow equally well under both, the submontane and the savanna temperature regimes. This suggests that tropical submontane plants will likely face severe challenges with future climate warming and that the upper distributional limit of savanna plants may be due to biotic interactions rather than to climate. Moreover, we found different responses of grasses and forbs, and natives and exotics to transplantation irrespective of their origin, underlining the importance of considering plant functional groups in climate change research.</w:t>
      </w:r>
      <w:r>
        <w:rPr>
          <w:lang w:val="en-US"/>
        </w:rPr>
        <w:t xml:space="preserve"> </w:t>
      </w:r>
      <w:r w:rsidRPr="0072602C">
        <w:rPr>
          <w:i/>
          <w:iCs/>
          <w:lang w:val="en-US"/>
        </w:rPr>
        <w:t>Synthesis</w:t>
      </w:r>
      <w:r w:rsidRPr="0072602C">
        <w:rPr>
          <w:lang w:val="en-US"/>
        </w:rPr>
        <w:t>. We demonstrate different responses of tropical submontane and savanna plants to experimental temperature variation. Together with the observed differences between important functional plant groups, this leads us to suggest that strong future changes in vegetation composition on African tropical mountains are likely.</w:t>
      </w:r>
    </w:p>
    <w:p w14:paraId="26823887" w14:textId="77777777" w:rsidR="00360DB7" w:rsidRDefault="00360DB7" w:rsidP="0072602C">
      <w:pPr>
        <w:rPr>
          <w:lang w:val="en-US"/>
        </w:rPr>
      </w:pPr>
    </w:p>
    <w:p w14:paraId="22429155" w14:textId="77777777" w:rsidR="00360DB7" w:rsidRPr="00360DB7" w:rsidRDefault="00360DB7" w:rsidP="00360DB7">
      <w:pPr>
        <w:rPr>
          <w:lang w:val="en-US"/>
        </w:rPr>
      </w:pPr>
      <w:r w:rsidRPr="00360DB7">
        <w:rPr>
          <w:lang w:val="en-US"/>
        </w:rPr>
        <w:t>While we found generally strong negative responses of plants to increasing temperature, responses varied strongly among species. To explain this variation, we tested whether a priori assigned plant functional groups (e.g. annual vs. perennial, shade-tolerant vs. shade-intolerant, grasses vs. forbs, C3 vs. C4 species and exotics vs. natives) responded differently to transplantation and whether they modulated the general different responses of submontane and savanna plants. We did not find different responses of annuals and perennials, and shade-tolerant and shade-intolerant species (see </w:t>
      </w:r>
      <w:hyperlink r:id="rId6" w:anchor="jec12842-sec-0006" w:history="1">
        <w:r w:rsidRPr="00360DB7">
          <w:rPr>
            <w:rStyle w:val="Hyperlink"/>
            <w:b/>
            <w:bCs/>
            <w:lang w:val="en-US"/>
          </w:rPr>
          <w:t>statistical analyses</w:t>
        </w:r>
      </w:hyperlink>
      <w:r w:rsidRPr="00360DB7">
        <w:rPr>
          <w:lang w:val="en-US"/>
        </w:rPr>
        <w:t>), but grasses and forbs, as well as annual native and exotic species responded differently to transplantation in several measures (Table </w:t>
      </w:r>
      <w:hyperlink r:id="rId7" w:anchor="jec12842-tbl-0001" w:tooltip="Link to table" w:history="1">
        <w:r w:rsidRPr="00360DB7">
          <w:rPr>
            <w:rStyle w:val="Hyperlink"/>
            <w:b/>
            <w:bCs/>
            <w:lang w:val="en-US"/>
          </w:rPr>
          <w:t>1</w:t>
        </w:r>
      </w:hyperlink>
      <w:r w:rsidRPr="00360DB7">
        <w:rPr>
          <w:lang w:val="en-US"/>
        </w:rPr>
        <w:t>). While grasses generally survived better in the submontane garden than in the savanna garden, survival of forbs did not differ between the gardens (garden × grass interaction, Table </w:t>
      </w:r>
      <w:hyperlink r:id="rId8" w:anchor="jec12842-tbl-0001" w:tooltip="Link to table" w:history="1">
        <w:r w:rsidRPr="00360DB7">
          <w:rPr>
            <w:rStyle w:val="Hyperlink"/>
            <w:b/>
            <w:bCs/>
            <w:lang w:val="en-US"/>
          </w:rPr>
          <w:t>1</w:t>
        </w:r>
      </w:hyperlink>
      <w:r w:rsidRPr="00360DB7">
        <w:rPr>
          <w:lang w:val="en-US"/>
        </w:rPr>
        <w:t>, Figure </w:t>
      </w:r>
      <w:hyperlink r:id="rId9" w:anchor="jec12842-fig-0003" w:history="1">
        <w:r w:rsidRPr="00360DB7">
          <w:rPr>
            <w:rStyle w:val="Hyperlink"/>
            <w:b/>
            <w:bCs/>
            <w:lang w:val="en-US"/>
          </w:rPr>
          <w:t>3</w:t>
        </w:r>
      </w:hyperlink>
      <w:r w:rsidRPr="00360DB7">
        <w:rPr>
          <w:lang w:val="en-US"/>
        </w:rPr>
        <w:t xml:space="preserve">a). We did not find a different response of grasses and forbs to </w:t>
      </w:r>
      <w:r w:rsidRPr="00360DB7">
        <w:rPr>
          <w:lang w:val="en-US"/>
        </w:rPr>
        <w:lastRenderedPageBreak/>
        <w:t>transplantation in terms of growth and reproduction (Figure </w:t>
      </w:r>
      <w:hyperlink r:id="rId10" w:anchor="jec12842-fig-0003" w:history="1">
        <w:r w:rsidRPr="00360DB7">
          <w:rPr>
            <w:rStyle w:val="Hyperlink"/>
            <w:b/>
            <w:bCs/>
            <w:lang w:val="en-US"/>
          </w:rPr>
          <w:t>3</w:t>
        </w:r>
      </w:hyperlink>
      <w:r w:rsidRPr="00360DB7">
        <w:rPr>
          <w:lang w:val="en-US"/>
        </w:rPr>
        <w:t>b,c). However, grasses did not respond to transplantation in phenological timing, while the forbs strongly accelerated their phenological timing in the savanna garden (garden × grass interaction, Figure </w:t>
      </w:r>
      <w:hyperlink r:id="rId11" w:anchor="jec12842-fig-0003" w:history="1">
        <w:r w:rsidRPr="00360DB7">
          <w:rPr>
            <w:rStyle w:val="Hyperlink"/>
            <w:b/>
            <w:bCs/>
            <w:lang w:val="en-US"/>
          </w:rPr>
          <w:t>3</w:t>
        </w:r>
      </w:hyperlink>
      <w:r w:rsidRPr="00360DB7">
        <w:rPr>
          <w:lang w:val="en-US"/>
        </w:rPr>
        <w:t>b). A similar pattern was observed when we replaced the grouping of grasses and forbs with the strongly overlapping grouping of C4 and C3 plants (Table </w:t>
      </w:r>
      <w:hyperlink r:id="rId12" w:anchor="support-information-section" w:history="1">
        <w:r w:rsidRPr="00360DB7">
          <w:rPr>
            <w:rStyle w:val="Hyperlink"/>
            <w:b/>
            <w:bCs/>
            <w:lang w:val="en-US"/>
          </w:rPr>
          <w:t>S3</w:t>
        </w:r>
      </w:hyperlink>
      <w:r w:rsidRPr="00360DB7">
        <w:rPr>
          <w:lang w:val="en-US"/>
        </w:rPr>
        <w:t>, Figure </w:t>
      </w:r>
      <w:hyperlink r:id="rId13" w:anchor="support-information-section" w:history="1">
        <w:r w:rsidRPr="00360DB7">
          <w:rPr>
            <w:rStyle w:val="Hyperlink"/>
            <w:b/>
            <w:bCs/>
            <w:lang w:val="en-US"/>
          </w:rPr>
          <w:t>S3</w:t>
        </w:r>
      </w:hyperlink>
      <w:r w:rsidRPr="00360DB7">
        <w:rPr>
          <w:lang w:val="en-US"/>
        </w:rPr>
        <w:t>).</w:t>
      </w:r>
    </w:p>
    <w:p w14:paraId="6ECE2059" w14:textId="77777777" w:rsidR="00360DB7" w:rsidRPr="00360DB7" w:rsidRDefault="00360DB7" w:rsidP="00360DB7">
      <w:pPr>
        <w:rPr>
          <w:lang w:val="en-US"/>
        </w:rPr>
      </w:pPr>
      <w:r w:rsidRPr="00360DB7">
        <w:rPr>
          <w:lang w:val="en-US"/>
        </w:rPr>
        <w:t>Exotics generally had more flowers than native species (Figure </w:t>
      </w:r>
      <w:hyperlink r:id="rId14" w:anchor="support-information-section" w:history="1">
        <w:r w:rsidRPr="00360DB7">
          <w:rPr>
            <w:rStyle w:val="Hyperlink"/>
            <w:b/>
            <w:bCs/>
            <w:lang w:val="en-US"/>
          </w:rPr>
          <w:t>S2</w:t>
        </w:r>
      </w:hyperlink>
      <w:r w:rsidRPr="00360DB7">
        <w:rPr>
          <w:lang w:val="en-US"/>
        </w:rPr>
        <w:t>), but did not differ in their response to transplantation in survival, growth and reproduction (garden × exotic interaction, Figure </w:t>
      </w:r>
      <w:hyperlink r:id="rId15" w:anchor="jec12842-fig-0003" w:history="1">
        <w:r w:rsidRPr="00360DB7">
          <w:rPr>
            <w:rStyle w:val="Hyperlink"/>
            <w:b/>
            <w:bCs/>
            <w:lang w:val="en-US"/>
          </w:rPr>
          <w:t>3</w:t>
        </w:r>
      </w:hyperlink>
      <w:r w:rsidRPr="00360DB7">
        <w:rPr>
          <w:lang w:val="en-US"/>
        </w:rPr>
        <w:t>e–g). However, exotics did not differ in their phenological timing across the gardens, while native species strongly accelerated their time to reproduction in the savanna garden (Figure </w:t>
      </w:r>
      <w:hyperlink r:id="rId16" w:anchor="jec12842-fig-0003" w:history="1">
        <w:r w:rsidRPr="00360DB7">
          <w:rPr>
            <w:rStyle w:val="Hyperlink"/>
            <w:b/>
            <w:bCs/>
            <w:lang w:val="en-US"/>
          </w:rPr>
          <w:t>3</w:t>
        </w:r>
      </w:hyperlink>
      <w:r w:rsidRPr="00360DB7">
        <w:rPr>
          <w:lang w:val="en-US"/>
        </w:rPr>
        <w:t>h).</w:t>
      </w:r>
    </w:p>
    <w:p w14:paraId="04B00393" w14:textId="78E61004" w:rsidR="00360DB7" w:rsidRDefault="00360DB7" w:rsidP="0072602C">
      <w:pPr>
        <w:rPr>
          <w:lang w:val="en-US"/>
        </w:rPr>
      </w:pPr>
      <w:r w:rsidRPr="00360DB7">
        <w:rPr>
          <w:lang w:val="en-US"/>
        </w:rPr>
        <w:t>Growth and reproduction of the 101 herbaceous species strongly differed between the savanna garden and the 5K cooler submontane garden (garden effect, Table </w:t>
      </w:r>
      <w:hyperlink r:id="rId17" w:anchor="jec12842-tbl-0001" w:tooltip="Link to table" w:history="1">
        <w:r w:rsidRPr="00360DB7">
          <w:rPr>
            <w:rStyle w:val="Hyperlink"/>
            <w:b/>
            <w:bCs/>
            <w:lang w:val="en-US"/>
          </w:rPr>
          <w:t>1</w:t>
        </w:r>
      </w:hyperlink>
      <w:r w:rsidRPr="00360DB7">
        <w:rPr>
          <w:lang w:val="en-US"/>
        </w:rPr>
        <w:t>). Survival was generally high (on average 85%) and did not differ between gardens. However, submontane species survived better in the cooler submontane garden than in the warmer savanna garden, whereas savanna species survived slightly, but non-significantly better in their savanna garden (garden × origin interaction, Table </w:t>
      </w:r>
      <w:hyperlink r:id="rId18" w:anchor="jec12842-tbl-0001" w:tooltip="Link to table" w:history="1">
        <w:r w:rsidRPr="00360DB7">
          <w:rPr>
            <w:rStyle w:val="Hyperlink"/>
            <w:b/>
            <w:bCs/>
            <w:lang w:val="en-US"/>
          </w:rPr>
          <w:t>1</w:t>
        </w:r>
      </w:hyperlink>
      <w:r w:rsidRPr="00360DB7">
        <w:rPr>
          <w:lang w:val="en-US"/>
        </w:rPr>
        <w:t>, Figure </w:t>
      </w:r>
      <w:hyperlink r:id="rId19" w:anchor="jec12842-fig-0002" w:history="1">
        <w:r w:rsidRPr="00360DB7">
          <w:rPr>
            <w:rStyle w:val="Hyperlink"/>
            <w:b/>
            <w:bCs/>
            <w:lang w:val="en-US"/>
          </w:rPr>
          <w:t>2</w:t>
        </w:r>
      </w:hyperlink>
      <w:r w:rsidRPr="00360DB7">
        <w:rPr>
          <w:lang w:val="en-US"/>
        </w:rPr>
        <w:t>a; Table </w:t>
      </w:r>
      <w:hyperlink r:id="rId20" w:anchor="support-information-section" w:history="1">
        <w:r w:rsidRPr="00360DB7">
          <w:rPr>
            <w:rStyle w:val="Hyperlink"/>
            <w:b/>
            <w:bCs/>
            <w:lang w:val="en-US"/>
          </w:rPr>
          <w:t>S4</w:t>
        </w:r>
      </w:hyperlink>
      <w:r w:rsidRPr="00360DB7">
        <w:rPr>
          <w:lang w:val="en-US"/>
        </w:rPr>
        <w:t>). Similarly, submontane plants significantly decreased in biomass and number of flowers in the savanna garden, while savanna plants did not differ in these measures of performance and reproduction (garden × origin interaction, Table </w:t>
      </w:r>
      <w:hyperlink r:id="rId21" w:anchor="jec12842-tbl-0001" w:tooltip="Link to table" w:history="1">
        <w:r w:rsidRPr="00360DB7">
          <w:rPr>
            <w:rStyle w:val="Hyperlink"/>
            <w:b/>
            <w:bCs/>
            <w:lang w:val="en-US"/>
          </w:rPr>
          <w:t>1</w:t>
        </w:r>
      </w:hyperlink>
      <w:r w:rsidRPr="00360DB7">
        <w:rPr>
          <w:lang w:val="en-US"/>
        </w:rPr>
        <w:t>, Figure </w:t>
      </w:r>
      <w:hyperlink r:id="rId22" w:anchor="jec12842-fig-0002" w:history="1">
        <w:r w:rsidRPr="00360DB7">
          <w:rPr>
            <w:rStyle w:val="Hyperlink"/>
            <w:b/>
            <w:bCs/>
            <w:lang w:val="en-US"/>
          </w:rPr>
          <w:t>2</w:t>
        </w:r>
      </w:hyperlink>
      <w:r w:rsidRPr="00360DB7">
        <w:rPr>
          <w:lang w:val="en-US"/>
        </w:rPr>
        <w:t>b,c). Species generally reproduced earlier in the warmer garden, and savanna plants even more than submontane ones (Figure </w:t>
      </w:r>
      <w:hyperlink r:id="rId23" w:anchor="jec12842-fig-0002" w:history="1">
        <w:r w:rsidRPr="00360DB7">
          <w:rPr>
            <w:rStyle w:val="Hyperlink"/>
            <w:b/>
            <w:bCs/>
            <w:lang w:val="en-US"/>
          </w:rPr>
          <w:t>2</w:t>
        </w:r>
      </w:hyperlink>
      <w:r w:rsidRPr="00360DB7">
        <w:rPr>
          <w:lang w:val="en-US"/>
        </w:rPr>
        <w:t>d).</w:t>
      </w:r>
    </w:p>
    <w:p w14:paraId="6A9E71C2" w14:textId="77777777" w:rsidR="00360DB7" w:rsidRDefault="00360DB7" w:rsidP="0072602C">
      <w:pPr>
        <w:rPr>
          <w:lang w:val="en-US"/>
        </w:rPr>
      </w:pPr>
    </w:p>
    <w:p w14:paraId="764FD43A" w14:textId="23465C78" w:rsidR="00360DB7" w:rsidRDefault="00360DB7" w:rsidP="00360DB7">
      <w:pPr>
        <w:rPr>
          <w:lang w:val="en-US"/>
        </w:rPr>
      </w:pPr>
      <w:r w:rsidRPr="00360DB7">
        <w:rPr>
          <w:lang w:val="en-US"/>
        </w:rPr>
        <w:t>Effective approaches towards sustainability need to be informed by a diverse array of stakeholder perspectives. However, capturing these perspectives in a way that can be integrated with other forms of knowledge can represent a challenge.</w:t>
      </w:r>
      <w:r>
        <w:rPr>
          <w:lang w:val="en-US"/>
        </w:rPr>
        <w:t xml:space="preserve"> </w:t>
      </w:r>
      <w:r w:rsidRPr="00360DB7">
        <w:rPr>
          <w:lang w:val="en-US"/>
        </w:rPr>
        <w:t>Here we present the first application of the conceptual framework of the Intergovernmental Science-Policy Platform on Biodiversity and Ecosystem Services (IPBES) to a participatory assessment of local perspectives on nature, people and sustainability on Mount Kilimanjaro, Tanzania. This assessment was organized in the form of a participatory workshop with five different groups of stakeholders.</w:t>
      </w:r>
      <w:r>
        <w:rPr>
          <w:lang w:val="en-US"/>
        </w:rPr>
        <w:t xml:space="preserve"> </w:t>
      </w:r>
      <w:r w:rsidRPr="00360DB7">
        <w:rPr>
          <w:lang w:val="en-US"/>
        </w:rPr>
        <w:t>Following this framework, we assembled information on the state of and trends in species diversity, Nature's Contributions to People (NCP), and on the main drivers of changes in species and habitats. Additionally, we gathered perspectives on the needs and opportunities for the sustainable management and conservation of natural resources from the individual to the international level.</w:t>
      </w:r>
      <w:r>
        <w:rPr>
          <w:lang w:val="en-US"/>
        </w:rPr>
        <w:t xml:space="preserve"> </w:t>
      </w:r>
      <w:r w:rsidRPr="00360DB7">
        <w:rPr>
          <w:lang w:val="en-US"/>
        </w:rPr>
        <w:t>The various stakeholders agreed that both the condition and extent of the various habitats and NCP are declining.</w:t>
      </w:r>
      <w:r>
        <w:rPr>
          <w:lang w:val="en-US"/>
        </w:rPr>
        <w:t xml:space="preserve"> </w:t>
      </w:r>
      <w:r w:rsidRPr="00360DB7">
        <w:rPr>
          <w:lang w:val="en-US"/>
        </w:rPr>
        <w:t xml:space="preserve">In line with available knowledge, the key direct drivers of change mentioned by the workshop participants were land use and climate change, whereas human population growth was singled out as the most </w:t>
      </w:r>
      <w:r w:rsidRPr="00360DB7">
        <w:rPr>
          <w:lang w:val="en-US"/>
        </w:rPr>
        <w:lastRenderedPageBreak/>
        <w:t>important indirect driver.</w:t>
      </w:r>
      <w:r>
        <w:rPr>
          <w:lang w:val="en-US"/>
        </w:rPr>
        <w:t xml:space="preserve"> </w:t>
      </w:r>
      <w:r w:rsidRPr="00360DB7">
        <w:rPr>
          <w:lang w:val="en-US"/>
        </w:rPr>
        <w:t>The most frequently suggested measures to address the observed decline in species diversity and its drivers were related to land and water management and to education and awareness raising. Yet, the stakeholder groups differed in the measures they suggested.</w:t>
      </w:r>
      <w:r>
        <w:rPr>
          <w:lang w:val="en-US"/>
        </w:rPr>
        <w:t xml:space="preserve"> </w:t>
      </w:r>
      <w:r w:rsidRPr="00360DB7">
        <w:rPr>
          <w:lang w:val="en-US"/>
        </w:rPr>
        <w:t>The willingness of a diversity of knowledge holders to systematically engage in a structured discussion around all the elements of the IPBES framework provides support for its applicability in participatory workshops aimed at capturing nuanced and context-based perspectives on social–ecological systems from informed stakeholders.</w:t>
      </w:r>
      <w:r>
        <w:rPr>
          <w:lang w:val="en-US"/>
        </w:rPr>
        <w:t xml:space="preserve"> </w:t>
      </w:r>
      <w:r w:rsidRPr="00360DB7">
        <w:rPr>
          <w:lang w:val="en-US"/>
        </w:rPr>
        <w:t>The application of the IPBES framework enabled the comparability needed for developing narratives of stakeholder visions that can help identify new pathways towards sustainability and guide planning while retaining the context-based nuances that remain unresolved with non-participatory methods.</w:t>
      </w:r>
    </w:p>
    <w:p w14:paraId="4C0E6B10" w14:textId="77777777" w:rsidR="00360DB7" w:rsidRDefault="00360DB7" w:rsidP="00360DB7">
      <w:pPr>
        <w:rPr>
          <w:lang w:val="en-US"/>
        </w:rPr>
      </w:pPr>
    </w:p>
    <w:p w14:paraId="703FC07F" w14:textId="77777777" w:rsidR="00360DB7" w:rsidRPr="00360DB7" w:rsidRDefault="00360DB7" w:rsidP="00360DB7">
      <w:pPr>
        <w:rPr>
          <w:lang w:val="en-US"/>
        </w:rPr>
      </w:pPr>
      <w:r w:rsidRPr="00360DB7">
        <w:rPr>
          <w:lang w:val="en-US"/>
        </w:rPr>
        <w:t>During the group discussion on species, participants identified individual types of organisms at different taxonomic resolution. Altogether participants identified 45 different types of plants, 29 mammal species or groups, nine reptile and amphibian species or groups, eight bird species, three categories of fish, five arthropod taxa, plankton, algae and worms (see Table S5 in Supplementary Material S2). The taxonomic resolution of the listed species varied by taxa, with mammals and birds typically listed at species level, plants to genus and invertebrates at coarser resolution. The ‘Community’ and ‘Conservation’ groups listed the highest number of species (37 each), with the former group listing the most plants (23 types) and the latter the most mammals (15 types). As these species lists resulted from group discussions, there is only one data point per group, and we could not test for statistical differences between the groups.</w:t>
      </w:r>
    </w:p>
    <w:p w14:paraId="58C8A951" w14:textId="77777777" w:rsidR="00360DB7" w:rsidRPr="00360DB7" w:rsidRDefault="00360DB7" w:rsidP="00360DB7">
      <w:pPr>
        <w:rPr>
          <w:lang w:val="en-US"/>
        </w:rPr>
      </w:pPr>
      <w:r w:rsidRPr="00360DB7">
        <w:rPr>
          <w:lang w:val="en-US"/>
        </w:rPr>
        <w:t>Based on the ‘habitat’ questionnaire, stakeholder groups did not differ significantly in their assessment of changes in habitat area (Table </w:t>
      </w:r>
      <w:hyperlink r:id="rId24" w:anchor="pan310310-tbl-0001" w:tooltip="Link to table" w:history="1">
        <w:r w:rsidRPr="00360DB7">
          <w:rPr>
            <w:rStyle w:val="Hyperlink"/>
            <w:b/>
            <w:bCs/>
            <w:lang w:val="en-US"/>
          </w:rPr>
          <w:t>1</w:t>
        </w:r>
      </w:hyperlink>
      <w:r w:rsidRPr="00360DB7">
        <w:rPr>
          <w:lang w:val="en-US"/>
        </w:rPr>
        <w:t>) and the interaction between stakeholder group and habitat was not significant either. However, the reported trends in area differed significantly across habitats. That is, there was a broad consensus among participants that the habitat area was decreasing, but that this decline differed across habitat types (Figure </w:t>
      </w:r>
      <w:hyperlink r:id="rId25" w:anchor="pan310310-fig-0001" w:history="1">
        <w:r w:rsidRPr="00360DB7">
          <w:rPr>
            <w:rStyle w:val="Hyperlink"/>
            <w:b/>
            <w:bCs/>
            <w:lang w:val="en-US"/>
          </w:rPr>
          <w:t>1</w:t>
        </w:r>
      </w:hyperlink>
      <w:r w:rsidRPr="00360DB7">
        <w:rPr>
          <w:lang w:val="en-US"/>
        </w:rPr>
        <w:t> left, Table S6 in Supplementary Material S2). In particular, grassland and freshwater had almost unanimously negative assessments, with over 90% of responses indicating declines in extent and condition (Table S6 in Supplementary Material S2). While a higher proportion of responses indicated positive trends for forest condition than for grassland and freshwater (27% of 37 responses), the predominant view was also of declining forest extent (76%) and condition (68%; Figure S2 in Supplementary Material S2). In the questionnaire, species diversity was only assessed at very coarse taxonomic level (including birds, mammals and trees) and was largely reported to be declining (Figure S3 in Supplementary Material S2).</w:t>
      </w:r>
    </w:p>
    <w:p w14:paraId="659F8FB9" w14:textId="24B5E443" w:rsidR="00360DB7" w:rsidRPr="00360DB7" w:rsidRDefault="00360DB7" w:rsidP="00360DB7">
      <w:pPr>
        <w:rPr>
          <w:lang w:val="en-US"/>
        </w:rPr>
      </w:pPr>
      <w:r w:rsidRPr="00360DB7">
        <w:rPr>
          <w:lang w:val="en-US"/>
        </w:rPr>
        <w:lastRenderedPageBreak/>
        <w:t>Access to these NCP was reported to have declined over the last 10 years by most participants in all categories except Livelihoods (where more participants reported increased than decreased access), reflecting a general trend for material NCP increasing at the expense of non-material NCP (Figure </w:t>
      </w:r>
      <w:hyperlink r:id="rId26" w:anchor="pan310310-fig-0003" w:history="1">
        <w:r w:rsidRPr="00360DB7">
          <w:rPr>
            <w:rStyle w:val="Hyperlink"/>
            <w:b/>
            <w:bCs/>
            <w:lang w:val="en-US"/>
          </w:rPr>
          <w:t>3</w:t>
        </w:r>
      </w:hyperlink>
      <w:r w:rsidRPr="00360DB7">
        <w:rPr>
          <w:lang w:val="en-US"/>
        </w:rPr>
        <w:t>). In the ‘ecosystem services’ questionnaire, participants cited a number of direct and indirect drivers to explain the trends in NCP access over the last 10 years (Figure </w:t>
      </w:r>
      <w:hyperlink r:id="rId27" w:anchor="pan310310-fig-0004" w:history="1">
        <w:r w:rsidRPr="00360DB7">
          <w:rPr>
            <w:rStyle w:val="Hyperlink"/>
            <w:b/>
            <w:bCs/>
            <w:lang w:val="en-US"/>
          </w:rPr>
          <w:t>4</w:t>
        </w:r>
      </w:hyperlink>
      <w:r w:rsidRPr="00360DB7">
        <w:rPr>
          <w:lang w:val="en-US"/>
        </w:rPr>
        <w:t>). According to their answers, increased population and competition for resources, combined with climate change, deforestation and forest degradation, has reduced access to Water, Energy and Materials, Food and Medicine, and Air and Climate NCP. However, education and awareness programs, irrigation and infrastructure improvements and tourism have contributed to improving access to Water and Livelihood NCP, countering the general declines (Figure </w:t>
      </w:r>
      <w:hyperlink r:id="rId28" w:anchor="pan310310-fig-0004" w:history="1">
        <w:r w:rsidRPr="00360DB7">
          <w:rPr>
            <w:rStyle w:val="Hyperlink"/>
            <w:b/>
            <w:bCs/>
            <w:lang w:val="en-US"/>
          </w:rPr>
          <w:t>4</w:t>
        </w:r>
      </w:hyperlink>
      <w:r w:rsidRPr="00360DB7">
        <w:rPr>
          <w:lang w:val="en-US"/>
        </w:rPr>
        <w:t>). When asked to forecast how access to these NCP might change over the next 10 years, the respondents almost unanimously predicted declines in all NCP categories (Figure </w:t>
      </w:r>
      <w:hyperlink r:id="rId29" w:anchor="pan310310-fig-0003" w:history="1">
        <w:r w:rsidRPr="00360DB7">
          <w:rPr>
            <w:rStyle w:val="Hyperlink"/>
            <w:b/>
            <w:bCs/>
            <w:lang w:val="en-US"/>
          </w:rPr>
          <w:t>3</w:t>
        </w:r>
      </w:hyperlink>
      <w:r w:rsidRPr="00360DB7">
        <w:rPr>
          <w:lang w:val="en-US"/>
        </w:rPr>
        <w:t>). The assessment of past trends in NCP provision and access differed significantly across groups (Table </w:t>
      </w:r>
      <w:hyperlink r:id="rId30" w:anchor="pan310310-tbl-0001" w:tooltip="Link to table" w:history="1">
        <w:r w:rsidRPr="00360DB7">
          <w:rPr>
            <w:rStyle w:val="Hyperlink"/>
            <w:b/>
            <w:bCs/>
            <w:lang w:val="en-US"/>
          </w:rPr>
          <w:t>1</w:t>
        </w:r>
      </w:hyperlink>
      <w:r w:rsidRPr="00360DB7">
        <w:rPr>
          <w:lang w:val="en-US"/>
        </w:rPr>
        <w:t>) but not across NCP categories. The interaction between stakeholder group and NCP category was marginally significant. The assessment of future trends in NCP provision and access did not differ across stakeholder groups and NCP category, and the interaction between them was not significant either.</w:t>
      </w:r>
    </w:p>
    <w:p w14:paraId="36AA2AFD" w14:textId="65AB4521" w:rsidR="00360DB7" w:rsidRPr="00360DB7" w:rsidRDefault="00360DB7" w:rsidP="0072602C">
      <w:pPr>
        <w:rPr>
          <w:lang w:val="en-US"/>
        </w:rPr>
      </w:pPr>
    </w:p>
    <w:p w14:paraId="0A4A6269" w14:textId="77777777" w:rsidR="0072602C" w:rsidRPr="000A1154" w:rsidRDefault="0072602C" w:rsidP="000A1154">
      <w:pPr>
        <w:rPr>
          <w:lang w:val="en-US"/>
        </w:rPr>
      </w:pPr>
    </w:p>
    <w:sectPr w:rsidR="0072602C" w:rsidRPr="000A1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3FDB"/>
    <w:multiLevelType w:val="multilevel"/>
    <w:tmpl w:val="FB2E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33632"/>
    <w:multiLevelType w:val="multilevel"/>
    <w:tmpl w:val="ABC2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417BF"/>
    <w:multiLevelType w:val="multilevel"/>
    <w:tmpl w:val="6C2E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711087">
    <w:abstractNumId w:val="0"/>
  </w:num>
  <w:num w:numId="2" w16cid:durableId="334579307">
    <w:abstractNumId w:val="1"/>
  </w:num>
  <w:num w:numId="3" w16cid:durableId="1675952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A2"/>
    <w:rsid w:val="00051CA2"/>
    <w:rsid w:val="000A1154"/>
    <w:rsid w:val="00212756"/>
    <w:rsid w:val="002626EE"/>
    <w:rsid w:val="00360DB7"/>
    <w:rsid w:val="00512774"/>
    <w:rsid w:val="0072602C"/>
    <w:rsid w:val="00842A24"/>
    <w:rsid w:val="00CF56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5782"/>
  <w15:chartTrackingRefBased/>
  <w15:docId w15:val="{7D9E90B0-C64B-4A4B-A571-EEFE541E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A2"/>
    <w:rPr>
      <w:rFonts w:eastAsiaTheme="majorEastAsia" w:cstheme="majorBidi"/>
      <w:color w:val="272727" w:themeColor="text1" w:themeTint="D8"/>
    </w:rPr>
  </w:style>
  <w:style w:type="paragraph" w:styleId="Title">
    <w:name w:val="Title"/>
    <w:basedOn w:val="Normal"/>
    <w:next w:val="Normal"/>
    <w:link w:val="TitleChar"/>
    <w:uiPriority w:val="10"/>
    <w:qFormat/>
    <w:rsid w:val="00051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A2"/>
    <w:pPr>
      <w:spacing w:before="160"/>
      <w:jc w:val="center"/>
    </w:pPr>
    <w:rPr>
      <w:i/>
      <w:iCs/>
      <w:color w:val="404040" w:themeColor="text1" w:themeTint="BF"/>
    </w:rPr>
  </w:style>
  <w:style w:type="character" w:customStyle="1" w:styleId="QuoteChar">
    <w:name w:val="Quote Char"/>
    <w:basedOn w:val="DefaultParagraphFont"/>
    <w:link w:val="Quote"/>
    <w:uiPriority w:val="29"/>
    <w:rsid w:val="00051CA2"/>
    <w:rPr>
      <w:i/>
      <w:iCs/>
      <w:color w:val="404040" w:themeColor="text1" w:themeTint="BF"/>
    </w:rPr>
  </w:style>
  <w:style w:type="paragraph" w:styleId="ListParagraph">
    <w:name w:val="List Paragraph"/>
    <w:basedOn w:val="Normal"/>
    <w:uiPriority w:val="34"/>
    <w:qFormat/>
    <w:rsid w:val="00051CA2"/>
    <w:pPr>
      <w:ind w:left="720"/>
      <w:contextualSpacing/>
    </w:pPr>
  </w:style>
  <w:style w:type="character" w:styleId="IntenseEmphasis">
    <w:name w:val="Intense Emphasis"/>
    <w:basedOn w:val="DefaultParagraphFont"/>
    <w:uiPriority w:val="21"/>
    <w:qFormat/>
    <w:rsid w:val="00051CA2"/>
    <w:rPr>
      <w:i/>
      <w:iCs/>
      <w:color w:val="0F4761" w:themeColor="accent1" w:themeShade="BF"/>
    </w:rPr>
  </w:style>
  <w:style w:type="paragraph" w:styleId="IntenseQuote">
    <w:name w:val="Intense Quote"/>
    <w:basedOn w:val="Normal"/>
    <w:next w:val="Normal"/>
    <w:link w:val="IntenseQuoteChar"/>
    <w:uiPriority w:val="30"/>
    <w:qFormat/>
    <w:rsid w:val="00051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CA2"/>
    <w:rPr>
      <w:i/>
      <w:iCs/>
      <w:color w:val="0F4761" w:themeColor="accent1" w:themeShade="BF"/>
    </w:rPr>
  </w:style>
  <w:style w:type="character" w:styleId="IntenseReference">
    <w:name w:val="Intense Reference"/>
    <w:basedOn w:val="DefaultParagraphFont"/>
    <w:uiPriority w:val="32"/>
    <w:qFormat/>
    <w:rsid w:val="00051CA2"/>
    <w:rPr>
      <w:b/>
      <w:bCs/>
      <w:smallCaps/>
      <w:color w:val="0F4761" w:themeColor="accent1" w:themeShade="BF"/>
      <w:spacing w:val="5"/>
    </w:rPr>
  </w:style>
  <w:style w:type="character" w:styleId="Hyperlink">
    <w:name w:val="Hyperlink"/>
    <w:basedOn w:val="DefaultParagraphFont"/>
    <w:uiPriority w:val="99"/>
    <w:unhideWhenUsed/>
    <w:rsid w:val="00051CA2"/>
    <w:rPr>
      <w:color w:val="467886" w:themeColor="hyperlink"/>
      <w:u w:val="single"/>
    </w:rPr>
  </w:style>
  <w:style w:type="character" w:styleId="UnresolvedMention">
    <w:name w:val="Unresolved Mention"/>
    <w:basedOn w:val="DefaultParagraphFont"/>
    <w:uiPriority w:val="99"/>
    <w:semiHidden/>
    <w:unhideWhenUsed/>
    <w:rsid w:val="00051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sjournals.onlinelibrary.wiley.com/doi/10.1111/1365-2745.12842" TargetMode="External"/><Relationship Id="rId13" Type="http://schemas.openxmlformats.org/officeDocument/2006/relationships/hyperlink" Target="https://besjournals.onlinelibrary.wiley.com/doi/10.1111/1365-2745.12842" TargetMode="External"/><Relationship Id="rId18" Type="http://schemas.openxmlformats.org/officeDocument/2006/relationships/hyperlink" Target="https://besjournals.onlinelibrary.wiley.com/doi/10.1111/1365-2745.12842" TargetMode="External"/><Relationship Id="rId26" Type="http://schemas.openxmlformats.org/officeDocument/2006/relationships/hyperlink" Target="https://besjournals.onlinelibrary.wiley.com/doi/10.1002/pan3.10310" TargetMode="External"/><Relationship Id="rId3" Type="http://schemas.openxmlformats.org/officeDocument/2006/relationships/settings" Target="settings.xml"/><Relationship Id="rId21" Type="http://schemas.openxmlformats.org/officeDocument/2006/relationships/hyperlink" Target="https://besjournals.onlinelibrary.wiley.com/doi/10.1111/1365-2745.12842" TargetMode="External"/><Relationship Id="rId7" Type="http://schemas.openxmlformats.org/officeDocument/2006/relationships/hyperlink" Target="https://besjournals.onlinelibrary.wiley.com/doi/10.1111/1365-2745.12842" TargetMode="External"/><Relationship Id="rId12" Type="http://schemas.openxmlformats.org/officeDocument/2006/relationships/hyperlink" Target="https://besjournals.onlinelibrary.wiley.com/doi/10.1111/1365-2745.12842" TargetMode="External"/><Relationship Id="rId17" Type="http://schemas.openxmlformats.org/officeDocument/2006/relationships/hyperlink" Target="https://besjournals.onlinelibrary.wiley.com/doi/10.1111/1365-2745.12842" TargetMode="External"/><Relationship Id="rId25" Type="http://schemas.openxmlformats.org/officeDocument/2006/relationships/hyperlink" Target="https://besjournals.onlinelibrary.wiley.com/doi/10.1002/pan3.10310" TargetMode="External"/><Relationship Id="rId2" Type="http://schemas.openxmlformats.org/officeDocument/2006/relationships/styles" Target="styles.xml"/><Relationship Id="rId16" Type="http://schemas.openxmlformats.org/officeDocument/2006/relationships/hyperlink" Target="https://besjournals.onlinelibrary.wiley.com/doi/10.1111/1365-2745.12842" TargetMode="External"/><Relationship Id="rId20" Type="http://schemas.openxmlformats.org/officeDocument/2006/relationships/hyperlink" Target="https://besjournals.onlinelibrary.wiley.com/doi/10.1111/1365-2745.12842" TargetMode="External"/><Relationship Id="rId29" Type="http://schemas.openxmlformats.org/officeDocument/2006/relationships/hyperlink" Target="https://besjournals.onlinelibrary.wiley.com/doi/10.1002/pan3.10310" TargetMode="External"/><Relationship Id="rId1" Type="http://schemas.openxmlformats.org/officeDocument/2006/relationships/numbering" Target="numbering.xml"/><Relationship Id="rId6" Type="http://schemas.openxmlformats.org/officeDocument/2006/relationships/hyperlink" Target="https://besjournals.onlinelibrary.wiley.com/doi/10.1111/1365-2745.12842" TargetMode="External"/><Relationship Id="rId11" Type="http://schemas.openxmlformats.org/officeDocument/2006/relationships/hyperlink" Target="https://besjournals.onlinelibrary.wiley.com/doi/10.1111/1365-2745.12842" TargetMode="External"/><Relationship Id="rId24" Type="http://schemas.openxmlformats.org/officeDocument/2006/relationships/hyperlink" Target="https://besjournals.onlinelibrary.wiley.com/doi/10.1002/pan3.10310" TargetMode="External"/><Relationship Id="rId32" Type="http://schemas.openxmlformats.org/officeDocument/2006/relationships/theme" Target="theme/theme1.xml"/><Relationship Id="rId5" Type="http://schemas.openxmlformats.org/officeDocument/2006/relationships/hyperlink" Target="https://link.springer.com/article/10.1007/s00035-016-0172-8" TargetMode="External"/><Relationship Id="rId15" Type="http://schemas.openxmlformats.org/officeDocument/2006/relationships/hyperlink" Target="https://besjournals.onlinelibrary.wiley.com/doi/10.1111/1365-2745.12842" TargetMode="External"/><Relationship Id="rId23" Type="http://schemas.openxmlformats.org/officeDocument/2006/relationships/hyperlink" Target="https://besjournals.onlinelibrary.wiley.com/doi/10.1111/1365-2745.12842" TargetMode="External"/><Relationship Id="rId28" Type="http://schemas.openxmlformats.org/officeDocument/2006/relationships/hyperlink" Target="https://besjournals.onlinelibrary.wiley.com/doi/10.1002/pan3.10310" TargetMode="External"/><Relationship Id="rId10" Type="http://schemas.openxmlformats.org/officeDocument/2006/relationships/hyperlink" Target="https://besjournals.onlinelibrary.wiley.com/doi/10.1111/1365-2745.12842" TargetMode="External"/><Relationship Id="rId19" Type="http://schemas.openxmlformats.org/officeDocument/2006/relationships/hyperlink" Target="https://besjournals.onlinelibrary.wiley.com/doi/10.1111/1365-2745.12842"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sjournals.onlinelibrary.wiley.com/doi/10.1111/1365-2745.12842" TargetMode="External"/><Relationship Id="rId14" Type="http://schemas.openxmlformats.org/officeDocument/2006/relationships/hyperlink" Target="https://besjournals.onlinelibrary.wiley.com/doi/10.1111/1365-2745.12842" TargetMode="External"/><Relationship Id="rId22" Type="http://schemas.openxmlformats.org/officeDocument/2006/relationships/hyperlink" Target="https://besjournals.onlinelibrary.wiley.com/doi/10.1111/1365-2745.12842" TargetMode="External"/><Relationship Id="rId27" Type="http://schemas.openxmlformats.org/officeDocument/2006/relationships/hyperlink" Target="https://besjournals.onlinelibrary.wiley.com/doi/10.1002/pan3.10310" TargetMode="External"/><Relationship Id="rId30" Type="http://schemas.openxmlformats.org/officeDocument/2006/relationships/hyperlink" Target="https://besjournals.onlinelibrary.wiley.com/doi/10.1002/pan3.10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2968</Words>
  <Characters>16919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Yousra El-Bachir</cp:lastModifiedBy>
  <cp:revision>3</cp:revision>
  <dcterms:created xsi:type="dcterms:W3CDTF">2026-07-07T06:51:00Z</dcterms:created>
  <dcterms:modified xsi:type="dcterms:W3CDTF">2026-07-12T10:38:00Z</dcterms:modified>
</cp:coreProperties>
</file>