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7143"/>
      </w:tblGrid>
      <w:tr w:rsidR="00477907" w14:paraId="32F50215" w14:textId="77777777" w:rsidTr="00B23FA7">
        <w:trPr>
          <w:trHeight w:val="2160"/>
        </w:trPr>
        <w:tc>
          <w:tcPr>
            <w:tcW w:w="2160" w:type="dxa"/>
            <w:vAlign w:val="center"/>
          </w:tcPr>
          <w:p w14:paraId="46FF6B8F" w14:textId="24704A7A" w:rsidR="00477907" w:rsidRDefault="00FB691C" w:rsidP="00477907">
            <w:pPr>
              <w:pStyle w:val="Heading1"/>
              <w:jc w:val="left"/>
              <w:rPr>
                <w:color w:val="FF00FF"/>
              </w:rPr>
            </w:pPr>
            <w:r>
              <w:rPr>
                <w:noProof/>
                <w:color w:val="000000" w:themeColor="text1"/>
              </w:rPr>
              <w:pict w14:anchorId="2D184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05pt;height:99.1pt">
                  <v:imagedata r:id="rId8" o:title="TabLockup_vertical_KGcmyk"/>
                </v:shape>
              </w:pict>
            </w:r>
          </w:p>
        </w:tc>
        <w:tc>
          <w:tcPr>
            <w:tcW w:w="7190" w:type="dxa"/>
            <w:vAlign w:val="center"/>
          </w:tcPr>
          <w:p w14:paraId="69983FBF" w14:textId="77777777" w:rsidR="00201E1D" w:rsidRPr="006563A2" w:rsidRDefault="00201E1D" w:rsidP="00201E1D">
            <w:pPr>
              <w:spacing w:line="276" w:lineRule="auto"/>
              <w:jc w:val="center"/>
              <w:rPr>
                <w:rFonts w:cs="Times New Roman"/>
                <w:b/>
                <w:sz w:val="24"/>
                <w:szCs w:val="24"/>
              </w:rPr>
            </w:pPr>
            <w:r w:rsidRPr="006563A2">
              <w:rPr>
                <w:rFonts w:cs="Times New Roman"/>
                <w:b/>
                <w:sz w:val="24"/>
                <w:szCs w:val="24"/>
              </w:rPr>
              <w:t>EEL 5462: Antenna Analysis and Design</w:t>
            </w:r>
          </w:p>
          <w:p w14:paraId="10D2648C" w14:textId="77777777" w:rsidR="00201E1D" w:rsidRPr="006563A2" w:rsidRDefault="00201E1D" w:rsidP="00201E1D">
            <w:pPr>
              <w:spacing w:line="276" w:lineRule="auto"/>
              <w:jc w:val="center"/>
              <w:rPr>
                <w:rFonts w:cs="Times New Roman"/>
              </w:rPr>
            </w:pPr>
            <w:r w:rsidRPr="006563A2">
              <w:rPr>
                <w:rFonts w:cs="Times New Roman"/>
              </w:rPr>
              <w:t>Department of Electrical and Computer Engineering</w:t>
            </w:r>
          </w:p>
          <w:p w14:paraId="72681763" w14:textId="77777777" w:rsidR="00201E1D" w:rsidRPr="006563A2" w:rsidRDefault="00201E1D" w:rsidP="00201E1D">
            <w:pPr>
              <w:spacing w:line="276" w:lineRule="auto"/>
              <w:jc w:val="center"/>
              <w:rPr>
                <w:rFonts w:cs="Times New Roman"/>
              </w:rPr>
            </w:pPr>
            <w:r w:rsidRPr="006563A2">
              <w:rPr>
                <w:rFonts w:cs="Times New Roman"/>
              </w:rPr>
              <w:t>College of Engineering and Computer Science</w:t>
            </w:r>
          </w:p>
          <w:p w14:paraId="1E562A93" w14:textId="77777777" w:rsidR="00201E1D" w:rsidRPr="006563A2" w:rsidRDefault="00201E1D" w:rsidP="00201E1D">
            <w:pPr>
              <w:spacing w:line="276" w:lineRule="auto"/>
              <w:jc w:val="center"/>
              <w:rPr>
                <w:rFonts w:cs="Times New Roman"/>
                <w:bCs/>
              </w:rPr>
            </w:pPr>
            <w:r w:rsidRPr="006563A2">
              <w:rPr>
                <w:rFonts w:cs="Times New Roman"/>
                <w:bCs/>
              </w:rPr>
              <w:t>Credit Hours: 3 (3, 0)</w:t>
            </w:r>
          </w:p>
          <w:p w14:paraId="4FCE2883" w14:textId="0354DC68" w:rsidR="00477907" w:rsidRPr="00477907" w:rsidRDefault="00477907" w:rsidP="00477907">
            <w:pPr>
              <w:jc w:val="center"/>
              <w:rPr>
                <w:color w:val="000000" w:themeColor="text1"/>
              </w:rPr>
            </w:pPr>
          </w:p>
        </w:tc>
      </w:tr>
    </w:tbl>
    <w:p w14:paraId="16326519" w14:textId="77777777" w:rsidR="00126ADB" w:rsidRDefault="00126ADB" w:rsidP="00457D70">
      <w:pPr>
        <w:jc w:val="center"/>
      </w:pPr>
    </w:p>
    <w:p w14:paraId="6728C802" w14:textId="77777777" w:rsidR="00B23FA7" w:rsidRDefault="00B23FA7" w:rsidP="00126ADB">
      <w:pPr>
        <w:pStyle w:val="Heading1"/>
      </w:pPr>
    </w:p>
    <w:p w14:paraId="265D2163" w14:textId="18C20AE6" w:rsidR="00126ADB" w:rsidRPr="00457D70" w:rsidRDefault="00126ADB" w:rsidP="00126ADB">
      <w:pPr>
        <w:pStyle w:val="Heading1"/>
      </w:pPr>
      <w:r>
        <w:t>Course Syllabus</w:t>
      </w:r>
    </w:p>
    <w:p w14:paraId="5DD69A5F" w14:textId="77777777" w:rsidR="00D43A97" w:rsidRDefault="00D43A97" w:rsidP="00126ADB"/>
    <w:tbl>
      <w:tblPr>
        <w:tblStyle w:val="TableGrid"/>
        <w:tblW w:w="0" w:type="auto"/>
        <w:tblBorders>
          <w:left w:val="none" w:sz="0" w:space="0" w:color="auto"/>
          <w:right w:val="none" w:sz="0" w:space="0" w:color="auto"/>
        </w:tblBorders>
        <w:tblLook w:val="04A0" w:firstRow="1" w:lastRow="0" w:firstColumn="1" w:lastColumn="0" w:noHBand="0" w:noVBand="1"/>
      </w:tblPr>
      <w:tblGrid>
        <w:gridCol w:w="1788"/>
        <w:gridCol w:w="3443"/>
        <w:gridCol w:w="2286"/>
        <w:gridCol w:w="1843"/>
      </w:tblGrid>
      <w:tr w:rsidR="00E57A61" w:rsidRPr="00E57A61" w14:paraId="4CD479BE" w14:textId="77777777" w:rsidTr="00126ADB">
        <w:tc>
          <w:tcPr>
            <w:tcW w:w="1818" w:type="dxa"/>
            <w:tcBorders>
              <w:bottom w:val="nil"/>
              <w:right w:val="nil"/>
            </w:tcBorders>
          </w:tcPr>
          <w:p w14:paraId="0CED0C53" w14:textId="77777777" w:rsidR="00C05E81" w:rsidRPr="00E57A61" w:rsidRDefault="00C05E81" w:rsidP="00D43A97">
            <w:pPr>
              <w:tabs>
                <w:tab w:val="left" w:pos="1635"/>
              </w:tabs>
              <w:rPr>
                <w:sz w:val="16"/>
                <w:szCs w:val="16"/>
              </w:rPr>
            </w:pPr>
          </w:p>
        </w:tc>
        <w:tc>
          <w:tcPr>
            <w:tcW w:w="7740" w:type="dxa"/>
            <w:gridSpan w:val="3"/>
            <w:tcBorders>
              <w:left w:val="nil"/>
              <w:bottom w:val="nil"/>
            </w:tcBorders>
          </w:tcPr>
          <w:p w14:paraId="7CFE8F82" w14:textId="77777777" w:rsidR="00C05E81" w:rsidRPr="00E57A61" w:rsidRDefault="00C05E81" w:rsidP="00D43A97">
            <w:pPr>
              <w:tabs>
                <w:tab w:val="left" w:pos="1635"/>
              </w:tabs>
              <w:rPr>
                <w:sz w:val="16"/>
                <w:szCs w:val="16"/>
              </w:rPr>
            </w:pPr>
          </w:p>
        </w:tc>
      </w:tr>
      <w:tr w:rsidR="00E57A61" w:rsidRPr="00E57A61" w14:paraId="3D761E74" w14:textId="77777777" w:rsidTr="00D30F59">
        <w:trPr>
          <w:trHeight w:val="306"/>
        </w:trPr>
        <w:tc>
          <w:tcPr>
            <w:tcW w:w="1818" w:type="dxa"/>
            <w:tcBorders>
              <w:top w:val="nil"/>
              <w:bottom w:val="nil"/>
              <w:right w:val="single" w:sz="4" w:space="0" w:color="A6A6A6" w:themeColor="background1" w:themeShade="A6"/>
            </w:tcBorders>
            <w:vAlign w:val="center"/>
          </w:tcPr>
          <w:p w14:paraId="0E4F5042" w14:textId="77777777" w:rsidR="00126ADB" w:rsidRPr="00E57A61" w:rsidRDefault="00126ADB" w:rsidP="00C05E81">
            <w:pPr>
              <w:tabs>
                <w:tab w:val="left" w:pos="1635"/>
              </w:tabs>
            </w:pPr>
            <w:r w:rsidRPr="00E57A61">
              <w:t>Instructor:</w:t>
            </w:r>
          </w:p>
        </w:tc>
        <w:tc>
          <w:tcPr>
            <w:tcW w:w="3510" w:type="dxa"/>
            <w:tcBorders>
              <w:top w:val="nil"/>
              <w:left w:val="single" w:sz="4" w:space="0" w:color="A6A6A6" w:themeColor="background1" w:themeShade="A6"/>
              <w:bottom w:val="nil"/>
              <w:right w:val="single" w:sz="4" w:space="0" w:color="BFBFBF" w:themeColor="background1" w:themeShade="BF"/>
            </w:tcBorders>
            <w:vAlign w:val="center"/>
          </w:tcPr>
          <w:p w14:paraId="13C6AC7A" w14:textId="314B653E" w:rsidR="00126ADB" w:rsidRPr="00E57A61" w:rsidRDefault="00E57A61" w:rsidP="008E5E94">
            <w:pPr>
              <w:tabs>
                <w:tab w:val="left" w:pos="1635"/>
              </w:tabs>
            </w:pPr>
            <w:r>
              <w:t>Xun Gong</w:t>
            </w:r>
            <w:r w:rsidR="009F1E64" w:rsidRPr="00E57A61">
              <w:t xml:space="preserve"> </w:t>
            </w:r>
          </w:p>
        </w:tc>
        <w:tc>
          <w:tcPr>
            <w:tcW w:w="2340" w:type="dxa"/>
            <w:tcBorders>
              <w:top w:val="nil"/>
              <w:left w:val="single" w:sz="4" w:space="0" w:color="BFBFBF" w:themeColor="background1" w:themeShade="BF"/>
              <w:bottom w:val="nil"/>
              <w:right w:val="single" w:sz="4" w:space="0" w:color="BFBFBF" w:themeColor="background1" w:themeShade="BF"/>
            </w:tcBorders>
            <w:vAlign w:val="center"/>
          </w:tcPr>
          <w:p w14:paraId="47D37626" w14:textId="77777777" w:rsidR="00126ADB" w:rsidRPr="00E57A61" w:rsidRDefault="00126ADB" w:rsidP="00C05E81">
            <w:pPr>
              <w:tabs>
                <w:tab w:val="left" w:pos="1635"/>
              </w:tabs>
            </w:pPr>
            <w:r w:rsidRPr="00E57A61">
              <w:t>Term:</w:t>
            </w:r>
          </w:p>
        </w:tc>
        <w:tc>
          <w:tcPr>
            <w:tcW w:w="1890" w:type="dxa"/>
            <w:tcBorders>
              <w:top w:val="nil"/>
              <w:left w:val="single" w:sz="4" w:space="0" w:color="BFBFBF" w:themeColor="background1" w:themeShade="BF"/>
              <w:bottom w:val="nil"/>
            </w:tcBorders>
            <w:vAlign w:val="center"/>
          </w:tcPr>
          <w:p w14:paraId="166861A1" w14:textId="12CC347D" w:rsidR="00126ADB" w:rsidRPr="00E57A61" w:rsidRDefault="00A46002" w:rsidP="00C05E81">
            <w:pPr>
              <w:tabs>
                <w:tab w:val="left" w:pos="1635"/>
              </w:tabs>
            </w:pPr>
            <w:r>
              <w:t>Spring 202</w:t>
            </w:r>
            <w:r w:rsidR="00EB6505">
              <w:t>4</w:t>
            </w:r>
          </w:p>
        </w:tc>
      </w:tr>
      <w:tr w:rsidR="00E57A61" w:rsidRPr="00E57A61" w14:paraId="0D2E82BA" w14:textId="77777777" w:rsidTr="00D30F59">
        <w:trPr>
          <w:trHeight w:val="306"/>
        </w:trPr>
        <w:tc>
          <w:tcPr>
            <w:tcW w:w="1818" w:type="dxa"/>
            <w:tcBorders>
              <w:top w:val="nil"/>
              <w:bottom w:val="nil"/>
              <w:right w:val="single" w:sz="4" w:space="0" w:color="A6A6A6" w:themeColor="background1" w:themeShade="A6"/>
            </w:tcBorders>
            <w:vAlign w:val="center"/>
          </w:tcPr>
          <w:p w14:paraId="777B0E1F" w14:textId="3F5709EF" w:rsidR="00126ADB" w:rsidRPr="00E57A61" w:rsidRDefault="00126ADB" w:rsidP="00C05E81">
            <w:pPr>
              <w:tabs>
                <w:tab w:val="left" w:pos="1635"/>
              </w:tabs>
            </w:pPr>
            <w:r w:rsidRPr="00E57A61">
              <w:t>Office</w:t>
            </w:r>
            <w:r w:rsidR="005C716A" w:rsidRPr="00E57A61">
              <w:t xml:space="preserve"> Location</w:t>
            </w:r>
            <w:r w:rsidRPr="00E57A61">
              <w:t>:</w:t>
            </w:r>
          </w:p>
        </w:tc>
        <w:tc>
          <w:tcPr>
            <w:tcW w:w="3510" w:type="dxa"/>
            <w:tcBorders>
              <w:top w:val="nil"/>
              <w:left w:val="single" w:sz="4" w:space="0" w:color="A6A6A6" w:themeColor="background1" w:themeShade="A6"/>
              <w:bottom w:val="nil"/>
              <w:right w:val="single" w:sz="4" w:space="0" w:color="BFBFBF" w:themeColor="background1" w:themeShade="BF"/>
            </w:tcBorders>
            <w:vAlign w:val="center"/>
          </w:tcPr>
          <w:p w14:paraId="46D9AE20" w14:textId="7A30946D" w:rsidR="00126ADB" w:rsidRPr="00E57A61" w:rsidRDefault="00377C5C" w:rsidP="00C05E81">
            <w:pPr>
              <w:tabs>
                <w:tab w:val="left" w:pos="1635"/>
              </w:tabs>
            </w:pPr>
            <w:r>
              <w:t>HEC 426</w:t>
            </w:r>
          </w:p>
        </w:tc>
        <w:tc>
          <w:tcPr>
            <w:tcW w:w="2340" w:type="dxa"/>
            <w:tcBorders>
              <w:top w:val="nil"/>
              <w:left w:val="single" w:sz="4" w:space="0" w:color="BFBFBF" w:themeColor="background1" w:themeShade="BF"/>
              <w:bottom w:val="nil"/>
              <w:right w:val="single" w:sz="4" w:space="0" w:color="BFBFBF" w:themeColor="background1" w:themeShade="BF"/>
            </w:tcBorders>
            <w:vAlign w:val="center"/>
          </w:tcPr>
          <w:p w14:paraId="27F9ED00" w14:textId="77777777" w:rsidR="00126ADB" w:rsidRPr="00E57A61" w:rsidRDefault="002E4CD6" w:rsidP="00C05E81">
            <w:pPr>
              <w:tabs>
                <w:tab w:val="left" w:pos="1635"/>
              </w:tabs>
            </w:pPr>
            <w:r w:rsidRPr="00E57A61">
              <w:t>Class Meeting Days:</w:t>
            </w:r>
          </w:p>
        </w:tc>
        <w:tc>
          <w:tcPr>
            <w:tcW w:w="1890" w:type="dxa"/>
            <w:tcBorders>
              <w:top w:val="nil"/>
              <w:left w:val="single" w:sz="4" w:space="0" w:color="BFBFBF" w:themeColor="background1" w:themeShade="BF"/>
              <w:bottom w:val="nil"/>
            </w:tcBorders>
            <w:vAlign w:val="center"/>
          </w:tcPr>
          <w:p w14:paraId="3A05D7A4" w14:textId="290B042D" w:rsidR="00126ADB" w:rsidRPr="00E57A61" w:rsidRDefault="00A46002" w:rsidP="00C05E81">
            <w:pPr>
              <w:tabs>
                <w:tab w:val="left" w:pos="1635"/>
              </w:tabs>
            </w:pPr>
            <w:r>
              <w:t>Mon. Wed.</w:t>
            </w:r>
          </w:p>
        </w:tc>
      </w:tr>
      <w:tr w:rsidR="00E57A61" w:rsidRPr="00E57A61" w14:paraId="22FCF740" w14:textId="77777777" w:rsidTr="00D30F59">
        <w:trPr>
          <w:trHeight w:val="306"/>
        </w:trPr>
        <w:tc>
          <w:tcPr>
            <w:tcW w:w="1818" w:type="dxa"/>
            <w:tcBorders>
              <w:top w:val="nil"/>
              <w:bottom w:val="nil"/>
              <w:right w:val="single" w:sz="4" w:space="0" w:color="A6A6A6" w:themeColor="background1" w:themeShade="A6"/>
            </w:tcBorders>
            <w:vAlign w:val="center"/>
          </w:tcPr>
          <w:p w14:paraId="4C59CC5F" w14:textId="77777777" w:rsidR="00126ADB" w:rsidRPr="00E57A61" w:rsidRDefault="00126ADB" w:rsidP="00C05E81">
            <w:pPr>
              <w:tabs>
                <w:tab w:val="left" w:pos="1635"/>
              </w:tabs>
            </w:pPr>
            <w:r w:rsidRPr="00E57A61">
              <w:t>Office Hours:</w:t>
            </w:r>
          </w:p>
        </w:tc>
        <w:tc>
          <w:tcPr>
            <w:tcW w:w="3510" w:type="dxa"/>
            <w:tcBorders>
              <w:top w:val="nil"/>
              <w:left w:val="single" w:sz="4" w:space="0" w:color="A6A6A6" w:themeColor="background1" w:themeShade="A6"/>
              <w:bottom w:val="nil"/>
              <w:right w:val="single" w:sz="4" w:space="0" w:color="BFBFBF" w:themeColor="background1" w:themeShade="BF"/>
            </w:tcBorders>
            <w:vAlign w:val="center"/>
          </w:tcPr>
          <w:p w14:paraId="2C023832" w14:textId="73E693D6" w:rsidR="00126ADB" w:rsidRPr="00E57A61" w:rsidRDefault="004164BD" w:rsidP="009F1E64">
            <w:pPr>
              <w:tabs>
                <w:tab w:val="left" w:pos="1635"/>
              </w:tabs>
            </w:pPr>
            <w:r w:rsidRPr="004164BD">
              <w:t>Mon. Wed. 10:</w:t>
            </w:r>
            <w:r w:rsidR="00C762A1">
              <w:t>30</w:t>
            </w:r>
            <w:r w:rsidR="006B3641">
              <w:t xml:space="preserve"> </w:t>
            </w:r>
            <w:r w:rsidR="00C762A1">
              <w:t>AM</w:t>
            </w:r>
            <w:r w:rsidRPr="004164BD">
              <w:t>-</w:t>
            </w:r>
            <w:r w:rsidR="00C762A1">
              <w:t>12</w:t>
            </w:r>
            <w:r w:rsidRPr="004164BD">
              <w:t>:</w:t>
            </w:r>
            <w:r w:rsidR="00C762A1">
              <w:t>00</w:t>
            </w:r>
            <w:r w:rsidRPr="004164BD">
              <w:t xml:space="preserve"> </w:t>
            </w:r>
            <w:r w:rsidR="00C762A1">
              <w:t>P</w:t>
            </w:r>
            <w:r w:rsidRPr="004164BD">
              <w:t>M</w:t>
            </w:r>
          </w:p>
        </w:tc>
        <w:tc>
          <w:tcPr>
            <w:tcW w:w="2340" w:type="dxa"/>
            <w:tcBorders>
              <w:top w:val="nil"/>
              <w:left w:val="single" w:sz="4" w:space="0" w:color="BFBFBF" w:themeColor="background1" w:themeShade="BF"/>
              <w:bottom w:val="nil"/>
              <w:right w:val="single" w:sz="4" w:space="0" w:color="BFBFBF" w:themeColor="background1" w:themeShade="BF"/>
            </w:tcBorders>
            <w:vAlign w:val="center"/>
          </w:tcPr>
          <w:p w14:paraId="6C32AE47" w14:textId="77777777" w:rsidR="00126ADB" w:rsidRPr="00E57A61" w:rsidRDefault="002E4CD6" w:rsidP="00C05E81">
            <w:pPr>
              <w:tabs>
                <w:tab w:val="left" w:pos="1635"/>
              </w:tabs>
            </w:pPr>
            <w:r w:rsidRPr="00E57A61">
              <w:t>Class Meeting Time:</w:t>
            </w:r>
          </w:p>
        </w:tc>
        <w:tc>
          <w:tcPr>
            <w:tcW w:w="1890" w:type="dxa"/>
            <w:tcBorders>
              <w:top w:val="nil"/>
              <w:left w:val="single" w:sz="4" w:space="0" w:color="BFBFBF" w:themeColor="background1" w:themeShade="BF"/>
              <w:bottom w:val="nil"/>
            </w:tcBorders>
            <w:vAlign w:val="center"/>
          </w:tcPr>
          <w:p w14:paraId="6F54CB02" w14:textId="15AEF480" w:rsidR="00126ADB" w:rsidRPr="00E57A61" w:rsidRDefault="00A46002" w:rsidP="00C05E81">
            <w:pPr>
              <w:tabs>
                <w:tab w:val="left" w:pos="1635"/>
              </w:tabs>
            </w:pPr>
            <w:r>
              <w:t>12:00-1:15 PM</w:t>
            </w:r>
          </w:p>
        </w:tc>
      </w:tr>
      <w:tr w:rsidR="00E57A61" w:rsidRPr="00E57A61" w14:paraId="18877D89" w14:textId="77777777" w:rsidTr="00D30F59">
        <w:trPr>
          <w:trHeight w:val="306"/>
        </w:trPr>
        <w:tc>
          <w:tcPr>
            <w:tcW w:w="1818" w:type="dxa"/>
            <w:tcBorders>
              <w:top w:val="nil"/>
              <w:bottom w:val="nil"/>
              <w:right w:val="single" w:sz="4" w:space="0" w:color="A6A6A6" w:themeColor="background1" w:themeShade="A6"/>
            </w:tcBorders>
            <w:vAlign w:val="center"/>
          </w:tcPr>
          <w:p w14:paraId="5DA61EE6" w14:textId="77777777" w:rsidR="00126ADB" w:rsidRPr="00E57A61" w:rsidRDefault="00126ADB" w:rsidP="00C05E81">
            <w:pPr>
              <w:tabs>
                <w:tab w:val="left" w:pos="1635"/>
              </w:tabs>
            </w:pPr>
            <w:r w:rsidRPr="00E57A61">
              <w:t>Phone:</w:t>
            </w:r>
          </w:p>
        </w:tc>
        <w:tc>
          <w:tcPr>
            <w:tcW w:w="3510" w:type="dxa"/>
            <w:tcBorders>
              <w:top w:val="nil"/>
              <w:left w:val="single" w:sz="4" w:space="0" w:color="A6A6A6" w:themeColor="background1" w:themeShade="A6"/>
              <w:bottom w:val="nil"/>
              <w:right w:val="single" w:sz="4" w:space="0" w:color="BFBFBF" w:themeColor="background1" w:themeShade="BF"/>
            </w:tcBorders>
            <w:vAlign w:val="center"/>
          </w:tcPr>
          <w:p w14:paraId="48FC56CA" w14:textId="0B89AE78" w:rsidR="00126ADB" w:rsidRPr="00E57A61" w:rsidRDefault="004164BD" w:rsidP="00C05E81">
            <w:pPr>
              <w:tabs>
                <w:tab w:val="left" w:pos="1635"/>
              </w:tabs>
            </w:pPr>
            <w:r>
              <w:t>3-5762</w:t>
            </w:r>
          </w:p>
        </w:tc>
        <w:tc>
          <w:tcPr>
            <w:tcW w:w="2340" w:type="dxa"/>
            <w:tcBorders>
              <w:top w:val="nil"/>
              <w:left w:val="single" w:sz="4" w:space="0" w:color="BFBFBF" w:themeColor="background1" w:themeShade="BF"/>
              <w:bottom w:val="nil"/>
              <w:right w:val="single" w:sz="4" w:space="0" w:color="BFBFBF" w:themeColor="background1" w:themeShade="BF"/>
            </w:tcBorders>
            <w:vAlign w:val="center"/>
          </w:tcPr>
          <w:p w14:paraId="139A592E" w14:textId="77777777" w:rsidR="00126ADB" w:rsidRPr="00E57A61" w:rsidRDefault="002E4CD6" w:rsidP="00C05E81">
            <w:pPr>
              <w:tabs>
                <w:tab w:val="left" w:pos="1635"/>
              </w:tabs>
            </w:pPr>
            <w:r w:rsidRPr="00E57A61">
              <w:t>Class Location:</w:t>
            </w:r>
          </w:p>
        </w:tc>
        <w:tc>
          <w:tcPr>
            <w:tcW w:w="1890" w:type="dxa"/>
            <w:tcBorders>
              <w:top w:val="nil"/>
              <w:left w:val="single" w:sz="4" w:space="0" w:color="BFBFBF" w:themeColor="background1" w:themeShade="BF"/>
              <w:bottom w:val="nil"/>
            </w:tcBorders>
            <w:vAlign w:val="center"/>
          </w:tcPr>
          <w:p w14:paraId="235BEC5D" w14:textId="2F0CB3C0" w:rsidR="00126ADB" w:rsidRPr="00E57A61" w:rsidRDefault="00AE10C3" w:rsidP="00C05E81">
            <w:pPr>
              <w:tabs>
                <w:tab w:val="left" w:pos="1635"/>
              </w:tabs>
            </w:pPr>
            <w:r>
              <w:t>BA1-216</w:t>
            </w:r>
          </w:p>
        </w:tc>
      </w:tr>
      <w:tr w:rsidR="00E57A61" w:rsidRPr="00E57A61" w14:paraId="008FF050" w14:textId="77777777" w:rsidTr="00D30F59">
        <w:trPr>
          <w:trHeight w:val="306"/>
        </w:trPr>
        <w:tc>
          <w:tcPr>
            <w:tcW w:w="1818" w:type="dxa"/>
            <w:tcBorders>
              <w:top w:val="nil"/>
              <w:bottom w:val="nil"/>
              <w:right w:val="single" w:sz="4" w:space="0" w:color="A6A6A6" w:themeColor="background1" w:themeShade="A6"/>
            </w:tcBorders>
            <w:vAlign w:val="center"/>
          </w:tcPr>
          <w:p w14:paraId="20E7AAC4" w14:textId="77777777" w:rsidR="00126ADB" w:rsidRPr="00E57A61" w:rsidRDefault="00126ADB" w:rsidP="00C05E81">
            <w:pPr>
              <w:tabs>
                <w:tab w:val="left" w:pos="1635"/>
              </w:tabs>
            </w:pPr>
            <w:r w:rsidRPr="00E57A61">
              <w:t>Email:</w:t>
            </w:r>
          </w:p>
        </w:tc>
        <w:tc>
          <w:tcPr>
            <w:tcW w:w="3510" w:type="dxa"/>
            <w:tcBorders>
              <w:top w:val="nil"/>
              <w:left w:val="single" w:sz="4" w:space="0" w:color="A6A6A6" w:themeColor="background1" w:themeShade="A6"/>
              <w:bottom w:val="nil"/>
              <w:right w:val="single" w:sz="4" w:space="0" w:color="BFBFBF" w:themeColor="background1" w:themeShade="BF"/>
            </w:tcBorders>
            <w:vAlign w:val="center"/>
          </w:tcPr>
          <w:p w14:paraId="728EEB4E" w14:textId="00A5964F" w:rsidR="00126ADB" w:rsidRPr="00E57A61" w:rsidRDefault="00937700" w:rsidP="008E5E94">
            <w:pPr>
              <w:tabs>
                <w:tab w:val="left" w:pos="1635"/>
              </w:tabs>
            </w:pPr>
            <w:r>
              <w:t>Xun.gong@ucf.edu</w:t>
            </w:r>
          </w:p>
        </w:tc>
        <w:tc>
          <w:tcPr>
            <w:tcW w:w="2340" w:type="dxa"/>
            <w:tcBorders>
              <w:top w:val="nil"/>
              <w:left w:val="single" w:sz="4" w:space="0" w:color="BFBFBF" w:themeColor="background1" w:themeShade="BF"/>
              <w:bottom w:val="nil"/>
              <w:right w:val="single" w:sz="4" w:space="0" w:color="BFBFBF" w:themeColor="background1" w:themeShade="BF"/>
            </w:tcBorders>
            <w:vAlign w:val="center"/>
          </w:tcPr>
          <w:p w14:paraId="6FE601D3" w14:textId="77D5EAF2" w:rsidR="00126ADB" w:rsidRPr="00E57A61" w:rsidRDefault="00E06FA0" w:rsidP="00C05E81">
            <w:pPr>
              <w:tabs>
                <w:tab w:val="left" w:pos="1635"/>
              </w:tabs>
            </w:pPr>
            <w:r w:rsidRPr="00E57A61">
              <w:t>Course Modality:</w:t>
            </w:r>
          </w:p>
        </w:tc>
        <w:tc>
          <w:tcPr>
            <w:tcW w:w="1890" w:type="dxa"/>
            <w:tcBorders>
              <w:top w:val="nil"/>
              <w:left w:val="single" w:sz="4" w:space="0" w:color="BFBFBF" w:themeColor="background1" w:themeShade="BF"/>
              <w:bottom w:val="nil"/>
            </w:tcBorders>
            <w:vAlign w:val="center"/>
          </w:tcPr>
          <w:p w14:paraId="65E0EA78" w14:textId="473F5740" w:rsidR="00126ADB" w:rsidRPr="00E57A61" w:rsidRDefault="00E06FA0" w:rsidP="00C05E81">
            <w:pPr>
              <w:tabs>
                <w:tab w:val="left" w:pos="1635"/>
              </w:tabs>
            </w:pPr>
            <w:r w:rsidRPr="00E57A61">
              <w:t xml:space="preserve">P, </w:t>
            </w:r>
            <w:r w:rsidR="00AE10C3">
              <w:t>V</w:t>
            </w:r>
          </w:p>
        </w:tc>
      </w:tr>
      <w:tr w:rsidR="00E57A61" w:rsidRPr="00E57A61" w14:paraId="44C03797" w14:textId="77777777" w:rsidTr="00126ADB">
        <w:trPr>
          <w:trHeight w:val="117"/>
        </w:trPr>
        <w:tc>
          <w:tcPr>
            <w:tcW w:w="1818" w:type="dxa"/>
            <w:tcBorders>
              <w:top w:val="nil"/>
              <w:right w:val="nil"/>
            </w:tcBorders>
          </w:tcPr>
          <w:p w14:paraId="2D02E410" w14:textId="77777777" w:rsidR="00C05E81" w:rsidRPr="00E57A61" w:rsidRDefault="00C05E81" w:rsidP="00D43A97">
            <w:pPr>
              <w:tabs>
                <w:tab w:val="left" w:pos="1635"/>
              </w:tabs>
              <w:rPr>
                <w:sz w:val="16"/>
                <w:szCs w:val="16"/>
              </w:rPr>
            </w:pPr>
          </w:p>
        </w:tc>
        <w:tc>
          <w:tcPr>
            <w:tcW w:w="7740" w:type="dxa"/>
            <w:gridSpan w:val="3"/>
            <w:tcBorders>
              <w:top w:val="nil"/>
              <w:left w:val="nil"/>
            </w:tcBorders>
          </w:tcPr>
          <w:p w14:paraId="62F3F9BA" w14:textId="77777777" w:rsidR="00C05E81" w:rsidRPr="00E57A61" w:rsidRDefault="00C05E81" w:rsidP="00D43A97">
            <w:pPr>
              <w:tabs>
                <w:tab w:val="left" w:pos="1635"/>
              </w:tabs>
              <w:rPr>
                <w:sz w:val="16"/>
                <w:szCs w:val="16"/>
              </w:rPr>
            </w:pPr>
          </w:p>
        </w:tc>
      </w:tr>
    </w:tbl>
    <w:p w14:paraId="1D2163F0" w14:textId="77777777" w:rsidR="00C05E81" w:rsidRPr="00D72C92" w:rsidRDefault="00C05E81" w:rsidP="00D43A97">
      <w:pPr>
        <w:tabs>
          <w:tab w:val="left" w:pos="1635"/>
        </w:tabs>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787"/>
        <w:gridCol w:w="2893"/>
        <w:gridCol w:w="1440"/>
        <w:gridCol w:w="3240"/>
      </w:tblGrid>
      <w:tr w:rsidR="00D72C92" w:rsidRPr="00D72C92" w14:paraId="6FC86C70" w14:textId="77777777" w:rsidTr="00D42828">
        <w:tc>
          <w:tcPr>
            <w:tcW w:w="1787" w:type="dxa"/>
            <w:tcBorders>
              <w:bottom w:val="nil"/>
              <w:right w:val="nil"/>
            </w:tcBorders>
          </w:tcPr>
          <w:p w14:paraId="3DA7163F" w14:textId="77777777" w:rsidR="008E5E94" w:rsidRPr="00D72C92" w:rsidRDefault="008E5E94" w:rsidP="00EC12DE">
            <w:pPr>
              <w:tabs>
                <w:tab w:val="left" w:pos="1635"/>
              </w:tabs>
              <w:rPr>
                <w:sz w:val="16"/>
                <w:szCs w:val="16"/>
              </w:rPr>
            </w:pPr>
          </w:p>
        </w:tc>
        <w:tc>
          <w:tcPr>
            <w:tcW w:w="7573" w:type="dxa"/>
            <w:gridSpan w:val="3"/>
            <w:tcBorders>
              <w:left w:val="nil"/>
              <w:bottom w:val="nil"/>
            </w:tcBorders>
          </w:tcPr>
          <w:p w14:paraId="4E0D5025" w14:textId="77777777" w:rsidR="008E5E94" w:rsidRPr="00D72C92" w:rsidRDefault="008E5E94" w:rsidP="00EC12DE">
            <w:pPr>
              <w:tabs>
                <w:tab w:val="left" w:pos="1635"/>
              </w:tabs>
              <w:rPr>
                <w:sz w:val="16"/>
                <w:szCs w:val="16"/>
              </w:rPr>
            </w:pPr>
          </w:p>
        </w:tc>
      </w:tr>
      <w:tr w:rsidR="00D72C92" w:rsidRPr="00D72C92" w14:paraId="1E24FB98" w14:textId="77777777" w:rsidTr="00D42828">
        <w:trPr>
          <w:trHeight w:val="306"/>
        </w:trPr>
        <w:tc>
          <w:tcPr>
            <w:tcW w:w="1787" w:type="dxa"/>
            <w:tcBorders>
              <w:top w:val="nil"/>
              <w:bottom w:val="nil"/>
              <w:right w:val="single" w:sz="4" w:space="0" w:color="A6A6A6" w:themeColor="background1" w:themeShade="A6"/>
            </w:tcBorders>
            <w:vAlign w:val="center"/>
          </w:tcPr>
          <w:p w14:paraId="76F4EC16" w14:textId="7FCE53B2" w:rsidR="008E5E94" w:rsidRPr="00D72C92" w:rsidRDefault="008E5E94" w:rsidP="00EC12DE">
            <w:pPr>
              <w:tabs>
                <w:tab w:val="left" w:pos="1635"/>
              </w:tabs>
            </w:pPr>
            <w:r w:rsidRPr="00D72C92">
              <w:t>GTA(s):</w:t>
            </w:r>
          </w:p>
        </w:tc>
        <w:tc>
          <w:tcPr>
            <w:tcW w:w="2893" w:type="dxa"/>
            <w:tcBorders>
              <w:top w:val="nil"/>
              <w:left w:val="single" w:sz="4" w:space="0" w:color="A6A6A6" w:themeColor="background1" w:themeShade="A6"/>
              <w:bottom w:val="nil"/>
              <w:right w:val="single" w:sz="4" w:space="0" w:color="BFBFBF" w:themeColor="background1" w:themeShade="BF"/>
            </w:tcBorders>
            <w:vAlign w:val="center"/>
          </w:tcPr>
          <w:p w14:paraId="2D11FB4F" w14:textId="10773A47" w:rsidR="008E5E94" w:rsidRPr="00D72C92" w:rsidRDefault="00D72C92" w:rsidP="00EC12DE">
            <w:pPr>
              <w:tabs>
                <w:tab w:val="left" w:pos="1635"/>
              </w:tabs>
            </w:pPr>
            <w:r w:rsidRPr="00D72C92">
              <w:t>None</w:t>
            </w:r>
          </w:p>
        </w:tc>
        <w:tc>
          <w:tcPr>
            <w:tcW w:w="1440" w:type="dxa"/>
            <w:tcBorders>
              <w:top w:val="nil"/>
              <w:left w:val="single" w:sz="4" w:space="0" w:color="BFBFBF" w:themeColor="background1" w:themeShade="BF"/>
              <w:bottom w:val="nil"/>
              <w:right w:val="single" w:sz="4" w:space="0" w:color="BFBFBF" w:themeColor="background1" w:themeShade="BF"/>
            </w:tcBorders>
            <w:vAlign w:val="center"/>
          </w:tcPr>
          <w:p w14:paraId="25E2CE28" w14:textId="4819771A" w:rsidR="008E5E94" w:rsidRPr="00D72C92" w:rsidRDefault="008E5E94" w:rsidP="00EC12DE">
            <w:pPr>
              <w:tabs>
                <w:tab w:val="left" w:pos="1635"/>
              </w:tabs>
            </w:pPr>
            <w:r w:rsidRPr="00D72C92">
              <w:t>Email:</w:t>
            </w:r>
          </w:p>
        </w:tc>
        <w:tc>
          <w:tcPr>
            <w:tcW w:w="3240" w:type="dxa"/>
            <w:tcBorders>
              <w:top w:val="nil"/>
              <w:left w:val="single" w:sz="4" w:space="0" w:color="BFBFBF" w:themeColor="background1" w:themeShade="BF"/>
              <w:bottom w:val="nil"/>
            </w:tcBorders>
            <w:vAlign w:val="center"/>
          </w:tcPr>
          <w:p w14:paraId="090BA0D0" w14:textId="490372B6" w:rsidR="008E5E94" w:rsidRPr="00D72C92" w:rsidRDefault="008E5E94" w:rsidP="00EC12DE">
            <w:pPr>
              <w:tabs>
                <w:tab w:val="left" w:pos="1635"/>
              </w:tabs>
            </w:pPr>
          </w:p>
        </w:tc>
      </w:tr>
      <w:tr w:rsidR="008E5E94" w:rsidRPr="00D72C92" w14:paraId="59BD9BEA" w14:textId="77777777" w:rsidTr="00D42828">
        <w:trPr>
          <w:trHeight w:val="117"/>
        </w:trPr>
        <w:tc>
          <w:tcPr>
            <w:tcW w:w="1787" w:type="dxa"/>
            <w:tcBorders>
              <w:top w:val="nil"/>
              <w:right w:val="nil"/>
            </w:tcBorders>
          </w:tcPr>
          <w:p w14:paraId="43A58F85" w14:textId="77777777" w:rsidR="008E5E94" w:rsidRPr="00D72C92" w:rsidRDefault="008E5E94" w:rsidP="00EC12DE">
            <w:pPr>
              <w:tabs>
                <w:tab w:val="left" w:pos="1635"/>
              </w:tabs>
              <w:rPr>
                <w:sz w:val="16"/>
                <w:szCs w:val="16"/>
              </w:rPr>
            </w:pPr>
          </w:p>
        </w:tc>
        <w:tc>
          <w:tcPr>
            <w:tcW w:w="7573" w:type="dxa"/>
            <w:gridSpan w:val="3"/>
            <w:tcBorders>
              <w:top w:val="nil"/>
              <w:left w:val="nil"/>
            </w:tcBorders>
          </w:tcPr>
          <w:p w14:paraId="417FAA86" w14:textId="77777777" w:rsidR="008E5E94" w:rsidRPr="00D72C92" w:rsidRDefault="008E5E94" w:rsidP="00EC12DE">
            <w:pPr>
              <w:tabs>
                <w:tab w:val="left" w:pos="1635"/>
              </w:tabs>
              <w:rPr>
                <w:sz w:val="16"/>
                <w:szCs w:val="16"/>
              </w:rPr>
            </w:pPr>
          </w:p>
        </w:tc>
      </w:tr>
    </w:tbl>
    <w:p w14:paraId="253D59B4" w14:textId="77777777" w:rsidR="008E5E94" w:rsidRPr="00D72C92" w:rsidRDefault="008E5E94" w:rsidP="008E3671"/>
    <w:p w14:paraId="57D75805" w14:textId="77777777" w:rsidR="00112B6C" w:rsidRPr="006E5890" w:rsidRDefault="00D31B86" w:rsidP="00112B6C">
      <w:pPr>
        <w:pStyle w:val="Heading2"/>
      </w:pPr>
      <w:r w:rsidRPr="006E5890">
        <w:t>Course Description</w:t>
      </w:r>
    </w:p>
    <w:p w14:paraId="15B0D467" w14:textId="77777777" w:rsidR="00551F98" w:rsidRDefault="00EA21C1" w:rsidP="00551F98">
      <w:pPr>
        <w:ind w:left="-90"/>
      </w:pPr>
      <w:r w:rsidRPr="00EA21C1">
        <w:t>Antenna Analysis and Design: Fundamentals of antennas; dipoles, loops, arrays, apertures, and horns. Analysis and design of various antennas.</w:t>
      </w:r>
    </w:p>
    <w:p w14:paraId="61D69079" w14:textId="77777777" w:rsidR="00551F98" w:rsidRDefault="00551F98" w:rsidP="00551F98">
      <w:pPr>
        <w:ind w:left="-90"/>
      </w:pPr>
    </w:p>
    <w:p w14:paraId="41E9E940" w14:textId="3BD1271E" w:rsidR="00551F98" w:rsidRPr="00551F98" w:rsidRDefault="00551F98" w:rsidP="00551F98">
      <w:pPr>
        <w:ind w:left="-90"/>
      </w:pPr>
      <w:r w:rsidRPr="00551F98">
        <w:t>This course covers the basic principles related to antenna theory and explains how to apply them to the analysis, design and measurements of antennas.</w:t>
      </w:r>
    </w:p>
    <w:p w14:paraId="25A29C20" w14:textId="77777777" w:rsidR="00551F98" w:rsidRDefault="00551F98" w:rsidP="00551F98">
      <w:pPr>
        <w:spacing w:line="276" w:lineRule="auto"/>
        <w:ind w:left="540" w:firstLine="540"/>
      </w:pPr>
    </w:p>
    <w:p w14:paraId="500B7349" w14:textId="43DD8E23" w:rsidR="00551F98" w:rsidRPr="00551F98" w:rsidRDefault="00551F98" w:rsidP="00551F98">
      <w:pPr>
        <w:spacing w:line="276" w:lineRule="auto"/>
        <w:ind w:left="540" w:firstLine="540"/>
        <w:rPr>
          <w:b/>
          <w:bCs/>
        </w:rPr>
      </w:pPr>
      <w:r w:rsidRPr="00551F98">
        <w:rPr>
          <w:b/>
          <w:bCs/>
        </w:rPr>
        <w:t xml:space="preserve">Course Overview </w:t>
      </w:r>
    </w:p>
    <w:p w14:paraId="62528C09" w14:textId="77777777" w:rsidR="00551F98" w:rsidRDefault="00551F98" w:rsidP="00551F98">
      <w:pPr>
        <w:spacing w:line="276" w:lineRule="auto"/>
        <w:ind w:left="540" w:firstLine="540"/>
      </w:pPr>
      <w:r>
        <w:t>Principles of antenna theory</w:t>
      </w:r>
    </w:p>
    <w:p w14:paraId="13D33147" w14:textId="77777777" w:rsidR="00551F98" w:rsidRDefault="00551F98" w:rsidP="00551F98">
      <w:pPr>
        <w:spacing w:line="276" w:lineRule="auto"/>
        <w:ind w:left="540" w:firstLine="540"/>
      </w:pPr>
      <w:r>
        <w:t>Dipole Antennas</w:t>
      </w:r>
    </w:p>
    <w:p w14:paraId="28163BDF" w14:textId="77777777" w:rsidR="00551F98" w:rsidRDefault="00551F98" w:rsidP="00551F98">
      <w:pPr>
        <w:spacing w:line="276" w:lineRule="auto"/>
        <w:ind w:left="540" w:firstLine="540"/>
      </w:pPr>
      <w:r>
        <w:t xml:space="preserve">Loop Antennas </w:t>
      </w:r>
    </w:p>
    <w:p w14:paraId="7803B3FF" w14:textId="77777777" w:rsidR="00551F98" w:rsidRDefault="00551F98" w:rsidP="00551F98">
      <w:pPr>
        <w:spacing w:line="276" w:lineRule="auto"/>
        <w:ind w:left="540" w:firstLine="540"/>
      </w:pPr>
      <w:r>
        <w:t xml:space="preserve">Antenna Arrays </w:t>
      </w:r>
    </w:p>
    <w:p w14:paraId="411D439C" w14:textId="77777777" w:rsidR="00551F98" w:rsidRDefault="00551F98" w:rsidP="00551F98">
      <w:pPr>
        <w:spacing w:line="276" w:lineRule="auto"/>
        <w:ind w:left="540" w:firstLine="540"/>
      </w:pPr>
      <w:r>
        <w:t>Aperture and Horn Antennas</w:t>
      </w:r>
    </w:p>
    <w:p w14:paraId="45A60AED" w14:textId="1AB788D2" w:rsidR="00551F98" w:rsidRPr="00551F98" w:rsidRDefault="00551F98" w:rsidP="00551F98">
      <w:pPr>
        <w:spacing w:line="276" w:lineRule="auto"/>
        <w:ind w:left="540" w:firstLine="540"/>
      </w:pPr>
      <w:r>
        <w:t>Patch Antennas</w:t>
      </w:r>
    </w:p>
    <w:p w14:paraId="61ED438F" w14:textId="77777777" w:rsidR="008E1247" w:rsidRDefault="008E1247" w:rsidP="00D43A97"/>
    <w:p w14:paraId="6645AB99" w14:textId="409AFA71" w:rsidR="003B1BD1" w:rsidRPr="006563A2" w:rsidRDefault="0086688D" w:rsidP="003B1BD1">
      <w:pPr>
        <w:pStyle w:val="Heading2"/>
      </w:pPr>
      <w:r w:rsidRPr="006563A2">
        <w:t>Student Learning Outcomes</w:t>
      </w:r>
    </w:p>
    <w:p w14:paraId="1C76B61E" w14:textId="77777777" w:rsidR="007B4395" w:rsidRPr="007B4395" w:rsidRDefault="007B4395" w:rsidP="007B4395">
      <w:pPr>
        <w:spacing w:line="276" w:lineRule="auto"/>
        <w:rPr>
          <w:rFonts w:cs="Times New Roman"/>
        </w:rPr>
      </w:pPr>
      <w:r w:rsidRPr="007B4395">
        <w:rPr>
          <w:rFonts w:cs="Times New Roman"/>
        </w:rPr>
        <w:t>By the end of this course, students will be able to</w:t>
      </w:r>
    </w:p>
    <w:p w14:paraId="11355147" w14:textId="77777777" w:rsidR="007B4395" w:rsidRPr="007B4395" w:rsidRDefault="007B4395" w:rsidP="007B4395">
      <w:pPr>
        <w:numPr>
          <w:ilvl w:val="0"/>
          <w:numId w:val="23"/>
        </w:numPr>
        <w:overflowPunct w:val="0"/>
        <w:autoSpaceDE w:val="0"/>
        <w:autoSpaceDN w:val="0"/>
        <w:adjustRightInd w:val="0"/>
        <w:spacing w:line="276" w:lineRule="auto"/>
        <w:contextualSpacing w:val="0"/>
        <w:textAlignment w:val="baseline"/>
        <w:rPr>
          <w:rFonts w:cs="Times New Roman"/>
        </w:rPr>
      </w:pPr>
      <w:r w:rsidRPr="007B4395">
        <w:rPr>
          <w:rFonts w:cs="Times New Roman"/>
        </w:rPr>
        <w:t xml:space="preserve">understand basic principles related to antenna theory </w:t>
      </w:r>
    </w:p>
    <w:p w14:paraId="457BC2FF" w14:textId="77777777" w:rsidR="007B4395" w:rsidRPr="007B4395" w:rsidRDefault="007B4395" w:rsidP="007B4395">
      <w:pPr>
        <w:numPr>
          <w:ilvl w:val="0"/>
          <w:numId w:val="23"/>
        </w:numPr>
        <w:overflowPunct w:val="0"/>
        <w:autoSpaceDE w:val="0"/>
        <w:autoSpaceDN w:val="0"/>
        <w:adjustRightInd w:val="0"/>
        <w:spacing w:line="276" w:lineRule="auto"/>
        <w:contextualSpacing w:val="0"/>
        <w:textAlignment w:val="baseline"/>
        <w:rPr>
          <w:rFonts w:cs="Times New Roman"/>
        </w:rPr>
      </w:pPr>
      <w:r w:rsidRPr="007B4395">
        <w:rPr>
          <w:rFonts w:cs="Times New Roman"/>
        </w:rPr>
        <w:t>analyze and design dipole and loop antennas</w:t>
      </w:r>
    </w:p>
    <w:p w14:paraId="37F47EF0" w14:textId="77777777" w:rsidR="007B4395" w:rsidRPr="007B4395" w:rsidRDefault="007B4395" w:rsidP="007B4395">
      <w:pPr>
        <w:numPr>
          <w:ilvl w:val="0"/>
          <w:numId w:val="23"/>
        </w:numPr>
        <w:overflowPunct w:val="0"/>
        <w:autoSpaceDE w:val="0"/>
        <w:autoSpaceDN w:val="0"/>
        <w:adjustRightInd w:val="0"/>
        <w:spacing w:line="276" w:lineRule="auto"/>
        <w:contextualSpacing w:val="0"/>
        <w:textAlignment w:val="baseline"/>
        <w:rPr>
          <w:rFonts w:cs="Times New Roman"/>
        </w:rPr>
      </w:pPr>
      <w:r w:rsidRPr="007B4395">
        <w:rPr>
          <w:rFonts w:cs="Times New Roman"/>
        </w:rPr>
        <w:t>analyze and design antenna arrays</w:t>
      </w:r>
    </w:p>
    <w:p w14:paraId="39B68FE9" w14:textId="77777777" w:rsidR="007B4395" w:rsidRPr="007B4395" w:rsidRDefault="007B4395" w:rsidP="007B4395">
      <w:pPr>
        <w:numPr>
          <w:ilvl w:val="0"/>
          <w:numId w:val="23"/>
        </w:numPr>
        <w:overflowPunct w:val="0"/>
        <w:autoSpaceDE w:val="0"/>
        <w:autoSpaceDN w:val="0"/>
        <w:adjustRightInd w:val="0"/>
        <w:spacing w:line="276" w:lineRule="auto"/>
        <w:contextualSpacing w:val="0"/>
        <w:textAlignment w:val="baseline"/>
        <w:rPr>
          <w:rFonts w:cs="Times New Roman"/>
        </w:rPr>
      </w:pPr>
      <w:r w:rsidRPr="007B4395">
        <w:rPr>
          <w:rFonts w:cs="Times New Roman"/>
        </w:rPr>
        <w:t>analyze and design aperture and horn antennas</w:t>
      </w:r>
    </w:p>
    <w:p w14:paraId="2BBBA581" w14:textId="77777777" w:rsidR="007B4395" w:rsidRPr="007B4395" w:rsidRDefault="007B4395" w:rsidP="007B4395">
      <w:pPr>
        <w:numPr>
          <w:ilvl w:val="0"/>
          <w:numId w:val="23"/>
        </w:numPr>
        <w:overflowPunct w:val="0"/>
        <w:autoSpaceDE w:val="0"/>
        <w:autoSpaceDN w:val="0"/>
        <w:adjustRightInd w:val="0"/>
        <w:spacing w:line="276" w:lineRule="auto"/>
        <w:contextualSpacing w:val="0"/>
        <w:textAlignment w:val="baseline"/>
        <w:rPr>
          <w:rFonts w:cs="Times New Roman"/>
        </w:rPr>
      </w:pPr>
      <w:r w:rsidRPr="007B4395">
        <w:rPr>
          <w:rFonts w:cs="Times New Roman"/>
        </w:rPr>
        <w:t>analyze and design patch antennas</w:t>
      </w:r>
    </w:p>
    <w:p w14:paraId="1C1F0BD4" w14:textId="113070E3" w:rsidR="009F7AEA" w:rsidRPr="009F7AEA" w:rsidRDefault="009F7AEA" w:rsidP="009F7AEA"/>
    <w:p w14:paraId="6E1590E4" w14:textId="6B7DBC21" w:rsidR="00166629" w:rsidRPr="006563A2" w:rsidRDefault="00E06FA0" w:rsidP="00166629">
      <w:pPr>
        <w:pStyle w:val="Heading2"/>
      </w:pPr>
      <w:r w:rsidRPr="006563A2">
        <w:lastRenderedPageBreak/>
        <w:t>Enrollment Requirements</w:t>
      </w:r>
    </w:p>
    <w:p w14:paraId="42279DD0" w14:textId="58EFEE88" w:rsidR="00040AB6" w:rsidRDefault="006061E3" w:rsidP="00166629">
      <w:r>
        <w:t xml:space="preserve">PR: </w:t>
      </w:r>
      <w:r w:rsidRPr="006061E3">
        <w:t>EEL3470</w:t>
      </w:r>
    </w:p>
    <w:p w14:paraId="04DE15AC" w14:textId="77777777" w:rsidR="008F0F36" w:rsidRPr="008F0F36" w:rsidRDefault="008F0F36" w:rsidP="008F0F36"/>
    <w:p w14:paraId="5C42C307" w14:textId="483100D4" w:rsidR="00C00923" w:rsidRDefault="00C00923" w:rsidP="00E548B7">
      <w:pPr>
        <w:pStyle w:val="Heading2"/>
      </w:pPr>
      <w:r>
        <w:t>Course Activities</w:t>
      </w:r>
    </w:p>
    <w:p w14:paraId="35011624" w14:textId="77777777" w:rsidR="002E1AE3" w:rsidRDefault="002E1AE3" w:rsidP="002E1AE3">
      <w:r>
        <w:t xml:space="preserve">Syllabus, lecture notes, homework questions and solutions, project descriptions, and unofficial grades will be posted on webcourses periodically. The students are expected to check the webcourses at least twice a week. </w:t>
      </w:r>
    </w:p>
    <w:p w14:paraId="05BB34C1" w14:textId="77777777" w:rsidR="002E1AE3" w:rsidRDefault="002E1AE3" w:rsidP="002E1AE3"/>
    <w:p w14:paraId="6DFC63EB" w14:textId="282ACA4E" w:rsidR="00C00923" w:rsidRDefault="002E1AE3" w:rsidP="002E1AE3">
      <w:r>
        <w:t>There will be 5-6 homeworks. Final exam will be given in the time slot during the final exam week assigned by the university. Project report will be due towards the end of the semester.</w:t>
      </w:r>
    </w:p>
    <w:p w14:paraId="0C9FDE18" w14:textId="77777777" w:rsidR="002E1AE3" w:rsidRDefault="002E1AE3" w:rsidP="002E1AE3"/>
    <w:p w14:paraId="697D52F1" w14:textId="2449ACC6" w:rsidR="00C00923" w:rsidRDefault="00C00923" w:rsidP="00C00923">
      <w:pPr>
        <w:pStyle w:val="Heading3"/>
      </w:pPr>
      <w:r>
        <w:t>Important Dates</w:t>
      </w:r>
    </w:p>
    <w:p w14:paraId="7AE5D33F" w14:textId="55479C32" w:rsidR="00141C79" w:rsidRDefault="00141C79" w:rsidP="00141C79">
      <w:r>
        <w:t>3/2</w:t>
      </w:r>
      <w:r w:rsidR="00BF619C">
        <w:t>9</w:t>
      </w:r>
      <w:r>
        <w:t>/202</w:t>
      </w:r>
      <w:r w:rsidR="00BF619C">
        <w:t>4</w:t>
      </w:r>
      <w:r>
        <w:t>: Withdrawal deadline</w:t>
      </w:r>
    </w:p>
    <w:p w14:paraId="5DE61371" w14:textId="552BC9B0" w:rsidR="00141C79" w:rsidRDefault="00141C79" w:rsidP="00141C79">
      <w:r>
        <w:t>4/2</w:t>
      </w:r>
      <w:r w:rsidR="00884846">
        <w:t>4</w:t>
      </w:r>
      <w:r>
        <w:t>/202</w:t>
      </w:r>
      <w:r w:rsidR="00884846">
        <w:t>4</w:t>
      </w:r>
      <w:r>
        <w:t>: Final Exam</w:t>
      </w:r>
    </w:p>
    <w:p w14:paraId="3975F34F" w14:textId="737297CD" w:rsidR="00C00923" w:rsidRDefault="00141C79" w:rsidP="00141C79">
      <w:r>
        <w:t>4/30/202</w:t>
      </w:r>
      <w:r w:rsidR="00884846">
        <w:t>4</w:t>
      </w:r>
      <w:r>
        <w:t>: Project report</w:t>
      </w:r>
    </w:p>
    <w:p w14:paraId="7F3DA95D" w14:textId="77777777" w:rsidR="00141C79" w:rsidRDefault="00141C79" w:rsidP="00141C79"/>
    <w:p w14:paraId="53D8BF68" w14:textId="5B1578D0" w:rsidR="00C00923" w:rsidRDefault="00C00923" w:rsidP="00C00923">
      <w:pPr>
        <w:pStyle w:val="Heading3"/>
      </w:pPr>
      <w:r>
        <w:t>Assignment Submission</w:t>
      </w:r>
    </w:p>
    <w:p w14:paraId="71327A66" w14:textId="3559483A" w:rsidR="00975A88" w:rsidRDefault="008E737D" w:rsidP="00975A88">
      <w:r w:rsidRPr="008E737D">
        <w:t>All assignments will be submitted to webcourses in pdf.</w:t>
      </w:r>
    </w:p>
    <w:p w14:paraId="3D34A772" w14:textId="77777777" w:rsidR="008E737D" w:rsidRDefault="008E737D" w:rsidP="00975A88"/>
    <w:p w14:paraId="6C99EEE4" w14:textId="125247E5" w:rsidR="00975A88" w:rsidRDefault="00975A88" w:rsidP="00975A88">
      <w:pPr>
        <w:pStyle w:val="Heading3"/>
      </w:pPr>
      <w:r>
        <w:t>Final Exam</w:t>
      </w:r>
    </w:p>
    <w:p w14:paraId="799CCBEB" w14:textId="4D96BEE3" w:rsidR="00975A88" w:rsidRPr="002F3830" w:rsidRDefault="00AC5F9F" w:rsidP="00975A88">
      <w:r w:rsidRPr="00AC5F9F">
        <w:t xml:space="preserve">Comprehensive exam of all materials in this semester. Open book and notes. </w:t>
      </w:r>
    </w:p>
    <w:p w14:paraId="3799DFAB" w14:textId="77777777" w:rsidR="00C00923" w:rsidRDefault="00C00923" w:rsidP="00C00923"/>
    <w:p w14:paraId="5084F2DC" w14:textId="036AB39D" w:rsidR="002F3830" w:rsidRDefault="002F3830" w:rsidP="00E548B7">
      <w:pPr>
        <w:pStyle w:val="Heading2"/>
      </w:pPr>
      <w:r>
        <w:t>Assessment and Grading Procedures</w:t>
      </w:r>
    </w:p>
    <w:p w14:paraId="04555651" w14:textId="77777777" w:rsidR="008F1801" w:rsidRDefault="008F1801" w:rsidP="002F3830"/>
    <w:p w14:paraId="28AE2ADC" w14:textId="7EA860BB" w:rsidR="002F3830" w:rsidRDefault="00B90DF4" w:rsidP="008F1801">
      <w:pPr>
        <w:pStyle w:val="Heading3"/>
      </w:pPr>
      <w:r>
        <w:t>Grading Methods</w:t>
      </w:r>
    </w:p>
    <w:tbl>
      <w:tblPr>
        <w:tblW w:w="0" w:type="auto"/>
        <w:jc w:val="center"/>
        <w:tblLayout w:type="fixed"/>
        <w:tblLook w:val="01E0" w:firstRow="1" w:lastRow="1" w:firstColumn="1" w:lastColumn="1" w:noHBand="0" w:noVBand="0"/>
      </w:tblPr>
      <w:tblGrid>
        <w:gridCol w:w="4515"/>
        <w:gridCol w:w="2160"/>
      </w:tblGrid>
      <w:tr w:rsidR="004B517B" w:rsidRPr="004B517B" w14:paraId="3938DA06" w14:textId="77777777" w:rsidTr="00C32AE3">
        <w:trPr>
          <w:jc w:val="center"/>
        </w:trPr>
        <w:tc>
          <w:tcPr>
            <w:tcW w:w="4515" w:type="dxa"/>
            <w:tcBorders>
              <w:top w:val="single" w:sz="4" w:space="0" w:color="auto"/>
              <w:bottom w:val="single" w:sz="4" w:space="0" w:color="auto"/>
            </w:tcBorders>
            <w:vAlign w:val="bottom"/>
          </w:tcPr>
          <w:p w14:paraId="638E3508" w14:textId="77777777" w:rsidR="004B517B" w:rsidRPr="004B517B" w:rsidRDefault="004B517B" w:rsidP="00C32AE3">
            <w:pPr>
              <w:spacing w:line="276" w:lineRule="auto"/>
              <w:jc w:val="both"/>
              <w:rPr>
                <w:rFonts w:cs="Times New Roman"/>
              </w:rPr>
            </w:pPr>
            <w:r w:rsidRPr="004B517B">
              <w:rPr>
                <w:rFonts w:cs="Times New Roman"/>
              </w:rPr>
              <w:t>Assessment</w:t>
            </w:r>
          </w:p>
        </w:tc>
        <w:tc>
          <w:tcPr>
            <w:tcW w:w="2160" w:type="dxa"/>
            <w:tcBorders>
              <w:top w:val="single" w:sz="4" w:space="0" w:color="auto"/>
              <w:bottom w:val="single" w:sz="4" w:space="0" w:color="auto"/>
            </w:tcBorders>
          </w:tcPr>
          <w:p w14:paraId="61955709" w14:textId="77777777" w:rsidR="004B517B" w:rsidRPr="004B517B" w:rsidRDefault="004B517B" w:rsidP="00C32AE3">
            <w:pPr>
              <w:spacing w:line="276" w:lineRule="auto"/>
              <w:jc w:val="center"/>
              <w:rPr>
                <w:rFonts w:cs="Times New Roman"/>
              </w:rPr>
            </w:pPr>
            <w:r w:rsidRPr="004B517B">
              <w:rPr>
                <w:rFonts w:cs="Times New Roman"/>
              </w:rPr>
              <w:t>Percent of Final Grade</w:t>
            </w:r>
          </w:p>
        </w:tc>
      </w:tr>
      <w:tr w:rsidR="004B517B" w:rsidRPr="004B517B" w14:paraId="12C8F264" w14:textId="77777777" w:rsidTr="00C32AE3">
        <w:trPr>
          <w:jc w:val="center"/>
        </w:trPr>
        <w:tc>
          <w:tcPr>
            <w:tcW w:w="4515" w:type="dxa"/>
            <w:tcBorders>
              <w:top w:val="single" w:sz="4" w:space="0" w:color="auto"/>
            </w:tcBorders>
          </w:tcPr>
          <w:p w14:paraId="5510E548" w14:textId="77777777" w:rsidR="004B517B" w:rsidRPr="004B517B" w:rsidRDefault="004B517B" w:rsidP="00C32AE3">
            <w:pPr>
              <w:spacing w:line="276" w:lineRule="auto"/>
              <w:rPr>
                <w:rFonts w:cs="Times New Roman"/>
              </w:rPr>
            </w:pPr>
            <w:r w:rsidRPr="004B517B">
              <w:rPr>
                <w:rFonts w:cs="Times New Roman"/>
              </w:rPr>
              <w:t>Homework</w:t>
            </w:r>
          </w:p>
        </w:tc>
        <w:tc>
          <w:tcPr>
            <w:tcW w:w="2160" w:type="dxa"/>
            <w:tcBorders>
              <w:top w:val="single" w:sz="4" w:space="0" w:color="auto"/>
            </w:tcBorders>
          </w:tcPr>
          <w:p w14:paraId="0438D17A" w14:textId="77777777" w:rsidR="004B517B" w:rsidRPr="004B517B" w:rsidRDefault="004B517B" w:rsidP="00C32AE3">
            <w:pPr>
              <w:tabs>
                <w:tab w:val="decimal" w:pos="1342"/>
              </w:tabs>
              <w:spacing w:line="276" w:lineRule="auto"/>
              <w:rPr>
                <w:rFonts w:cs="Times New Roman"/>
              </w:rPr>
            </w:pPr>
            <w:r w:rsidRPr="004B517B">
              <w:rPr>
                <w:rFonts w:cs="Times New Roman"/>
              </w:rPr>
              <w:t>30%</w:t>
            </w:r>
          </w:p>
        </w:tc>
      </w:tr>
      <w:tr w:rsidR="004B517B" w:rsidRPr="004B517B" w14:paraId="4045418A" w14:textId="77777777" w:rsidTr="00C32AE3">
        <w:trPr>
          <w:jc w:val="center"/>
        </w:trPr>
        <w:tc>
          <w:tcPr>
            <w:tcW w:w="4515" w:type="dxa"/>
          </w:tcPr>
          <w:p w14:paraId="42079B3A" w14:textId="77777777" w:rsidR="004B517B" w:rsidRPr="004B517B" w:rsidRDefault="004B517B" w:rsidP="00C32AE3">
            <w:pPr>
              <w:spacing w:line="276" w:lineRule="auto"/>
              <w:rPr>
                <w:rFonts w:cs="Times New Roman"/>
              </w:rPr>
            </w:pPr>
            <w:r w:rsidRPr="004B517B">
              <w:rPr>
                <w:rFonts w:cs="Times New Roman"/>
              </w:rPr>
              <w:t>Project</w:t>
            </w:r>
          </w:p>
        </w:tc>
        <w:tc>
          <w:tcPr>
            <w:tcW w:w="2160" w:type="dxa"/>
          </w:tcPr>
          <w:p w14:paraId="38DAE30D" w14:textId="77777777" w:rsidR="004B517B" w:rsidRPr="004B517B" w:rsidRDefault="004B517B" w:rsidP="00C32AE3">
            <w:pPr>
              <w:tabs>
                <w:tab w:val="decimal" w:pos="1342"/>
              </w:tabs>
              <w:spacing w:line="276" w:lineRule="auto"/>
              <w:rPr>
                <w:rFonts w:cs="Times New Roman"/>
              </w:rPr>
            </w:pPr>
            <w:r w:rsidRPr="004B517B">
              <w:rPr>
                <w:rFonts w:cs="Times New Roman"/>
              </w:rPr>
              <w:t>40%</w:t>
            </w:r>
          </w:p>
        </w:tc>
      </w:tr>
      <w:tr w:rsidR="004B517B" w:rsidRPr="004B517B" w14:paraId="4AF397F0" w14:textId="77777777" w:rsidTr="00C32AE3">
        <w:trPr>
          <w:jc w:val="center"/>
        </w:trPr>
        <w:tc>
          <w:tcPr>
            <w:tcW w:w="4515" w:type="dxa"/>
          </w:tcPr>
          <w:p w14:paraId="3BF0207A" w14:textId="77777777" w:rsidR="004B517B" w:rsidRPr="004B517B" w:rsidRDefault="004B517B" w:rsidP="00C32AE3">
            <w:pPr>
              <w:spacing w:line="276" w:lineRule="auto"/>
              <w:rPr>
                <w:rFonts w:cs="Times New Roman"/>
              </w:rPr>
            </w:pPr>
            <w:r w:rsidRPr="004B517B">
              <w:rPr>
                <w:rFonts w:cs="Times New Roman"/>
              </w:rPr>
              <w:t>Final Exam</w:t>
            </w:r>
          </w:p>
        </w:tc>
        <w:tc>
          <w:tcPr>
            <w:tcW w:w="2160" w:type="dxa"/>
          </w:tcPr>
          <w:p w14:paraId="061ABDE4" w14:textId="77777777" w:rsidR="004B517B" w:rsidRPr="004B517B" w:rsidRDefault="004B517B" w:rsidP="00C32AE3">
            <w:pPr>
              <w:tabs>
                <w:tab w:val="decimal" w:pos="1342"/>
              </w:tabs>
              <w:spacing w:line="276" w:lineRule="auto"/>
              <w:rPr>
                <w:rFonts w:cs="Times New Roman"/>
              </w:rPr>
            </w:pPr>
            <w:r w:rsidRPr="004B517B">
              <w:rPr>
                <w:rFonts w:cs="Times New Roman"/>
              </w:rPr>
              <w:t>30%</w:t>
            </w:r>
          </w:p>
        </w:tc>
      </w:tr>
      <w:tr w:rsidR="004B517B" w:rsidRPr="004B517B" w14:paraId="181B5D37" w14:textId="77777777" w:rsidTr="00C32AE3">
        <w:trPr>
          <w:jc w:val="center"/>
        </w:trPr>
        <w:tc>
          <w:tcPr>
            <w:tcW w:w="4515" w:type="dxa"/>
            <w:tcBorders>
              <w:top w:val="single" w:sz="4" w:space="0" w:color="auto"/>
            </w:tcBorders>
          </w:tcPr>
          <w:p w14:paraId="7E18B04B" w14:textId="77777777" w:rsidR="004B517B" w:rsidRPr="004B517B" w:rsidRDefault="004B517B" w:rsidP="00C32AE3">
            <w:pPr>
              <w:spacing w:line="276" w:lineRule="auto"/>
              <w:jc w:val="both"/>
              <w:rPr>
                <w:rFonts w:cs="Times New Roman"/>
              </w:rPr>
            </w:pPr>
          </w:p>
        </w:tc>
        <w:tc>
          <w:tcPr>
            <w:tcW w:w="2160" w:type="dxa"/>
            <w:tcBorders>
              <w:top w:val="single" w:sz="4" w:space="0" w:color="auto"/>
            </w:tcBorders>
          </w:tcPr>
          <w:p w14:paraId="143032D9" w14:textId="77777777" w:rsidR="004B517B" w:rsidRPr="004B517B" w:rsidRDefault="004B517B" w:rsidP="00C32AE3">
            <w:pPr>
              <w:tabs>
                <w:tab w:val="decimal" w:pos="1342"/>
              </w:tabs>
              <w:spacing w:line="276" w:lineRule="auto"/>
              <w:jc w:val="both"/>
              <w:rPr>
                <w:rFonts w:cs="Times New Roman"/>
              </w:rPr>
            </w:pPr>
            <w:r w:rsidRPr="004B517B">
              <w:rPr>
                <w:rFonts w:cs="Times New Roman"/>
              </w:rPr>
              <w:t>100%</w:t>
            </w:r>
          </w:p>
        </w:tc>
      </w:tr>
    </w:tbl>
    <w:p w14:paraId="6CD3CB2A" w14:textId="77777777" w:rsidR="004B517B" w:rsidRPr="004B517B" w:rsidRDefault="004B517B" w:rsidP="004B517B">
      <w:pPr>
        <w:spacing w:line="276" w:lineRule="auto"/>
        <w:jc w:val="both"/>
        <w:rPr>
          <w:rFonts w:cs="Times New Roman"/>
        </w:rPr>
      </w:pPr>
    </w:p>
    <w:p w14:paraId="1425EF57" w14:textId="77777777" w:rsidR="004B517B" w:rsidRPr="004B517B" w:rsidRDefault="004B517B" w:rsidP="004B517B">
      <w:pPr>
        <w:spacing w:line="276" w:lineRule="auto"/>
        <w:jc w:val="both"/>
        <w:rPr>
          <w:rFonts w:cs="Times New Roman"/>
        </w:rPr>
      </w:pPr>
    </w:p>
    <w:tbl>
      <w:tblPr>
        <w:tblW w:w="2270" w:type="dxa"/>
        <w:jc w:val="center"/>
        <w:tblLayout w:type="fixed"/>
        <w:tblLook w:val="0000" w:firstRow="0" w:lastRow="0" w:firstColumn="0" w:lastColumn="0" w:noHBand="0" w:noVBand="0"/>
      </w:tblPr>
      <w:tblGrid>
        <w:gridCol w:w="1280"/>
        <w:gridCol w:w="360"/>
        <w:gridCol w:w="630"/>
      </w:tblGrid>
      <w:tr w:rsidR="004B517B" w:rsidRPr="004B517B" w14:paraId="69E704F8" w14:textId="77777777" w:rsidTr="00C32AE3">
        <w:trPr>
          <w:cantSplit/>
          <w:tblHeader/>
          <w:jc w:val="center"/>
        </w:trPr>
        <w:tc>
          <w:tcPr>
            <w:tcW w:w="2270" w:type="dxa"/>
            <w:gridSpan w:val="3"/>
            <w:tcBorders>
              <w:top w:val="single" w:sz="4" w:space="0" w:color="auto"/>
              <w:bottom w:val="single" w:sz="4" w:space="0" w:color="auto"/>
            </w:tcBorders>
          </w:tcPr>
          <w:p w14:paraId="0E5B916F" w14:textId="77777777" w:rsidR="004B517B" w:rsidRPr="004B517B" w:rsidRDefault="004B517B" w:rsidP="00C32AE3">
            <w:pPr>
              <w:spacing w:line="276" w:lineRule="auto"/>
              <w:jc w:val="center"/>
              <w:rPr>
                <w:rFonts w:cs="Times New Roman"/>
              </w:rPr>
            </w:pPr>
            <w:r w:rsidRPr="004B517B">
              <w:rPr>
                <w:rFonts w:cs="Times New Roman"/>
              </w:rPr>
              <w:t>Grading Scale (%)</w:t>
            </w:r>
          </w:p>
        </w:tc>
      </w:tr>
      <w:tr w:rsidR="004B517B" w:rsidRPr="004B517B" w14:paraId="406678C3" w14:textId="77777777" w:rsidTr="00C32AE3">
        <w:trPr>
          <w:cantSplit/>
          <w:jc w:val="center"/>
        </w:trPr>
        <w:tc>
          <w:tcPr>
            <w:tcW w:w="1280" w:type="dxa"/>
          </w:tcPr>
          <w:p w14:paraId="5EB6A064" w14:textId="729490B1" w:rsidR="004B517B" w:rsidRPr="004B517B" w:rsidRDefault="009A6990" w:rsidP="00C32AE3">
            <w:pPr>
              <w:suppressAutoHyphens/>
              <w:spacing w:line="276" w:lineRule="auto"/>
              <w:jc w:val="center"/>
              <w:rPr>
                <w:rFonts w:cs="Times New Roman"/>
              </w:rPr>
            </w:pPr>
            <w:r>
              <w:rPr>
                <w:rFonts w:cs="Times New Roman"/>
              </w:rPr>
              <w:t>90</w:t>
            </w:r>
          </w:p>
        </w:tc>
        <w:tc>
          <w:tcPr>
            <w:tcW w:w="360" w:type="dxa"/>
          </w:tcPr>
          <w:p w14:paraId="1F3417AA" w14:textId="77777777" w:rsidR="004B517B" w:rsidRPr="004B517B" w:rsidRDefault="004B517B" w:rsidP="00C32AE3">
            <w:pPr>
              <w:suppressAutoHyphens/>
              <w:spacing w:line="276" w:lineRule="auto"/>
              <w:jc w:val="center"/>
              <w:rPr>
                <w:rFonts w:cs="Times New Roman"/>
              </w:rPr>
            </w:pPr>
          </w:p>
        </w:tc>
        <w:tc>
          <w:tcPr>
            <w:tcW w:w="630" w:type="dxa"/>
          </w:tcPr>
          <w:p w14:paraId="2C7C877C" w14:textId="77777777" w:rsidR="004B517B" w:rsidRPr="004B517B" w:rsidRDefault="004B517B" w:rsidP="00C32AE3">
            <w:pPr>
              <w:suppressAutoHyphens/>
              <w:spacing w:line="276" w:lineRule="auto"/>
              <w:jc w:val="center"/>
              <w:rPr>
                <w:rFonts w:cs="Times New Roman"/>
              </w:rPr>
            </w:pPr>
            <w:r w:rsidRPr="004B517B">
              <w:rPr>
                <w:rFonts w:cs="Times New Roman"/>
              </w:rPr>
              <w:t>A</w:t>
            </w:r>
          </w:p>
        </w:tc>
      </w:tr>
      <w:tr w:rsidR="004B517B" w:rsidRPr="004B517B" w14:paraId="017B8791" w14:textId="77777777" w:rsidTr="00C32AE3">
        <w:trPr>
          <w:cantSplit/>
          <w:jc w:val="center"/>
        </w:trPr>
        <w:tc>
          <w:tcPr>
            <w:tcW w:w="1280" w:type="dxa"/>
          </w:tcPr>
          <w:p w14:paraId="3633AD14" w14:textId="69C276B7" w:rsidR="004B517B" w:rsidRPr="004B517B" w:rsidRDefault="008677A4" w:rsidP="00C32AE3">
            <w:pPr>
              <w:suppressAutoHyphens/>
              <w:spacing w:line="276" w:lineRule="auto"/>
              <w:jc w:val="center"/>
              <w:rPr>
                <w:rFonts w:cs="Times New Roman"/>
              </w:rPr>
            </w:pPr>
            <w:r>
              <w:rPr>
                <w:rFonts w:cs="Times New Roman"/>
              </w:rPr>
              <w:t>8</w:t>
            </w:r>
            <w:r w:rsidR="009A6990">
              <w:rPr>
                <w:rFonts w:cs="Times New Roman"/>
              </w:rPr>
              <w:t>5</w:t>
            </w:r>
          </w:p>
        </w:tc>
        <w:tc>
          <w:tcPr>
            <w:tcW w:w="360" w:type="dxa"/>
          </w:tcPr>
          <w:p w14:paraId="7783A2BE" w14:textId="77777777" w:rsidR="004B517B" w:rsidRPr="004B517B" w:rsidRDefault="004B517B" w:rsidP="00C32AE3">
            <w:pPr>
              <w:spacing w:line="276" w:lineRule="auto"/>
              <w:jc w:val="center"/>
              <w:rPr>
                <w:rFonts w:cs="Times New Roman"/>
              </w:rPr>
            </w:pPr>
          </w:p>
        </w:tc>
        <w:tc>
          <w:tcPr>
            <w:tcW w:w="630" w:type="dxa"/>
          </w:tcPr>
          <w:p w14:paraId="100741FF" w14:textId="77777777" w:rsidR="004B517B" w:rsidRPr="004B517B" w:rsidRDefault="004B517B" w:rsidP="00C32AE3">
            <w:pPr>
              <w:suppressAutoHyphens/>
              <w:spacing w:line="276" w:lineRule="auto"/>
              <w:jc w:val="center"/>
              <w:rPr>
                <w:rFonts w:cs="Times New Roman"/>
              </w:rPr>
            </w:pPr>
            <w:r w:rsidRPr="004B517B">
              <w:rPr>
                <w:rFonts w:cs="Times New Roman"/>
              </w:rPr>
              <w:t>A-</w:t>
            </w:r>
          </w:p>
        </w:tc>
      </w:tr>
      <w:tr w:rsidR="004B517B" w:rsidRPr="004B517B" w14:paraId="5D2CE08A" w14:textId="77777777" w:rsidTr="00C32AE3">
        <w:trPr>
          <w:cantSplit/>
          <w:jc w:val="center"/>
        </w:trPr>
        <w:tc>
          <w:tcPr>
            <w:tcW w:w="1280" w:type="dxa"/>
          </w:tcPr>
          <w:p w14:paraId="7B0C746E" w14:textId="191EC1A0" w:rsidR="004B517B" w:rsidRPr="004B517B" w:rsidRDefault="009A6990" w:rsidP="00C32AE3">
            <w:pPr>
              <w:suppressAutoHyphens/>
              <w:spacing w:line="276" w:lineRule="auto"/>
              <w:jc w:val="center"/>
              <w:rPr>
                <w:rFonts w:cs="Times New Roman"/>
              </w:rPr>
            </w:pPr>
            <w:r>
              <w:rPr>
                <w:rFonts w:cs="Times New Roman"/>
              </w:rPr>
              <w:t>80</w:t>
            </w:r>
          </w:p>
        </w:tc>
        <w:tc>
          <w:tcPr>
            <w:tcW w:w="360" w:type="dxa"/>
          </w:tcPr>
          <w:p w14:paraId="27DB86FE" w14:textId="77777777" w:rsidR="004B517B" w:rsidRPr="004B517B" w:rsidRDefault="004B517B" w:rsidP="00C32AE3">
            <w:pPr>
              <w:spacing w:line="276" w:lineRule="auto"/>
              <w:jc w:val="center"/>
              <w:rPr>
                <w:rFonts w:cs="Times New Roman"/>
              </w:rPr>
            </w:pPr>
          </w:p>
        </w:tc>
        <w:tc>
          <w:tcPr>
            <w:tcW w:w="630" w:type="dxa"/>
          </w:tcPr>
          <w:p w14:paraId="2BD67400" w14:textId="77777777" w:rsidR="004B517B" w:rsidRPr="004B517B" w:rsidRDefault="004B517B" w:rsidP="00C32AE3">
            <w:pPr>
              <w:suppressAutoHyphens/>
              <w:spacing w:line="276" w:lineRule="auto"/>
              <w:jc w:val="center"/>
              <w:rPr>
                <w:rFonts w:cs="Times New Roman"/>
              </w:rPr>
            </w:pPr>
            <w:r w:rsidRPr="004B517B">
              <w:rPr>
                <w:rFonts w:cs="Times New Roman"/>
              </w:rPr>
              <w:t>B+</w:t>
            </w:r>
          </w:p>
        </w:tc>
      </w:tr>
      <w:tr w:rsidR="004B517B" w:rsidRPr="004B517B" w14:paraId="7AE81AF2" w14:textId="77777777" w:rsidTr="00C32AE3">
        <w:trPr>
          <w:cantSplit/>
          <w:jc w:val="center"/>
        </w:trPr>
        <w:tc>
          <w:tcPr>
            <w:tcW w:w="1280" w:type="dxa"/>
          </w:tcPr>
          <w:p w14:paraId="1DAF0559" w14:textId="589E86E6" w:rsidR="004B517B" w:rsidRPr="004B517B" w:rsidRDefault="009A6990" w:rsidP="00C32AE3">
            <w:pPr>
              <w:suppressAutoHyphens/>
              <w:spacing w:line="276" w:lineRule="auto"/>
              <w:jc w:val="center"/>
              <w:rPr>
                <w:rFonts w:cs="Times New Roman"/>
              </w:rPr>
            </w:pPr>
            <w:r>
              <w:rPr>
                <w:rFonts w:cs="Times New Roman"/>
              </w:rPr>
              <w:t>75</w:t>
            </w:r>
          </w:p>
        </w:tc>
        <w:tc>
          <w:tcPr>
            <w:tcW w:w="360" w:type="dxa"/>
          </w:tcPr>
          <w:p w14:paraId="5E6CDA6E" w14:textId="77777777" w:rsidR="004B517B" w:rsidRPr="004B517B" w:rsidRDefault="004B517B" w:rsidP="00C32AE3">
            <w:pPr>
              <w:spacing w:line="276" w:lineRule="auto"/>
              <w:jc w:val="center"/>
              <w:rPr>
                <w:rFonts w:cs="Times New Roman"/>
              </w:rPr>
            </w:pPr>
          </w:p>
        </w:tc>
        <w:tc>
          <w:tcPr>
            <w:tcW w:w="630" w:type="dxa"/>
          </w:tcPr>
          <w:p w14:paraId="1104A985" w14:textId="77777777" w:rsidR="004B517B" w:rsidRPr="004B517B" w:rsidRDefault="004B517B" w:rsidP="00C32AE3">
            <w:pPr>
              <w:suppressAutoHyphens/>
              <w:spacing w:line="276" w:lineRule="auto"/>
              <w:jc w:val="center"/>
              <w:rPr>
                <w:rFonts w:cs="Times New Roman"/>
              </w:rPr>
            </w:pPr>
            <w:r w:rsidRPr="004B517B">
              <w:rPr>
                <w:rFonts w:cs="Times New Roman"/>
              </w:rPr>
              <w:t>B</w:t>
            </w:r>
          </w:p>
        </w:tc>
      </w:tr>
      <w:tr w:rsidR="004B517B" w:rsidRPr="004B517B" w14:paraId="7EA63F93" w14:textId="77777777" w:rsidTr="00C32AE3">
        <w:trPr>
          <w:cantSplit/>
          <w:jc w:val="center"/>
        </w:trPr>
        <w:tc>
          <w:tcPr>
            <w:tcW w:w="1280" w:type="dxa"/>
          </w:tcPr>
          <w:p w14:paraId="355EA8A1" w14:textId="17A0C3E9" w:rsidR="004B517B" w:rsidRPr="004B517B" w:rsidRDefault="009A6990" w:rsidP="00C32AE3">
            <w:pPr>
              <w:suppressAutoHyphens/>
              <w:spacing w:line="276" w:lineRule="auto"/>
              <w:jc w:val="center"/>
              <w:rPr>
                <w:rFonts w:cs="Times New Roman"/>
              </w:rPr>
            </w:pPr>
            <w:r>
              <w:rPr>
                <w:rFonts w:cs="Times New Roman"/>
              </w:rPr>
              <w:t>70</w:t>
            </w:r>
          </w:p>
        </w:tc>
        <w:tc>
          <w:tcPr>
            <w:tcW w:w="360" w:type="dxa"/>
          </w:tcPr>
          <w:p w14:paraId="0B7805ED" w14:textId="77777777" w:rsidR="004B517B" w:rsidRPr="004B517B" w:rsidRDefault="004B517B" w:rsidP="00C32AE3">
            <w:pPr>
              <w:spacing w:line="276" w:lineRule="auto"/>
              <w:jc w:val="center"/>
              <w:rPr>
                <w:rFonts w:cs="Times New Roman"/>
              </w:rPr>
            </w:pPr>
          </w:p>
        </w:tc>
        <w:tc>
          <w:tcPr>
            <w:tcW w:w="630" w:type="dxa"/>
          </w:tcPr>
          <w:p w14:paraId="16881BFC" w14:textId="77777777" w:rsidR="004B517B" w:rsidRPr="004B517B" w:rsidRDefault="004B517B" w:rsidP="00C32AE3">
            <w:pPr>
              <w:suppressAutoHyphens/>
              <w:spacing w:line="276" w:lineRule="auto"/>
              <w:jc w:val="center"/>
              <w:rPr>
                <w:rFonts w:cs="Times New Roman"/>
              </w:rPr>
            </w:pPr>
            <w:r w:rsidRPr="004B517B">
              <w:rPr>
                <w:rFonts w:cs="Times New Roman"/>
              </w:rPr>
              <w:t>B-</w:t>
            </w:r>
          </w:p>
        </w:tc>
      </w:tr>
      <w:tr w:rsidR="004B517B" w:rsidRPr="004B517B" w14:paraId="05F789DE" w14:textId="77777777" w:rsidTr="00C32AE3">
        <w:trPr>
          <w:cantSplit/>
          <w:jc w:val="center"/>
        </w:trPr>
        <w:tc>
          <w:tcPr>
            <w:tcW w:w="1280" w:type="dxa"/>
          </w:tcPr>
          <w:p w14:paraId="4AE1F0F9" w14:textId="495ABCE7" w:rsidR="004B517B" w:rsidRPr="004B517B" w:rsidRDefault="009A6990" w:rsidP="00C32AE3">
            <w:pPr>
              <w:suppressAutoHyphens/>
              <w:spacing w:line="276" w:lineRule="auto"/>
              <w:jc w:val="center"/>
              <w:rPr>
                <w:rFonts w:cs="Times New Roman"/>
              </w:rPr>
            </w:pPr>
            <w:r>
              <w:rPr>
                <w:rFonts w:cs="Times New Roman"/>
              </w:rPr>
              <w:t>65</w:t>
            </w:r>
          </w:p>
        </w:tc>
        <w:tc>
          <w:tcPr>
            <w:tcW w:w="360" w:type="dxa"/>
          </w:tcPr>
          <w:p w14:paraId="58E662FD" w14:textId="77777777" w:rsidR="004B517B" w:rsidRPr="004B517B" w:rsidRDefault="004B517B" w:rsidP="00C32AE3">
            <w:pPr>
              <w:spacing w:line="276" w:lineRule="auto"/>
              <w:jc w:val="center"/>
              <w:rPr>
                <w:rFonts w:cs="Times New Roman"/>
              </w:rPr>
            </w:pPr>
          </w:p>
        </w:tc>
        <w:tc>
          <w:tcPr>
            <w:tcW w:w="630" w:type="dxa"/>
          </w:tcPr>
          <w:p w14:paraId="19705848" w14:textId="77777777" w:rsidR="004B517B" w:rsidRPr="004B517B" w:rsidRDefault="004B517B" w:rsidP="00C32AE3">
            <w:pPr>
              <w:suppressAutoHyphens/>
              <w:spacing w:line="276" w:lineRule="auto"/>
              <w:jc w:val="center"/>
              <w:rPr>
                <w:rFonts w:cs="Times New Roman"/>
              </w:rPr>
            </w:pPr>
            <w:r w:rsidRPr="004B517B">
              <w:rPr>
                <w:rFonts w:cs="Times New Roman"/>
              </w:rPr>
              <w:t>C+</w:t>
            </w:r>
          </w:p>
        </w:tc>
      </w:tr>
      <w:tr w:rsidR="004B517B" w:rsidRPr="004B517B" w14:paraId="4292ABBC" w14:textId="77777777" w:rsidTr="00C32AE3">
        <w:trPr>
          <w:cantSplit/>
          <w:jc w:val="center"/>
        </w:trPr>
        <w:tc>
          <w:tcPr>
            <w:tcW w:w="1280" w:type="dxa"/>
          </w:tcPr>
          <w:p w14:paraId="0470B69C" w14:textId="63323795" w:rsidR="004B517B" w:rsidRPr="004B517B" w:rsidRDefault="009A6990" w:rsidP="00C32AE3">
            <w:pPr>
              <w:suppressAutoHyphens/>
              <w:spacing w:line="276" w:lineRule="auto"/>
              <w:jc w:val="center"/>
              <w:rPr>
                <w:rFonts w:cs="Times New Roman"/>
              </w:rPr>
            </w:pPr>
            <w:r>
              <w:rPr>
                <w:rFonts w:cs="Times New Roman"/>
              </w:rPr>
              <w:t>60</w:t>
            </w:r>
          </w:p>
        </w:tc>
        <w:tc>
          <w:tcPr>
            <w:tcW w:w="360" w:type="dxa"/>
          </w:tcPr>
          <w:p w14:paraId="731A318C" w14:textId="77777777" w:rsidR="004B517B" w:rsidRPr="004B517B" w:rsidRDefault="004B517B" w:rsidP="00C32AE3">
            <w:pPr>
              <w:spacing w:line="276" w:lineRule="auto"/>
              <w:jc w:val="center"/>
              <w:rPr>
                <w:rFonts w:cs="Times New Roman"/>
              </w:rPr>
            </w:pPr>
          </w:p>
        </w:tc>
        <w:tc>
          <w:tcPr>
            <w:tcW w:w="630" w:type="dxa"/>
          </w:tcPr>
          <w:p w14:paraId="4EEBAE83" w14:textId="77777777" w:rsidR="004B517B" w:rsidRPr="004B517B" w:rsidRDefault="004B517B" w:rsidP="00C32AE3">
            <w:pPr>
              <w:suppressAutoHyphens/>
              <w:spacing w:line="276" w:lineRule="auto"/>
              <w:jc w:val="center"/>
              <w:rPr>
                <w:rFonts w:cs="Times New Roman"/>
              </w:rPr>
            </w:pPr>
            <w:r w:rsidRPr="004B517B">
              <w:rPr>
                <w:rFonts w:cs="Times New Roman"/>
              </w:rPr>
              <w:t>C</w:t>
            </w:r>
          </w:p>
        </w:tc>
      </w:tr>
      <w:tr w:rsidR="004B517B" w:rsidRPr="004B517B" w14:paraId="3C7A7B76" w14:textId="77777777" w:rsidTr="00C32AE3">
        <w:trPr>
          <w:cantSplit/>
          <w:jc w:val="center"/>
        </w:trPr>
        <w:tc>
          <w:tcPr>
            <w:tcW w:w="1280" w:type="dxa"/>
          </w:tcPr>
          <w:p w14:paraId="0FD32477" w14:textId="3041C627" w:rsidR="004B517B" w:rsidRPr="004B517B" w:rsidRDefault="009A6990" w:rsidP="00C32AE3">
            <w:pPr>
              <w:suppressAutoHyphens/>
              <w:spacing w:line="276" w:lineRule="auto"/>
              <w:jc w:val="center"/>
              <w:rPr>
                <w:rFonts w:cs="Times New Roman"/>
              </w:rPr>
            </w:pPr>
            <w:r>
              <w:rPr>
                <w:rFonts w:cs="Times New Roman"/>
              </w:rPr>
              <w:t>55</w:t>
            </w:r>
          </w:p>
        </w:tc>
        <w:tc>
          <w:tcPr>
            <w:tcW w:w="360" w:type="dxa"/>
          </w:tcPr>
          <w:p w14:paraId="322AA28D" w14:textId="77777777" w:rsidR="004B517B" w:rsidRPr="004B517B" w:rsidRDefault="004B517B" w:rsidP="00C32AE3">
            <w:pPr>
              <w:spacing w:line="276" w:lineRule="auto"/>
              <w:jc w:val="center"/>
              <w:rPr>
                <w:rFonts w:cs="Times New Roman"/>
              </w:rPr>
            </w:pPr>
          </w:p>
        </w:tc>
        <w:tc>
          <w:tcPr>
            <w:tcW w:w="630" w:type="dxa"/>
          </w:tcPr>
          <w:p w14:paraId="28AAD357" w14:textId="77777777" w:rsidR="004B517B" w:rsidRPr="004B517B" w:rsidRDefault="004B517B" w:rsidP="00C32AE3">
            <w:pPr>
              <w:suppressAutoHyphens/>
              <w:spacing w:line="276" w:lineRule="auto"/>
              <w:jc w:val="center"/>
              <w:rPr>
                <w:rFonts w:cs="Times New Roman"/>
              </w:rPr>
            </w:pPr>
            <w:r w:rsidRPr="004B517B">
              <w:rPr>
                <w:rFonts w:cs="Times New Roman"/>
              </w:rPr>
              <w:t>C-</w:t>
            </w:r>
          </w:p>
        </w:tc>
      </w:tr>
      <w:tr w:rsidR="004B517B" w:rsidRPr="004B517B" w14:paraId="57AAF1F8" w14:textId="77777777" w:rsidTr="00C32AE3">
        <w:trPr>
          <w:cantSplit/>
          <w:jc w:val="center"/>
        </w:trPr>
        <w:tc>
          <w:tcPr>
            <w:tcW w:w="1280" w:type="dxa"/>
          </w:tcPr>
          <w:p w14:paraId="41DF22F4" w14:textId="609286E0" w:rsidR="004B517B" w:rsidRPr="004B517B" w:rsidRDefault="009A6990" w:rsidP="00C32AE3">
            <w:pPr>
              <w:suppressAutoHyphens/>
              <w:spacing w:line="276" w:lineRule="auto"/>
              <w:jc w:val="center"/>
              <w:rPr>
                <w:rFonts w:cs="Times New Roman"/>
              </w:rPr>
            </w:pPr>
            <w:r>
              <w:rPr>
                <w:rFonts w:cs="Times New Roman"/>
              </w:rPr>
              <w:t>50</w:t>
            </w:r>
          </w:p>
        </w:tc>
        <w:tc>
          <w:tcPr>
            <w:tcW w:w="360" w:type="dxa"/>
          </w:tcPr>
          <w:p w14:paraId="284CB040" w14:textId="77777777" w:rsidR="004B517B" w:rsidRPr="004B517B" w:rsidRDefault="004B517B" w:rsidP="00C32AE3">
            <w:pPr>
              <w:spacing w:line="276" w:lineRule="auto"/>
              <w:jc w:val="center"/>
              <w:rPr>
                <w:rFonts w:cs="Times New Roman"/>
              </w:rPr>
            </w:pPr>
          </w:p>
        </w:tc>
        <w:tc>
          <w:tcPr>
            <w:tcW w:w="630" w:type="dxa"/>
          </w:tcPr>
          <w:p w14:paraId="21125747" w14:textId="77777777" w:rsidR="004B517B" w:rsidRPr="004B517B" w:rsidRDefault="004B517B" w:rsidP="00C32AE3">
            <w:pPr>
              <w:suppressAutoHyphens/>
              <w:spacing w:line="276" w:lineRule="auto"/>
              <w:jc w:val="center"/>
              <w:rPr>
                <w:rFonts w:cs="Times New Roman"/>
              </w:rPr>
            </w:pPr>
            <w:r w:rsidRPr="004B517B">
              <w:rPr>
                <w:rFonts w:cs="Times New Roman"/>
              </w:rPr>
              <w:t>D</w:t>
            </w:r>
          </w:p>
        </w:tc>
      </w:tr>
      <w:tr w:rsidR="004B517B" w:rsidRPr="004B517B" w14:paraId="42FA7E8E" w14:textId="77777777" w:rsidTr="00C32AE3">
        <w:trPr>
          <w:cantSplit/>
          <w:jc w:val="center"/>
        </w:trPr>
        <w:tc>
          <w:tcPr>
            <w:tcW w:w="1280" w:type="dxa"/>
            <w:tcBorders>
              <w:bottom w:val="single" w:sz="4" w:space="0" w:color="auto"/>
            </w:tcBorders>
          </w:tcPr>
          <w:p w14:paraId="54119341" w14:textId="45A817BF" w:rsidR="004B517B" w:rsidRPr="004B517B" w:rsidRDefault="00FB691C" w:rsidP="00C32AE3">
            <w:pPr>
              <w:suppressAutoHyphens/>
              <w:spacing w:line="276" w:lineRule="auto"/>
              <w:jc w:val="center"/>
              <w:rPr>
                <w:rFonts w:cs="Times New Roman"/>
              </w:rPr>
            </w:pPr>
            <w:r>
              <w:rPr>
                <w:rFonts w:cs="Times New Roman"/>
              </w:rPr>
              <w:t>&lt;50</w:t>
            </w:r>
          </w:p>
        </w:tc>
        <w:tc>
          <w:tcPr>
            <w:tcW w:w="360" w:type="dxa"/>
            <w:tcBorders>
              <w:bottom w:val="single" w:sz="4" w:space="0" w:color="auto"/>
            </w:tcBorders>
          </w:tcPr>
          <w:p w14:paraId="414B0E7D" w14:textId="77777777" w:rsidR="004B517B" w:rsidRPr="004B517B" w:rsidRDefault="004B517B" w:rsidP="00C32AE3">
            <w:pPr>
              <w:suppressAutoHyphens/>
              <w:spacing w:line="276" w:lineRule="auto"/>
              <w:jc w:val="center"/>
              <w:rPr>
                <w:rFonts w:cs="Times New Roman"/>
              </w:rPr>
            </w:pPr>
          </w:p>
        </w:tc>
        <w:tc>
          <w:tcPr>
            <w:tcW w:w="630" w:type="dxa"/>
            <w:tcBorders>
              <w:bottom w:val="single" w:sz="4" w:space="0" w:color="auto"/>
            </w:tcBorders>
          </w:tcPr>
          <w:p w14:paraId="77779E22" w14:textId="77777777" w:rsidR="004B517B" w:rsidRPr="004B517B" w:rsidRDefault="004B517B" w:rsidP="00C32AE3">
            <w:pPr>
              <w:suppressAutoHyphens/>
              <w:spacing w:line="276" w:lineRule="auto"/>
              <w:jc w:val="center"/>
              <w:rPr>
                <w:rFonts w:cs="Times New Roman"/>
              </w:rPr>
            </w:pPr>
            <w:r w:rsidRPr="004B517B">
              <w:rPr>
                <w:rFonts w:cs="Times New Roman"/>
              </w:rPr>
              <w:t>F</w:t>
            </w:r>
          </w:p>
        </w:tc>
      </w:tr>
    </w:tbl>
    <w:p w14:paraId="1ED5DF56" w14:textId="77777777" w:rsidR="004B517B" w:rsidRPr="004B517B" w:rsidRDefault="004B517B" w:rsidP="004B517B">
      <w:pPr>
        <w:spacing w:line="276" w:lineRule="auto"/>
        <w:jc w:val="both"/>
        <w:rPr>
          <w:rFonts w:cs="Times New Roman"/>
        </w:rPr>
      </w:pPr>
    </w:p>
    <w:p w14:paraId="0DE5A03D" w14:textId="77777777" w:rsidR="004B517B" w:rsidRPr="004B517B" w:rsidRDefault="004B517B" w:rsidP="004B517B">
      <w:pPr>
        <w:tabs>
          <w:tab w:val="left" w:pos="540"/>
        </w:tabs>
        <w:spacing w:line="276" w:lineRule="auto"/>
        <w:ind w:left="540"/>
        <w:rPr>
          <w:rFonts w:cs="Times New Roman"/>
        </w:rPr>
      </w:pPr>
      <w:r w:rsidRPr="004B517B">
        <w:rPr>
          <w:rFonts w:cs="Times New Roman"/>
        </w:rPr>
        <w:t xml:space="preserve">The grades of the class will be curved up if needed. </w:t>
      </w:r>
    </w:p>
    <w:p w14:paraId="4F2AC850" w14:textId="71310312" w:rsidR="008F1801" w:rsidRDefault="008F1801" w:rsidP="008F1801"/>
    <w:p w14:paraId="033FE7CB" w14:textId="3403CE61" w:rsidR="008F1801" w:rsidRPr="001A47EC" w:rsidRDefault="008F1801" w:rsidP="008F1801">
      <w:pPr>
        <w:pStyle w:val="Heading3"/>
      </w:pPr>
      <w:r w:rsidRPr="001A47EC">
        <w:lastRenderedPageBreak/>
        <w:t>Make-up Exams and Assignments</w:t>
      </w:r>
    </w:p>
    <w:p w14:paraId="6F2F31ED" w14:textId="77777777" w:rsidR="001A47EC" w:rsidRDefault="001A47EC" w:rsidP="001A47EC">
      <w:pPr>
        <w:rPr>
          <w:b/>
          <w:bCs/>
        </w:rPr>
      </w:pPr>
    </w:p>
    <w:p w14:paraId="1D661DAE" w14:textId="7FBF766D" w:rsidR="001A47EC" w:rsidRPr="001A47EC" w:rsidRDefault="001A47EC" w:rsidP="001A47EC">
      <w:pPr>
        <w:rPr>
          <w:b/>
          <w:bCs/>
        </w:rPr>
      </w:pPr>
      <w:r w:rsidRPr="001A47EC">
        <w:rPr>
          <w:b/>
          <w:bCs/>
        </w:rPr>
        <w:t>No late assignments will be collected unless approved by the instructor with excuses.</w:t>
      </w:r>
    </w:p>
    <w:p w14:paraId="718D621E" w14:textId="77777777" w:rsidR="001A47EC" w:rsidRDefault="001A47EC" w:rsidP="001A47EC"/>
    <w:p w14:paraId="57FA04CB" w14:textId="77777777" w:rsidR="001A47EC" w:rsidRDefault="001A47EC" w:rsidP="001A47EC">
      <w:r>
        <w:t>Per university policy, students are allowed to turn in make-up work (or an equivalent, alternate assignment) for university-sponsored events, religious observances, or legal obligations (such as jury duty). In these instances, students are excused from class without penalty.</w:t>
      </w:r>
    </w:p>
    <w:p w14:paraId="2D96CF2A" w14:textId="77777777" w:rsidR="001A47EC" w:rsidRDefault="001A47EC" w:rsidP="001A47EC"/>
    <w:p w14:paraId="21878413" w14:textId="5C512228" w:rsidR="008F1801" w:rsidRDefault="001A47EC" w:rsidP="001A47EC">
      <w:r>
        <w:t>Per Undergraduate Catalog, “Reasons for acceptable absences may include illness, serious family emergencies, special curricular requirements (e.g., judging trips, field trips, professional conferences), military obligations, severe weather conditions, and religious holidays.”</w:t>
      </w:r>
    </w:p>
    <w:p w14:paraId="2F9845EE" w14:textId="77777777" w:rsidR="001A47EC" w:rsidRDefault="001A47EC" w:rsidP="001A47EC"/>
    <w:p w14:paraId="66E29EF2" w14:textId="77777777" w:rsidR="008F1801" w:rsidRDefault="008F1801" w:rsidP="008F1801">
      <w:pPr>
        <w:pStyle w:val="Heading3"/>
      </w:pPr>
      <w:r>
        <w:t>Attendance/Participation</w:t>
      </w:r>
    </w:p>
    <w:p w14:paraId="6B7D2017" w14:textId="752EB338" w:rsidR="00160C93" w:rsidRDefault="00972D5C" w:rsidP="00160C93">
      <w:r w:rsidRPr="00972D5C">
        <w:t xml:space="preserve">Class attendance is not mandatory but highly recommended for students who </w:t>
      </w:r>
      <w:r>
        <w:t>are in</w:t>
      </w:r>
      <w:r w:rsidRPr="00972D5C">
        <w:t xml:space="preserve"> in-person session.</w:t>
      </w:r>
    </w:p>
    <w:p w14:paraId="7972080E" w14:textId="77777777" w:rsidR="00972D5C" w:rsidRDefault="00972D5C" w:rsidP="00160C93"/>
    <w:p w14:paraId="7DA128FA" w14:textId="4F32D0B2" w:rsidR="00160C93" w:rsidRDefault="00160C93" w:rsidP="00160C93">
      <w:pPr>
        <w:pStyle w:val="Heading3"/>
      </w:pPr>
      <w:r>
        <w:t>Extra Credit</w:t>
      </w:r>
    </w:p>
    <w:p w14:paraId="6D6B79F6" w14:textId="5B7D6B0A" w:rsidR="00160C93" w:rsidRDefault="009D7359" w:rsidP="00160C93">
      <w:r w:rsidRPr="009D7359">
        <w:t>Sometimes the instructor gives extra credits for attending webinars announced by the instructor</w:t>
      </w:r>
      <w:r w:rsidR="00160C93">
        <w:t>.</w:t>
      </w:r>
    </w:p>
    <w:p w14:paraId="473FF39B" w14:textId="77777777" w:rsidR="00160C93" w:rsidRDefault="00160C93" w:rsidP="00160C93"/>
    <w:p w14:paraId="292840FD" w14:textId="77777777" w:rsidR="00160C93" w:rsidRDefault="00160C93" w:rsidP="00160C93">
      <w:pPr>
        <w:pStyle w:val="Heading3"/>
      </w:pPr>
      <w:r>
        <w:t>Grade Dissemination</w:t>
      </w:r>
    </w:p>
    <w:p w14:paraId="004FB045" w14:textId="7F494BE9" w:rsidR="008F1801" w:rsidRDefault="00AA5EF1" w:rsidP="00160C93">
      <w:r w:rsidRPr="00AA5EF1">
        <w:t>Assignments are graded in webcourses. You can access your scores at any time using the Grade Book function of Webcourses. Please note that scores returned mid-semester are unofficial grades</w:t>
      </w:r>
      <w:r w:rsidR="00160C93">
        <w:t>.</w:t>
      </w:r>
    </w:p>
    <w:p w14:paraId="51F808A7" w14:textId="77777777" w:rsidR="002F3830" w:rsidRPr="002F3830" w:rsidRDefault="002F3830" w:rsidP="002F3830"/>
    <w:p w14:paraId="56F22A8B" w14:textId="66476BB6" w:rsidR="00E548B7" w:rsidRPr="00596354" w:rsidRDefault="00C1540F" w:rsidP="00E548B7">
      <w:pPr>
        <w:pStyle w:val="Heading2"/>
      </w:pPr>
      <w:r w:rsidRPr="00596354">
        <w:t>Course Materials and Resources</w:t>
      </w:r>
    </w:p>
    <w:p w14:paraId="55130DA6" w14:textId="6FFDE1B0" w:rsidR="002D589F" w:rsidRDefault="00AE0A73" w:rsidP="00E548B7">
      <w:r>
        <w:t xml:space="preserve">Required: </w:t>
      </w:r>
      <w:r w:rsidRPr="00AE0A73">
        <w:t>C. Balanis, “Antenna Theory: Analysis and Design,” Wiley, any edition</w:t>
      </w:r>
    </w:p>
    <w:p w14:paraId="78ED199B" w14:textId="7DAA5E52" w:rsidR="00AE0A73" w:rsidRDefault="00AE0A73" w:rsidP="00E548B7">
      <w:r>
        <w:t xml:space="preserve">Optional: </w:t>
      </w:r>
      <w:r w:rsidR="00596354" w:rsidRPr="00596354">
        <w:t>Robert S. Elliot, “Antenna Theory and Design”, Wiley, 2003</w:t>
      </w:r>
    </w:p>
    <w:p w14:paraId="7C2FCA29" w14:textId="77777777" w:rsidR="00AE0A73" w:rsidRDefault="00AE0A73" w:rsidP="00E548B7"/>
    <w:p w14:paraId="24C27825" w14:textId="350DC97D" w:rsidR="002D589F" w:rsidRDefault="002D589F" w:rsidP="002D589F">
      <w:pPr>
        <w:pStyle w:val="Heading2"/>
      </w:pPr>
      <w:r>
        <w:t>Policy Statements</w:t>
      </w:r>
    </w:p>
    <w:p w14:paraId="221E44F4" w14:textId="071C6751" w:rsidR="005353F3" w:rsidRPr="005353F3" w:rsidRDefault="005353F3" w:rsidP="005353F3"/>
    <w:p w14:paraId="51490025" w14:textId="77777777" w:rsidR="00687D72" w:rsidRPr="00687D72" w:rsidRDefault="00687D72" w:rsidP="00687D72">
      <w:pPr>
        <w:pStyle w:val="Heading3"/>
      </w:pPr>
      <w:r w:rsidRPr="00687D72">
        <w:t>Academic Integrity</w:t>
      </w:r>
    </w:p>
    <w:p w14:paraId="5112C8EC" w14:textId="77777777" w:rsidR="00D17ACB" w:rsidRPr="00EB1D0F" w:rsidRDefault="00D17ACB" w:rsidP="00EB1D0F">
      <w:pPr>
        <w:pStyle w:val="NormalWeb"/>
        <w:spacing w:before="0" w:beforeAutospacing="0" w:after="0" w:afterAutospacing="0"/>
        <w:rPr>
          <w:sz w:val="22"/>
          <w:szCs w:val="22"/>
        </w:rPr>
      </w:pPr>
      <w:r w:rsidRPr="00EB1D0F">
        <w:rPr>
          <w:sz w:val="22"/>
          <w:szCs w:val="22"/>
        </w:rPr>
        <w:t>Students should familiarize themselves with UCF’s Rules of Conduct at &lt;</w:t>
      </w:r>
      <w:hyperlink r:id="rId9" w:history="1">
        <w:r w:rsidRPr="00EB1D0F">
          <w:rPr>
            <w:rStyle w:val="Hyperlink"/>
            <w:sz w:val="22"/>
            <w:szCs w:val="22"/>
          </w:rPr>
          <w:t>https://scai.sdes.ucf.edu/student-rules-of-conduct/</w:t>
        </w:r>
      </w:hyperlink>
      <w:r w:rsidRPr="00EB1D0F">
        <w:rPr>
          <w:sz w:val="22"/>
          <w:szCs w:val="22"/>
        </w:rPr>
        <w:t>&gt;. According to Section 1, “Academic Misconduct,” students are prohibited from engaging in</w:t>
      </w:r>
    </w:p>
    <w:p w14:paraId="58B2E0B2" w14:textId="77777777" w:rsidR="00D17ACB" w:rsidRPr="00EB1D0F" w:rsidRDefault="00D17ACB" w:rsidP="00EB1D0F">
      <w:pPr>
        <w:numPr>
          <w:ilvl w:val="0"/>
          <w:numId w:val="22"/>
        </w:numPr>
        <w:spacing w:after="100" w:afterAutospacing="1"/>
        <w:contextualSpacing w:val="0"/>
      </w:pPr>
      <w:r w:rsidRPr="00EB1D0F">
        <w:t>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14:paraId="6162FA22" w14:textId="77777777" w:rsidR="00D17ACB" w:rsidRPr="00EB1D0F" w:rsidRDefault="00D17ACB" w:rsidP="00D17ACB">
      <w:pPr>
        <w:numPr>
          <w:ilvl w:val="0"/>
          <w:numId w:val="22"/>
        </w:numPr>
        <w:spacing w:before="100" w:beforeAutospacing="1" w:after="100" w:afterAutospacing="1"/>
        <w:contextualSpacing w:val="0"/>
      </w:pPr>
      <w:r w:rsidRPr="00EB1D0F">
        <w:t>Communication to another through written, visual, electronic, or oral means: The presentation of material which has not been studied or learned, but rather was obtained through someone else’s efforts and used as part of an examination, course assignment, or project.</w:t>
      </w:r>
    </w:p>
    <w:p w14:paraId="2D22D2A7" w14:textId="77777777" w:rsidR="00D17ACB" w:rsidRPr="00EB1D0F" w:rsidRDefault="00D17ACB" w:rsidP="00D17ACB">
      <w:pPr>
        <w:numPr>
          <w:ilvl w:val="0"/>
          <w:numId w:val="22"/>
        </w:numPr>
        <w:spacing w:before="100" w:beforeAutospacing="1" w:after="100" w:afterAutospacing="1"/>
        <w:contextualSpacing w:val="0"/>
      </w:pPr>
      <w:r w:rsidRPr="00EB1D0F">
        <w:t>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14:paraId="2BF82484" w14:textId="77777777" w:rsidR="00D17ACB" w:rsidRPr="00EB1D0F" w:rsidRDefault="00D17ACB" w:rsidP="00D17ACB">
      <w:pPr>
        <w:numPr>
          <w:ilvl w:val="0"/>
          <w:numId w:val="22"/>
        </w:numPr>
        <w:spacing w:before="100" w:beforeAutospacing="1" w:after="100" w:afterAutospacing="1"/>
        <w:contextualSpacing w:val="0"/>
      </w:pPr>
      <w:r w:rsidRPr="00EB1D0F">
        <w:t>Falsifying or misrepresenting the student’s own academic work.</w:t>
      </w:r>
    </w:p>
    <w:p w14:paraId="699D993E" w14:textId="77777777" w:rsidR="00D17ACB" w:rsidRPr="00EB1D0F" w:rsidRDefault="00D17ACB" w:rsidP="00D17ACB">
      <w:pPr>
        <w:numPr>
          <w:ilvl w:val="0"/>
          <w:numId w:val="22"/>
        </w:numPr>
        <w:spacing w:before="100" w:beforeAutospacing="1" w:after="100" w:afterAutospacing="1"/>
        <w:contextualSpacing w:val="0"/>
      </w:pPr>
      <w:r w:rsidRPr="00EB1D0F">
        <w:t>Plagiarism: Using or appropriating another’s work without any indication of the source, thereby attempting to convey the impression that such work is the student’s own.</w:t>
      </w:r>
    </w:p>
    <w:p w14:paraId="5E0CCFB1" w14:textId="77777777" w:rsidR="00D17ACB" w:rsidRPr="00EB1D0F" w:rsidRDefault="00D17ACB" w:rsidP="00D17ACB">
      <w:pPr>
        <w:numPr>
          <w:ilvl w:val="0"/>
          <w:numId w:val="22"/>
        </w:numPr>
        <w:spacing w:before="100" w:beforeAutospacing="1" w:after="100" w:afterAutospacing="1"/>
        <w:contextualSpacing w:val="0"/>
      </w:pPr>
      <w:r w:rsidRPr="00EB1D0F">
        <w:t>Multiple Submissions: Submitting the same academic work for credit more than once without the express written permission of the instructor.</w:t>
      </w:r>
    </w:p>
    <w:p w14:paraId="2C888FEB" w14:textId="77777777" w:rsidR="00D17ACB" w:rsidRPr="00EB1D0F" w:rsidRDefault="00D17ACB" w:rsidP="00D17ACB">
      <w:pPr>
        <w:numPr>
          <w:ilvl w:val="0"/>
          <w:numId w:val="22"/>
        </w:numPr>
        <w:spacing w:before="100" w:beforeAutospacing="1" w:after="100" w:afterAutospacing="1"/>
        <w:contextualSpacing w:val="0"/>
      </w:pPr>
      <w:r w:rsidRPr="00EB1D0F">
        <w:t>Helping another violate academic behavior standards.</w:t>
      </w:r>
    </w:p>
    <w:p w14:paraId="0E060350" w14:textId="77777777" w:rsidR="00D17ACB" w:rsidRPr="00EB1D0F" w:rsidRDefault="00D17ACB" w:rsidP="00D17ACB">
      <w:pPr>
        <w:numPr>
          <w:ilvl w:val="0"/>
          <w:numId w:val="22"/>
        </w:numPr>
        <w:spacing w:before="100" w:beforeAutospacing="1" w:after="100" w:afterAutospacing="1"/>
        <w:contextualSpacing w:val="0"/>
      </w:pPr>
      <w:r w:rsidRPr="00EB1D0F">
        <w:t>Soliciting assistance with academic coursework and/or degree requirements.</w:t>
      </w:r>
    </w:p>
    <w:p w14:paraId="7AE01FE8" w14:textId="77777777" w:rsidR="00571713" w:rsidRDefault="00D17ACB" w:rsidP="00D17ACB">
      <w:pPr>
        <w:pStyle w:val="Heading4"/>
        <w:rPr>
          <w:rStyle w:val="Strong"/>
          <w:b w:val="0"/>
          <w:bCs w:val="0"/>
        </w:rPr>
      </w:pPr>
      <w:r w:rsidRPr="00D17ACB">
        <w:rPr>
          <w:rStyle w:val="Strong"/>
          <w:b w:val="0"/>
          <w:bCs w:val="0"/>
        </w:rPr>
        <w:lastRenderedPageBreak/>
        <w:t>Responses to Academic Dishonesty, Plagiarism, or Cheating</w:t>
      </w:r>
    </w:p>
    <w:p w14:paraId="17B9DED8" w14:textId="0335108E" w:rsidR="00D17ACB" w:rsidRDefault="00D17ACB" w:rsidP="00571713">
      <w:r>
        <w:t xml:space="preserve">Students should also familiarize themselves with the procedures for academic misconduct in UCF’s student handbook, </w:t>
      </w:r>
      <w:r>
        <w:rPr>
          <w:rStyle w:val="Emphasis"/>
        </w:rPr>
        <w:t>The Golden Rule</w:t>
      </w:r>
      <w:r>
        <w:t xml:space="preserve"> &lt;</w:t>
      </w:r>
      <w:hyperlink r:id="rId10" w:history="1">
        <w:r>
          <w:rPr>
            <w:rStyle w:val="Hyperlink"/>
          </w:rPr>
          <w:t>https://goldenrule.sdes.ucf.edu/</w:t>
        </w:r>
      </w:hyperlink>
      <w:r>
        <w:t>&gt;.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 “F” 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 “Z” designation on one’s transcript.</w:t>
      </w:r>
    </w:p>
    <w:p w14:paraId="50A6C295" w14:textId="77777777" w:rsidR="00D17ACB" w:rsidRPr="00571713" w:rsidRDefault="00D17ACB" w:rsidP="00D17ACB">
      <w:pPr>
        <w:pStyle w:val="NormalWeb"/>
        <w:rPr>
          <w:sz w:val="22"/>
          <w:szCs w:val="22"/>
        </w:rPr>
      </w:pPr>
      <w:r w:rsidRPr="00571713">
        <w:rPr>
          <w:sz w:val="22"/>
          <w:szCs w:val="22"/>
        </w:rPr>
        <w:t>Being found in violation of academic conduct standards could result in a student having to disclose such behavior on a graduate school application, being removed from a leadership position within a student organization, the recipient of scholarships, participation in University activities such as study abroad, internships, etc.</w:t>
      </w:r>
    </w:p>
    <w:p w14:paraId="2883BE39" w14:textId="77777777" w:rsidR="00D17ACB" w:rsidRPr="00571713" w:rsidRDefault="00D17ACB" w:rsidP="00D17ACB">
      <w:pPr>
        <w:pStyle w:val="NormalWeb"/>
        <w:rPr>
          <w:sz w:val="22"/>
          <w:szCs w:val="22"/>
        </w:rPr>
      </w:pPr>
      <w:r w:rsidRPr="00571713">
        <w:rPr>
          <w:sz w:val="22"/>
          <w:szCs w:val="22"/>
        </w:rPr>
        <w:t>Let’s avoid all of this by demonstrating values of honesty, trust, and integrity. No grade is worth compromising your integrity and moving your moral compass. Stay true to doing the right thing: take the zero, not a shortcut.</w:t>
      </w:r>
    </w:p>
    <w:p w14:paraId="1EC42FD0" w14:textId="25E1E296" w:rsidR="00687D72" w:rsidRPr="00687D72" w:rsidRDefault="00687D72" w:rsidP="00687D72">
      <w:pPr>
        <w:pStyle w:val="Heading4"/>
      </w:pPr>
      <w:r w:rsidRPr="00687D72">
        <w:t xml:space="preserve">Unauthorized Use of </w:t>
      </w:r>
      <w:r w:rsidR="003B349D">
        <w:t>Websites and Internet Resources</w:t>
      </w:r>
    </w:p>
    <w:p w14:paraId="676B0106" w14:textId="0F062766" w:rsidR="00687D72" w:rsidRPr="00687D72" w:rsidRDefault="003B349D" w:rsidP="00EB1D0F">
      <w:pPr>
        <w:spacing w:after="100" w:afterAutospacing="1"/>
      </w:pPr>
      <w:r>
        <w:t>There are many websites claiming to offer study aids to students, but in using such websites, students could find themselves in violation of academic conduct guidelines. These websites include (but are not limited to) Quizlet, Course Hero, Chegg Study, and Clutch Prep. UCF does not endorse the use of these products in an unethical manner, which could lead to a violation of our University’s Rules of Conduct. They encourage students to upload course materials, such as test questions, individual assignments, and examples of graded material. Such materials are the intellectual property of instructors, the university, or publishers and may not be distributed without prior authorization. Students who engage in such activity could be found in violation of academic conduct standards and could face course and/or University penalties. Please let me know if you are uncertain about the use of a website so I can determine its legitimacy.</w:t>
      </w:r>
    </w:p>
    <w:p w14:paraId="6BF6B2DB" w14:textId="0349DBC1" w:rsidR="00687D72" w:rsidRPr="00687D72" w:rsidRDefault="00687D72" w:rsidP="00687D72">
      <w:pPr>
        <w:pStyle w:val="Heading4"/>
      </w:pPr>
      <w:bookmarkStart w:id="0" w:name="unauthorizednotes"/>
      <w:bookmarkEnd w:id="0"/>
      <w:r w:rsidRPr="00687D72">
        <w:t xml:space="preserve">Unauthorized </w:t>
      </w:r>
      <w:r w:rsidR="00670CFF">
        <w:t>Distribution</w:t>
      </w:r>
      <w:r w:rsidRPr="00687D72">
        <w:t xml:space="preserve"> of Class Notes</w:t>
      </w:r>
    </w:p>
    <w:p w14:paraId="2210697F" w14:textId="77777777" w:rsidR="00670CFF" w:rsidRPr="00670CFF" w:rsidRDefault="00670CFF" w:rsidP="00670CFF">
      <w:bookmarkStart w:id="1" w:name="recording"/>
      <w:r w:rsidRPr="00670CFF">
        <w:t>Third parties may attempt to connect with you to sell your notes and other course information from this class. Distributing course materials to a third party without my authorization is a violation of our University’s Rules of Conduct. Please be aware that such class materials that may have already been given to such third parties may contain errors, which could affect your performance or grade. Recommendations for success in this course include coming to class on a routine basis, visiting me during my office hours, connecting with the Teaching Assistant (TA), and making use of the Student Academic Resource Center (SARC), the University Writing Center (UWC), the Math Lab, etc. If a third party should contact you regarding such an offer, I would appreciate your bringing this to my attention. We all play a part in creating a course climate of integrity.</w:t>
      </w:r>
    </w:p>
    <w:p w14:paraId="41CDA5A0" w14:textId="77777777" w:rsidR="00687D72" w:rsidRPr="00687D72" w:rsidRDefault="00687D72" w:rsidP="00687D72">
      <w:pPr>
        <w:rPr>
          <w:b/>
          <w:bCs/>
        </w:rPr>
      </w:pPr>
    </w:p>
    <w:p w14:paraId="0957CA10" w14:textId="30E26198" w:rsidR="00687D72" w:rsidRPr="00687D72" w:rsidRDefault="00687D72" w:rsidP="003F1C6A">
      <w:pPr>
        <w:pStyle w:val="Heading3"/>
      </w:pPr>
      <w:r w:rsidRPr="00687D72">
        <w:t>In-Class Recording</w:t>
      </w:r>
      <w:bookmarkEnd w:id="1"/>
    </w:p>
    <w:p w14:paraId="07EF809D" w14:textId="4FCE52F1" w:rsidR="00687D72" w:rsidRPr="00687D72" w:rsidRDefault="00FF0327" w:rsidP="00687D72">
      <w:r w:rsidRPr="00FF0327">
        <w:t xml:space="preserve">Students may, without prior notice, record video or audio of a class lecture for a class in which the student is enrolled for their own personal educational use. A class lecture is defined as a formal or methodical oral presentation as part of a university course intended to present information or teach enrolled students about a particular subject. Recording class activities other than class lectures, including but not limited to lab sessions, student presentations (whether individually or part of a group), class discussion (except when incidental to and incorporated within a class lecture), clinical presentations such as patient history, academic exercises involving student participation, test or examination administrations, field trips, private </w:t>
      </w:r>
      <w:r w:rsidRPr="00FF0327">
        <w:lastRenderedPageBreak/>
        <w:t>conversations between students in the class or between a student and the faculty member, and invited guest speakers is prohibited. Recordings may not be used as a substitute for class participation and class attendance, and may not be published or shared without the written consent of the faculty member. Failure to adhere to these requirements may constitute a violation of the University’s Student Code of Conduct as described in the Golden Rule.</w:t>
      </w:r>
    </w:p>
    <w:p w14:paraId="0A25AE60" w14:textId="77777777" w:rsidR="00687D72" w:rsidRPr="00687D72" w:rsidRDefault="00687D72" w:rsidP="00687D72">
      <w:pPr>
        <w:rPr>
          <w:b/>
        </w:rPr>
      </w:pPr>
    </w:p>
    <w:p w14:paraId="629F5A36" w14:textId="77777777" w:rsidR="00687D72" w:rsidRPr="00687D72" w:rsidRDefault="00687D72" w:rsidP="00687D72">
      <w:pPr>
        <w:pStyle w:val="Heading3"/>
      </w:pPr>
      <w:r w:rsidRPr="00687D72">
        <w:t xml:space="preserve">Course Accessibility Statement </w:t>
      </w:r>
    </w:p>
    <w:p w14:paraId="1654B272" w14:textId="7A818CF9" w:rsidR="00687D72" w:rsidRPr="00687D72" w:rsidRDefault="00D02459" w:rsidP="00687D72">
      <w:r>
        <w:t>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 Student Accessibility Services (SAS) &lt;</w:t>
      </w:r>
      <w:hyperlink r:id="rId11" w:history="1">
        <w:r>
          <w:rPr>
            <w:rStyle w:val="Hyperlink"/>
          </w:rPr>
          <w:t>http://sas.sdes.ucf.edu/</w:t>
        </w:r>
      </w:hyperlink>
      <w:r>
        <w:t xml:space="preserve">&gt; (Ferrell Commons 185, </w:t>
      </w:r>
      <w:hyperlink r:id="rId12" w:history="1">
        <w:r>
          <w:rPr>
            <w:rStyle w:val="Hyperlink"/>
          </w:rPr>
          <w:t>sas@ucf.edu</w:t>
        </w:r>
      </w:hyperlink>
      <w:r>
        <w:t>,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p w14:paraId="4A4E774F" w14:textId="77777777" w:rsidR="00687D72" w:rsidRPr="00687D72" w:rsidRDefault="00687D72" w:rsidP="00687D72"/>
    <w:p w14:paraId="3F43FEDF" w14:textId="77777777" w:rsidR="00687D72" w:rsidRPr="00687D72" w:rsidRDefault="00687D72" w:rsidP="00687D72">
      <w:pPr>
        <w:pStyle w:val="Heading3"/>
      </w:pPr>
      <w:r w:rsidRPr="00687D72">
        <w:t>Campus Safety Statement</w:t>
      </w:r>
    </w:p>
    <w:p w14:paraId="4D8726BE" w14:textId="77777777" w:rsidR="00153472" w:rsidRDefault="00153472" w:rsidP="002163F9">
      <w:r>
        <w:t>Emergencies on campus are rare, but if one should arise during class, everyone needs to work together. Students should be aware of their surroundings and familiar with some basic safety and security concepts.</w:t>
      </w:r>
    </w:p>
    <w:p w14:paraId="54E624FC" w14:textId="77777777" w:rsidR="00153472" w:rsidRDefault="00153472" w:rsidP="00153472">
      <w:pPr>
        <w:numPr>
          <w:ilvl w:val="0"/>
          <w:numId w:val="21"/>
        </w:numPr>
        <w:spacing w:before="100" w:beforeAutospacing="1" w:after="100" w:afterAutospacing="1"/>
        <w:contextualSpacing w:val="0"/>
      </w:pPr>
      <w:r>
        <w:t>In case of an emergency, dial 911 for assistance.</w:t>
      </w:r>
    </w:p>
    <w:p w14:paraId="1C25A8D9" w14:textId="1487E33D" w:rsidR="00153472" w:rsidRDefault="00153472" w:rsidP="00153472">
      <w:pPr>
        <w:numPr>
          <w:ilvl w:val="0"/>
          <w:numId w:val="21"/>
        </w:numPr>
        <w:spacing w:before="100" w:beforeAutospacing="1" w:after="100" w:afterAutospacing="1"/>
        <w:contextualSpacing w:val="0"/>
      </w:pPr>
      <w:r>
        <w:t>Every UCF classroom contains an emergency procedure guide posted on a wall near the door. Students should make a note of the guide’s physical location and review the online version at &lt;</w:t>
      </w:r>
      <w:hyperlink r:id="rId13" w:history="1">
        <w:r w:rsidR="00B33B4E">
          <w:rPr>
            <w:rStyle w:val="Hyperlink"/>
          </w:rPr>
          <w:t>https://centralflorida-prod.modolabs.net/student/safety/index</w:t>
        </w:r>
      </w:hyperlink>
      <w:r>
        <w:t>&gt;.</w:t>
      </w:r>
    </w:p>
    <w:p w14:paraId="6BCB4361" w14:textId="77777777" w:rsidR="00153472" w:rsidRDefault="00153472" w:rsidP="00153472">
      <w:pPr>
        <w:numPr>
          <w:ilvl w:val="0"/>
          <w:numId w:val="21"/>
        </w:numPr>
        <w:spacing w:before="100" w:beforeAutospacing="1" w:after="100" w:afterAutospacing="1"/>
        <w:contextualSpacing w:val="0"/>
      </w:pPr>
      <w:r>
        <w:t>Students should know the evacuation routes from each of their classrooms and have a plan for finding safety in case of an emergency.</w:t>
      </w:r>
    </w:p>
    <w:p w14:paraId="6FE4C311" w14:textId="77777777" w:rsidR="00153472" w:rsidRDefault="00153472" w:rsidP="00153472">
      <w:pPr>
        <w:numPr>
          <w:ilvl w:val="0"/>
          <w:numId w:val="21"/>
        </w:numPr>
        <w:spacing w:before="100" w:beforeAutospacing="1" w:after="100" w:afterAutospacing="1"/>
        <w:contextualSpacing w:val="0"/>
      </w:pPr>
      <w:r>
        <w:t>If there is a medical emergency during class, students may need to access a first-aid kit or AED (Automated External Defibrillator). To learn where those are located, see &lt;</w:t>
      </w:r>
      <w:hyperlink r:id="rId14" w:history="1">
        <w:r>
          <w:rPr>
            <w:rStyle w:val="Hyperlink"/>
          </w:rPr>
          <w:t>https://ehs.ucf.edu/automated-external-defibrillator-aed-locations</w:t>
        </w:r>
      </w:hyperlink>
      <w:r>
        <w:t>&gt;.</w:t>
      </w:r>
    </w:p>
    <w:p w14:paraId="361C537F" w14:textId="77777777" w:rsidR="00153472" w:rsidRDefault="00153472" w:rsidP="00153472">
      <w:pPr>
        <w:numPr>
          <w:ilvl w:val="0"/>
          <w:numId w:val="21"/>
        </w:numPr>
        <w:spacing w:before="100" w:beforeAutospacing="1" w:after="100" w:afterAutospacing="1"/>
        <w:contextualSpacing w:val="0"/>
      </w:pPr>
      <w:r>
        <w:t>To stay informed about emergency situations, students can sign up to receive UCF text alerts by going to &lt;</w:t>
      </w:r>
      <w:hyperlink r:id="rId15" w:history="1">
        <w:r>
          <w:rPr>
            <w:rStyle w:val="Hyperlink"/>
          </w:rPr>
          <w:t>https://my.ucf.edu</w:t>
        </w:r>
      </w:hyperlink>
      <w:r>
        <w:t>&gt; and logging in. Click on “Student Self Service” located on the left side of the screen in the toolbar, scroll down to the blue “Personal Information” heading on the Student Center screen, click on “UCF Alert”, fill out the information, including e-mail address, cell phone number, and cell phone provider, click “Apply” to save the changes, and then click “OK.”</w:t>
      </w:r>
    </w:p>
    <w:p w14:paraId="77BBED66" w14:textId="77777777" w:rsidR="00153472" w:rsidRDefault="00153472" w:rsidP="00153472">
      <w:pPr>
        <w:numPr>
          <w:ilvl w:val="0"/>
          <w:numId w:val="21"/>
        </w:numPr>
        <w:spacing w:before="100" w:beforeAutospacing="1" w:after="100" w:afterAutospacing="1"/>
        <w:contextualSpacing w:val="0"/>
      </w:pPr>
      <w:r>
        <w:t>Students with special needs related to emergency situations should speak with their instructors outside of class.</w:t>
      </w:r>
    </w:p>
    <w:p w14:paraId="7F8F6015" w14:textId="77777777" w:rsidR="00153472" w:rsidRDefault="00153472" w:rsidP="00153472">
      <w:pPr>
        <w:numPr>
          <w:ilvl w:val="0"/>
          <w:numId w:val="21"/>
        </w:numPr>
        <w:spacing w:before="100" w:beforeAutospacing="1" w:after="100" w:afterAutospacing="1"/>
        <w:contextualSpacing w:val="0"/>
      </w:pPr>
      <w:r>
        <w:t>To learn about how to manage an active-shooter situation on campus or elsewhere, consider viewing this video (&lt;</w:t>
      </w:r>
      <w:hyperlink r:id="rId16" w:history="1">
        <w:r>
          <w:rPr>
            <w:rStyle w:val="Hyperlink"/>
          </w:rPr>
          <w:t>https://youtu.be/NIKYajEx4pk</w:t>
        </w:r>
      </w:hyperlink>
      <w:r>
        <w:t>&gt;).</w:t>
      </w:r>
    </w:p>
    <w:p w14:paraId="1BCA8B48" w14:textId="77777777" w:rsidR="00687D72" w:rsidRPr="00687D72" w:rsidRDefault="00687D72" w:rsidP="00687D72">
      <w:pPr>
        <w:pStyle w:val="Heading3"/>
      </w:pPr>
      <w:r w:rsidRPr="00687D72">
        <w:t>Deployed Active Duty Military Students</w:t>
      </w:r>
    </w:p>
    <w:p w14:paraId="444E1668" w14:textId="77777777" w:rsidR="00687D72" w:rsidRPr="00687D72" w:rsidRDefault="00687D72" w:rsidP="00687D72">
      <w:r w:rsidRPr="00687D72">
        <w:t>If you are a deployed active duty military student and feel that you may need a special accommodation due to that unique status, please contact your instructor to discuss your circumstances.</w:t>
      </w:r>
    </w:p>
    <w:p w14:paraId="49F2862C" w14:textId="00F0FA88" w:rsidR="009C2C4F" w:rsidRPr="009C2C4F" w:rsidRDefault="009C2C4F" w:rsidP="009C2C4F"/>
    <w:sectPr w:rsidR="009C2C4F" w:rsidRPr="009C2C4F" w:rsidSect="00C62F1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0FA7" w14:textId="77777777" w:rsidR="0014170A" w:rsidRDefault="0014170A" w:rsidP="001F4363">
      <w:r>
        <w:separator/>
      </w:r>
    </w:p>
  </w:endnote>
  <w:endnote w:type="continuationSeparator" w:id="0">
    <w:p w14:paraId="0D133BDD" w14:textId="77777777" w:rsidR="0014170A" w:rsidRDefault="0014170A" w:rsidP="001F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4550B" w14:textId="77777777" w:rsidR="0014170A" w:rsidRDefault="0014170A" w:rsidP="001F4363">
      <w:r>
        <w:separator/>
      </w:r>
    </w:p>
  </w:footnote>
  <w:footnote w:type="continuationSeparator" w:id="0">
    <w:p w14:paraId="7D9D2AEE" w14:textId="77777777" w:rsidR="0014170A" w:rsidRDefault="0014170A" w:rsidP="001F4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D29"/>
    <w:multiLevelType w:val="hybridMultilevel"/>
    <w:tmpl w:val="69DCA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A6F51"/>
    <w:multiLevelType w:val="hybridMultilevel"/>
    <w:tmpl w:val="BFB866F6"/>
    <w:lvl w:ilvl="0" w:tplc="437A13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4DA"/>
    <w:multiLevelType w:val="hybridMultilevel"/>
    <w:tmpl w:val="EFAE7528"/>
    <w:lvl w:ilvl="0" w:tplc="437A13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0527E"/>
    <w:multiLevelType w:val="hybridMultilevel"/>
    <w:tmpl w:val="08E0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E1DE2"/>
    <w:multiLevelType w:val="hybridMultilevel"/>
    <w:tmpl w:val="5294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D2215"/>
    <w:multiLevelType w:val="hybridMultilevel"/>
    <w:tmpl w:val="5EB8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57EF7"/>
    <w:multiLevelType w:val="hybridMultilevel"/>
    <w:tmpl w:val="2DCE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37B07"/>
    <w:multiLevelType w:val="hybridMultilevel"/>
    <w:tmpl w:val="2048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27439"/>
    <w:multiLevelType w:val="hybridMultilevel"/>
    <w:tmpl w:val="D3308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363D9C"/>
    <w:multiLevelType w:val="hybridMultilevel"/>
    <w:tmpl w:val="B812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92B46"/>
    <w:multiLevelType w:val="multilevel"/>
    <w:tmpl w:val="C29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961BF"/>
    <w:multiLevelType w:val="hybridMultilevel"/>
    <w:tmpl w:val="68B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23963"/>
    <w:multiLevelType w:val="hybridMultilevel"/>
    <w:tmpl w:val="99502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14B45"/>
    <w:multiLevelType w:val="multilevel"/>
    <w:tmpl w:val="AC26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87352"/>
    <w:multiLevelType w:val="hybridMultilevel"/>
    <w:tmpl w:val="37C4CD7E"/>
    <w:lvl w:ilvl="0" w:tplc="DC40001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D65DF"/>
    <w:multiLevelType w:val="hybridMultilevel"/>
    <w:tmpl w:val="B092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76333"/>
    <w:multiLevelType w:val="hybridMultilevel"/>
    <w:tmpl w:val="B256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72B08"/>
    <w:multiLevelType w:val="hybridMultilevel"/>
    <w:tmpl w:val="3186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FE714C"/>
    <w:multiLevelType w:val="hybridMultilevel"/>
    <w:tmpl w:val="9E48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F3DEC"/>
    <w:multiLevelType w:val="hybridMultilevel"/>
    <w:tmpl w:val="92F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90677"/>
    <w:multiLevelType w:val="multilevel"/>
    <w:tmpl w:val="7D84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4F7760"/>
    <w:multiLevelType w:val="hybridMultilevel"/>
    <w:tmpl w:val="E246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53C8A"/>
    <w:multiLevelType w:val="hybridMultilevel"/>
    <w:tmpl w:val="61CE765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2106725250">
    <w:abstractNumId w:val="19"/>
  </w:num>
  <w:num w:numId="2" w16cid:durableId="327557142">
    <w:abstractNumId w:val="9"/>
  </w:num>
  <w:num w:numId="3" w16cid:durableId="1691761777">
    <w:abstractNumId w:val="7"/>
  </w:num>
  <w:num w:numId="4" w16cid:durableId="1068262665">
    <w:abstractNumId w:val="0"/>
  </w:num>
  <w:num w:numId="5" w16cid:durableId="258566548">
    <w:abstractNumId w:val="6"/>
  </w:num>
  <w:num w:numId="6" w16cid:durableId="483277820">
    <w:abstractNumId w:val="21"/>
  </w:num>
  <w:num w:numId="7" w16cid:durableId="599339811">
    <w:abstractNumId w:val="15"/>
  </w:num>
  <w:num w:numId="8" w16cid:durableId="8874446">
    <w:abstractNumId w:val="4"/>
  </w:num>
  <w:num w:numId="9" w16cid:durableId="1304773926">
    <w:abstractNumId w:val="11"/>
  </w:num>
  <w:num w:numId="10" w16cid:durableId="313027885">
    <w:abstractNumId w:val="16"/>
  </w:num>
  <w:num w:numId="11" w16cid:durableId="1475100242">
    <w:abstractNumId w:val="18"/>
  </w:num>
  <w:num w:numId="12" w16cid:durableId="1256014095">
    <w:abstractNumId w:val="3"/>
  </w:num>
  <w:num w:numId="13" w16cid:durableId="225577569">
    <w:abstractNumId w:val="12"/>
  </w:num>
  <w:num w:numId="14" w16cid:durableId="976227491">
    <w:abstractNumId w:val="14"/>
  </w:num>
  <w:num w:numId="15" w16cid:durableId="358169564">
    <w:abstractNumId w:val="5"/>
  </w:num>
  <w:num w:numId="16" w16cid:durableId="883640064">
    <w:abstractNumId w:val="1"/>
  </w:num>
  <w:num w:numId="17" w16cid:durableId="244340623">
    <w:abstractNumId w:val="2"/>
  </w:num>
  <w:num w:numId="18" w16cid:durableId="1052657651">
    <w:abstractNumId w:val="17"/>
  </w:num>
  <w:num w:numId="19" w16cid:durableId="642009605">
    <w:abstractNumId w:val="20"/>
  </w:num>
  <w:num w:numId="20" w16cid:durableId="1669018567">
    <w:abstractNumId w:val="8"/>
  </w:num>
  <w:num w:numId="21" w16cid:durableId="75594418">
    <w:abstractNumId w:val="10"/>
  </w:num>
  <w:num w:numId="22" w16cid:durableId="1396707655">
    <w:abstractNumId w:val="13"/>
  </w:num>
  <w:num w:numId="23" w16cid:durableId="9932949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47C"/>
    <w:rsid w:val="00003DE0"/>
    <w:rsid w:val="00016180"/>
    <w:rsid w:val="00025503"/>
    <w:rsid w:val="000259D0"/>
    <w:rsid w:val="00031988"/>
    <w:rsid w:val="00036E98"/>
    <w:rsid w:val="00037C4D"/>
    <w:rsid w:val="00037E93"/>
    <w:rsid w:val="00040AB6"/>
    <w:rsid w:val="000A5531"/>
    <w:rsid w:val="000B08B8"/>
    <w:rsid w:val="000E1611"/>
    <w:rsid w:val="000F0A1C"/>
    <w:rsid w:val="00104659"/>
    <w:rsid w:val="00112B6C"/>
    <w:rsid w:val="00126ADB"/>
    <w:rsid w:val="00130950"/>
    <w:rsid w:val="0014170A"/>
    <w:rsid w:val="00141C79"/>
    <w:rsid w:val="00152FEA"/>
    <w:rsid w:val="00153472"/>
    <w:rsid w:val="0015548B"/>
    <w:rsid w:val="00160C93"/>
    <w:rsid w:val="00166629"/>
    <w:rsid w:val="001819B6"/>
    <w:rsid w:val="001A1A3B"/>
    <w:rsid w:val="001A47EC"/>
    <w:rsid w:val="001D1948"/>
    <w:rsid w:val="001D3FDE"/>
    <w:rsid w:val="001E2EBB"/>
    <w:rsid w:val="001E3AD1"/>
    <w:rsid w:val="001F11A2"/>
    <w:rsid w:val="001F4363"/>
    <w:rsid w:val="00201E1D"/>
    <w:rsid w:val="002163F9"/>
    <w:rsid w:val="0021779E"/>
    <w:rsid w:val="00246207"/>
    <w:rsid w:val="00256810"/>
    <w:rsid w:val="002654DC"/>
    <w:rsid w:val="00273BF7"/>
    <w:rsid w:val="00282133"/>
    <w:rsid w:val="002977DF"/>
    <w:rsid w:val="002B11F3"/>
    <w:rsid w:val="002C2C4A"/>
    <w:rsid w:val="002C5A74"/>
    <w:rsid w:val="002D2088"/>
    <w:rsid w:val="002D589F"/>
    <w:rsid w:val="002E1AE3"/>
    <w:rsid w:val="002E4CD6"/>
    <w:rsid w:val="002E7E57"/>
    <w:rsid w:val="002F3830"/>
    <w:rsid w:val="002F43C2"/>
    <w:rsid w:val="0030197D"/>
    <w:rsid w:val="00314930"/>
    <w:rsid w:val="00317B89"/>
    <w:rsid w:val="00320574"/>
    <w:rsid w:val="00325BEC"/>
    <w:rsid w:val="003401C0"/>
    <w:rsid w:val="00343C3B"/>
    <w:rsid w:val="00345A81"/>
    <w:rsid w:val="00355C51"/>
    <w:rsid w:val="00370740"/>
    <w:rsid w:val="00377C5C"/>
    <w:rsid w:val="003A690D"/>
    <w:rsid w:val="003B1BD1"/>
    <w:rsid w:val="003B349D"/>
    <w:rsid w:val="003C1CA5"/>
    <w:rsid w:val="003C2BBE"/>
    <w:rsid w:val="003C5710"/>
    <w:rsid w:val="003D07AC"/>
    <w:rsid w:val="003D4F46"/>
    <w:rsid w:val="003D74CE"/>
    <w:rsid w:val="003E391E"/>
    <w:rsid w:val="003F1C6A"/>
    <w:rsid w:val="003F4917"/>
    <w:rsid w:val="00405153"/>
    <w:rsid w:val="004078C9"/>
    <w:rsid w:val="004164BD"/>
    <w:rsid w:val="004206A0"/>
    <w:rsid w:val="00444EC4"/>
    <w:rsid w:val="0045026C"/>
    <w:rsid w:val="00454221"/>
    <w:rsid w:val="00457D70"/>
    <w:rsid w:val="004606A9"/>
    <w:rsid w:val="00476F67"/>
    <w:rsid w:val="00476F89"/>
    <w:rsid w:val="00477907"/>
    <w:rsid w:val="00481C13"/>
    <w:rsid w:val="00483C8F"/>
    <w:rsid w:val="004B517B"/>
    <w:rsid w:val="004D32A9"/>
    <w:rsid w:val="004E1CDF"/>
    <w:rsid w:val="004F4FD4"/>
    <w:rsid w:val="005123EA"/>
    <w:rsid w:val="00514184"/>
    <w:rsid w:val="00532B4A"/>
    <w:rsid w:val="005353F3"/>
    <w:rsid w:val="00551F98"/>
    <w:rsid w:val="00571713"/>
    <w:rsid w:val="00573027"/>
    <w:rsid w:val="00574BD7"/>
    <w:rsid w:val="005828F9"/>
    <w:rsid w:val="005848AA"/>
    <w:rsid w:val="005954A4"/>
    <w:rsid w:val="00596354"/>
    <w:rsid w:val="005974BF"/>
    <w:rsid w:val="005C716A"/>
    <w:rsid w:val="005E777A"/>
    <w:rsid w:val="00601ECD"/>
    <w:rsid w:val="006061E3"/>
    <w:rsid w:val="00624429"/>
    <w:rsid w:val="006263CD"/>
    <w:rsid w:val="00630478"/>
    <w:rsid w:val="00635484"/>
    <w:rsid w:val="00641A78"/>
    <w:rsid w:val="00641D26"/>
    <w:rsid w:val="006501C1"/>
    <w:rsid w:val="006563A2"/>
    <w:rsid w:val="00657837"/>
    <w:rsid w:val="00661119"/>
    <w:rsid w:val="00670CFF"/>
    <w:rsid w:val="006752CE"/>
    <w:rsid w:val="00687D72"/>
    <w:rsid w:val="00692718"/>
    <w:rsid w:val="0069541B"/>
    <w:rsid w:val="006B1E92"/>
    <w:rsid w:val="006B3641"/>
    <w:rsid w:val="006D30AC"/>
    <w:rsid w:val="006D553E"/>
    <w:rsid w:val="006E5890"/>
    <w:rsid w:val="006F6861"/>
    <w:rsid w:val="00702281"/>
    <w:rsid w:val="007107BC"/>
    <w:rsid w:val="007145AE"/>
    <w:rsid w:val="00714601"/>
    <w:rsid w:val="00720C0B"/>
    <w:rsid w:val="00725AA8"/>
    <w:rsid w:val="0075349A"/>
    <w:rsid w:val="007576A2"/>
    <w:rsid w:val="00760EA7"/>
    <w:rsid w:val="007746F4"/>
    <w:rsid w:val="007774E1"/>
    <w:rsid w:val="007820EC"/>
    <w:rsid w:val="00790A50"/>
    <w:rsid w:val="007A4DF7"/>
    <w:rsid w:val="007A5021"/>
    <w:rsid w:val="007B4395"/>
    <w:rsid w:val="007C1ED9"/>
    <w:rsid w:val="007D2D60"/>
    <w:rsid w:val="007E6EA8"/>
    <w:rsid w:val="00802BB1"/>
    <w:rsid w:val="0080395E"/>
    <w:rsid w:val="008227CC"/>
    <w:rsid w:val="008348B1"/>
    <w:rsid w:val="008473A6"/>
    <w:rsid w:val="0086688D"/>
    <w:rsid w:val="008677A4"/>
    <w:rsid w:val="00884846"/>
    <w:rsid w:val="00886292"/>
    <w:rsid w:val="00892267"/>
    <w:rsid w:val="008B34C6"/>
    <w:rsid w:val="008D0FD2"/>
    <w:rsid w:val="008D15FB"/>
    <w:rsid w:val="008E1247"/>
    <w:rsid w:val="008E3671"/>
    <w:rsid w:val="008E5E94"/>
    <w:rsid w:val="008E737D"/>
    <w:rsid w:val="008F0F36"/>
    <w:rsid w:val="008F1801"/>
    <w:rsid w:val="00900A8D"/>
    <w:rsid w:val="00902DB2"/>
    <w:rsid w:val="00937700"/>
    <w:rsid w:val="00943976"/>
    <w:rsid w:val="00944FCC"/>
    <w:rsid w:val="009604D4"/>
    <w:rsid w:val="0096196E"/>
    <w:rsid w:val="00972D5C"/>
    <w:rsid w:val="00975A88"/>
    <w:rsid w:val="009A6990"/>
    <w:rsid w:val="009C2C4F"/>
    <w:rsid w:val="009D34D3"/>
    <w:rsid w:val="009D7359"/>
    <w:rsid w:val="009E6A94"/>
    <w:rsid w:val="009F0187"/>
    <w:rsid w:val="009F1E64"/>
    <w:rsid w:val="009F7AEA"/>
    <w:rsid w:val="00A11809"/>
    <w:rsid w:val="00A13581"/>
    <w:rsid w:val="00A37E05"/>
    <w:rsid w:val="00A46002"/>
    <w:rsid w:val="00A550FE"/>
    <w:rsid w:val="00A57568"/>
    <w:rsid w:val="00A61B87"/>
    <w:rsid w:val="00A67407"/>
    <w:rsid w:val="00A874A5"/>
    <w:rsid w:val="00A9559D"/>
    <w:rsid w:val="00AA5EF1"/>
    <w:rsid w:val="00AB29E1"/>
    <w:rsid w:val="00AC5F9F"/>
    <w:rsid w:val="00AC68E9"/>
    <w:rsid w:val="00AC7DD2"/>
    <w:rsid w:val="00AD5832"/>
    <w:rsid w:val="00AE0A73"/>
    <w:rsid w:val="00AE10C3"/>
    <w:rsid w:val="00AF6869"/>
    <w:rsid w:val="00B006CF"/>
    <w:rsid w:val="00B10628"/>
    <w:rsid w:val="00B23FA7"/>
    <w:rsid w:val="00B33B4E"/>
    <w:rsid w:val="00B374CD"/>
    <w:rsid w:val="00B572E3"/>
    <w:rsid w:val="00B65E11"/>
    <w:rsid w:val="00B72CBC"/>
    <w:rsid w:val="00B815F6"/>
    <w:rsid w:val="00B90DF4"/>
    <w:rsid w:val="00BC069A"/>
    <w:rsid w:val="00BD3C4C"/>
    <w:rsid w:val="00BD5182"/>
    <w:rsid w:val="00BE4078"/>
    <w:rsid w:val="00BF3E34"/>
    <w:rsid w:val="00BF619C"/>
    <w:rsid w:val="00C00923"/>
    <w:rsid w:val="00C05E81"/>
    <w:rsid w:val="00C06645"/>
    <w:rsid w:val="00C1540F"/>
    <w:rsid w:val="00C224E7"/>
    <w:rsid w:val="00C23556"/>
    <w:rsid w:val="00C60751"/>
    <w:rsid w:val="00C62F1A"/>
    <w:rsid w:val="00C64019"/>
    <w:rsid w:val="00C762A1"/>
    <w:rsid w:val="00CB7DBC"/>
    <w:rsid w:val="00D02459"/>
    <w:rsid w:val="00D13DAF"/>
    <w:rsid w:val="00D17ACB"/>
    <w:rsid w:val="00D27C2B"/>
    <w:rsid w:val="00D30F59"/>
    <w:rsid w:val="00D31B86"/>
    <w:rsid w:val="00D42828"/>
    <w:rsid w:val="00D43A97"/>
    <w:rsid w:val="00D6538E"/>
    <w:rsid w:val="00D72C92"/>
    <w:rsid w:val="00D740F6"/>
    <w:rsid w:val="00D84DBC"/>
    <w:rsid w:val="00D9610F"/>
    <w:rsid w:val="00DB1057"/>
    <w:rsid w:val="00DD23F6"/>
    <w:rsid w:val="00E001FC"/>
    <w:rsid w:val="00E06FA0"/>
    <w:rsid w:val="00E16ABC"/>
    <w:rsid w:val="00E251C2"/>
    <w:rsid w:val="00E30ED5"/>
    <w:rsid w:val="00E31FAF"/>
    <w:rsid w:val="00E5098D"/>
    <w:rsid w:val="00E548B7"/>
    <w:rsid w:val="00E55A24"/>
    <w:rsid w:val="00E55CC1"/>
    <w:rsid w:val="00E57A61"/>
    <w:rsid w:val="00E84CC3"/>
    <w:rsid w:val="00EA21C1"/>
    <w:rsid w:val="00EA5E80"/>
    <w:rsid w:val="00EB1D0F"/>
    <w:rsid w:val="00EB6505"/>
    <w:rsid w:val="00EE0658"/>
    <w:rsid w:val="00EF347C"/>
    <w:rsid w:val="00EF4040"/>
    <w:rsid w:val="00EF4DB3"/>
    <w:rsid w:val="00F43DBE"/>
    <w:rsid w:val="00F518EB"/>
    <w:rsid w:val="00F94142"/>
    <w:rsid w:val="00FB691C"/>
    <w:rsid w:val="00FE42FC"/>
    <w:rsid w:val="00FE51CC"/>
    <w:rsid w:val="00FF0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9D65EE"/>
  <w15:docId w15:val="{4B8971F4-DC91-4A7E-B5F8-1E01D3E4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B6C"/>
    <w:pPr>
      <w:spacing w:after="0" w:line="240" w:lineRule="auto"/>
      <w:contextualSpacing/>
    </w:pPr>
    <w:rPr>
      <w:rFonts w:ascii="Times New Roman" w:hAnsi="Times New Roman"/>
    </w:rPr>
  </w:style>
  <w:style w:type="paragraph" w:styleId="Heading1">
    <w:name w:val="heading 1"/>
    <w:basedOn w:val="Normal"/>
    <w:next w:val="Normal"/>
    <w:link w:val="Heading1Char"/>
    <w:uiPriority w:val="9"/>
    <w:qFormat/>
    <w:rsid w:val="00892267"/>
    <w:pPr>
      <w:keepNext/>
      <w:keepLines/>
      <w:jc w:val="cente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12B6C"/>
    <w:pPr>
      <w:keepNext/>
      <w:keepLines/>
      <w:contextualSpacing w:val="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75A88"/>
    <w:pPr>
      <w:keepNext/>
      <w:keepLines/>
      <w:outlineLvl w:val="2"/>
    </w:pPr>
    <w:rPr>
      <w:rFonts w:ascii="Arial" w:eastAsiaTheme="majorEastAsia" w:hAnsi="Arial" w:cstheme="majorBidi"/>
      <w:b/>
      <w:bCs/>
      <w:i/>
      <w:sz w:val="20"/>
    </w:rPr>
  </w:style>
  <w:style w:type="paragraph" w:styleId="Heading4">
    <w:name w:val="heading 4"/>
    <w:basedOn w:val="Normal"/>
    <w:next w:val="Normal"/>
    <w:link w:val="Heading4Char"/>
    <w:uiPriority w:val="9"/>
    <w:unhideWhenUsed/>
    <w:qFormat/>
    <w:rsid w:val="00687D72"/>
    <w:pPr>
      <w:keepNext/>
      <w:keepLines/>
      <w:spacing w:before="40"/>
      <w:outlineLvl w:val="3"/>
    </w:pPr>
    <w:rPr>
      <w:rFonts w:ascii="Arial" w:eastAsiaTheme="majorEastAsia" w:hAnsi="Arial"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267"/>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112B6C"/>
    <w:rPr>
      <w:rFonts w:ascii="Arial" w:eastAsiaTheme="majorEastAsia" w:hAnsi="Arial" w:cstheme="majorBidi"/>
      <w:b/>
      <w:bCs/>
      <w:szCs w:val="26"/>
    </w:rPr>
  </w:style>
  <w:style w:type="paragraph" w:styleId="ListParagraph">
    <w:name w:val="List Paragraph"/>
    <w:basedOn w:val="Normal"/>
    <w:uiPriority w:val="34"/>
    <w:qFormat/>
    <w:rsid w:val="00112B6C"/>
    <w:pPr>
      <w:ind w:left="720"/>
    </w:pPr>
  </w:style>
  <w:style w:type="character" w:styleId="Hyperlink">
    <w:name w:val="Hyperlink"/>
    <w:basedOn w:val="DefaultParagraphFont"/>
    <w:uiPriority w:val="99"/>
    <w:unhideWhenUsed/>
    <w:rsid w:val="00320574"/>
    <w:rPr>
      <w:color w:val="0000FF" w:themeColor="hyperlink"/>
      <w:u w:val="single"/>
    </w:rPr>
  </w:style>
  <w:style w:type="character" w:styleId="FollowedHyperlink">
    <w:name w:val="FollowedHyperlink"/>
    <w:basedOn w:val="DefaultParagraphFont"/>
    <w:uiPriority w:val="99"/>
    <w:semiHidden/>
    <w:unhideWhenUsed/>
    <w:rsid w:val="00320574"/>
    <w:rPr>
      <w:color w:val="800080" w:themeColor="followedHyperlink"/>
      <w:u w:val="single"/>
    </w:rPr>
  </w:style>
  <w:style w:type="table" w:styleId="TableGrid">
    <w:name w:val="Table Grid"/>
    <w:basedOn w:val="TableNormal"/>
    <w:uiPriority w:val="59"/>
    <w:rsid w:val="00C0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5A88"/>
    <w:rPr>
      <w:rFonts w:ascii="Arial" w:eastAsiaTheme="majorEastAsia" w:hAnsi="Arial" w:cstheme="majorBidi"/>
      <w:b/>
      <w:bCs/>
      <w:i/>
      <w:sz w:val="20"/>
    </w:rPr>
  </w:style>
  <w:style w:type="paragraph" w:styleId="BalloonText">
    <w:name w:val="Balloon Text"/>
    <w:basedOn w:val="Normal"/>
    <w:link w:val="BalloonTextChar"/>
    <w:uiPriority w:val="99"/>
    <w:semiHidden/>
    <w:unhideWhenUsed/>
    <w:rsid w:val="00C23556"/>
    <w:rPr>
      <w:rFonts w:ascii="Tahoma" w:hAnsi="Tahoma" w:cs="Tahoma"/>
      <w:sz w:val="16"/>
      <w:szCs w:val="16"/>
    </w:rPr>
  </w:style>
  <w:style w:type="character" w:customStyle="1" w:styleId="BalloonTextChar">
    <w:name w:val="Balloon Text Char"/>
    <w:basedOn w:val="DefaultParagraphFont"/>
    <w:link w:val="BalloonText"/>
    <w:uiPriority w:val="99"/>
    <w:semiHidden/>
    <w:rsid w:val="00C23556"/>
    <w:rPr>
      <w:rFonts w:ascii="Tahoma" w:hAnsi="Tahoma" w:cs="Tahoma"/>
      <w:sz w:val="16"/>
      <w:szCs w:val="16"/>
    </w:rPr>
  </w:style>
  <w:style w:type="paragraph" w:styleId="Revision">
    <w:name w:val="Revision"/>
    <w:hidden/>
    <w:uiPriority w:val="99"/>
    <w:semiHidden/>
    <w:rsid w:val="008F0F36"/>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8473A6"/>
    <w:rPr>
      <w:sz w:val="16"/>
      <w:szCs w:val="16"/>
    </w:rPr>
  </w:style>
  <w:style w:type="paragraph" w:styleId="CommentText">
    <w:name w:val="annotation text"/>
    <w:basedOn w:val="Normal"/>
    <w:link w:val="CommentTextChar"/>
    <w:uiPriority w:val="99"/>
    <w:semiHidden/>
    <w:unhideWhenUsed/>
    <w:rsid w:val="008473A6"/>
    <w:rPr>
      <w:sz w:val="20"/>
      <w:szCs w:val="20"/>
    </w:rPr>
  </w:style>
  <w:style w:type="character" w:customStyle="1" w:styleId="CommentTextChar">
    <w:name w:val="Comment Text Char"/>
    <w:basedOn w:val="DefaultParagraphFont"/>
    <w:link w:val="CommentText"/>
    <w:uiPriority w:val="99"/>
    <w:semiHidden/>
    <w:rsid w:val="008473A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473A6"/>
    <w:rPr>
      <w:b/>
      <w:bCs/>
    </w:rPr>
  </w:style>
  <w:style w:type="character" w:customStyle="1" w:styleId="CommentSubjectChar">
    <w:name w:val="Comment Subject Char"/>
    <w:basedOn w:val="CommentTextChar"/>
    <w:link w:val="CommentSubject"/>
    <w:uiPriority w:val="99"/>
    <w:semiHidden/>
    <w:rsid w:val="008473A6"/>
    <w:rPr>
      <w:rFonts w:ascii="Times New Roman" w:hAnsi="Times New Roman"/>
      <w:b/>
      <w:bCs/>
      <w:sz w:val="20"/>
      <w:szCs w:val="20"/>
    </w:rPr>
  </w:style>
  <w:style w:type="character" w:customStyle="1" w:styleId="Heading4Char">
    <w:name w:val="Heading 4 Char"/>
    <w:basedOn w:val="DefaultParagraphFont"/>
    <w:link w:val="Heading4"/>
    <w:uiPriority w:val="9"/>
    <w:rsid w:val="00687D72"/>
    <w:rPr>
      <w:rFonts w:ascii="Arial" w:eastAsiaTheme="majorEastAsia" w:hAnsi="Arial" w:cstheme="majorBidi"/>
      <w:i/>
      <w:iCs/>
      <w:sz w:val="20"/>
    </w:rPr>
  </w:style>
  <w:style w:type="character" w:styleId="UnresolvedMention">
    <w:name w:val="Unresolved Mention"/>
    <w:basedOn w:val="DefaultParagraphFont"/>
    <w:uiPriority w:val="99"/>
    <w:semiHidden/>
    <w:unhideWhenUsed/>
    <w:rsid w:val="007145AE"/>
    <w:rPr>
      <w:color w:val="605E5C"/>
      <w:shd w:val="clear" w:color="auto" w:fill="E1DFDD"/>
    </w:rPr>
  </w:style>
  <w:style w:type="paragraph" w:styleId="NormalWeb">
    <w:name w:val="Normal (Web)"/>
    <w:basedOn w:val="Normal"/>
    <w:uiPriority w:val="99"/>
    <w:semiHidden/>
    <w:unhideWhenUsed/>
    <w:rsid w:val="00153472"/>
    <w:pPr>
      <w:spacing w:before="100" w:beforeAutospacing="1" w:after="100" w:afterAutospacing="1"/>
      <w:contextualSpacing w:val="0"/>
    </w:pPr>
    <w:rPr>
      <w:rFonts w:eastAsia="Times New Roman" w:cs="Times New Roman"/>
      <w:sz w:val="24"/>
      <w:szCs w:val="24"/>
    </w:rPr>
  </w:style>
  <w:style w:type="character" w:styleId="Strong">
    <w:name w:val="Strong"/>
    <w:basedOn w:val="DefaultParagraphFont"/>
    <w:uiPriority w:val="22"/>
    <w:qFormat/>
    <w:rsid w:val="00D17ACB"/>
    <w:rPr>
      <w:b/>
      <w:bCs/>
    </w:rPr>
  </w:style>
  <w:style w:type="character" w:styleId="Emphasis">
    <w:name w:val="Emphasis"/>
    <w:basedOn w:val="DefaultParagraphFont"/>
    <w:uiPriority w:val="20"/>
    <w:qFormat/>
    <w:rsid w:val="00D17ACB"/>
    <w:rPr>
      <w:i/>
      <w:iCs/>
    </w:rPr>
  </w:style>
  <w:style w:type="paragraph" w:styleId="Header">
    <w:name w:val="header"/>
    <w:basedOn w:val="Normal"/>
    <w:link w:val="HeaderChar"/>
    <w:uiPriority w:val="99"/>
    <w:unhideWhenUsed/>
    <w:rsid w:val="001F4363"/>
    <w:pPr>
      <w:tabs>
        <w:tab w:val="center" w:pos="4680"/>
        <w:tab w:val="right" w:pos="9360"/>
      </w:tabs>
    </w:pPr>
  </w:style>
  <w:style w:type="character" w:customStyle="1" w:styleId="HeaderChar">
    <w:name w:val="Header Char"/>
    <w:basedOn w:val="DefaultParagraphFont"/>
    <w:link w:val="Header"/>
    <w:uiPriority w:val="99"/>
    <w:rsid w:val="001F4363"/>
    <w:rPr>
      <w:rFonts w:ascii="Times New Roman" w:hAnsi="Times New Roman"/>
    </w:rPr>
  </w:style>
  <w:style w:type="paragraph" w:styleId="Footer">
    <w:name w:val="footer"/>
    <w:basedOn w:val="Normal"/>
    <w:link w:val="FooterChar"/>
    <w:uiPriority w:val="99"/>
    <w:unhideWhenUsed/>
    <w:rsid w:val="001F4363"/>
    <w:pPr>
      <w:tabs>
        <w:tab w:val="center" w:pos="4680"/>
        <w:tab w:val="right" w:pos="9360"/>
      </w:tabs>
    </w:pPr>
  </w:style>
  <w:style w:type="character" w:customStyle="1" w:styleId="FooterChar">
    <w:name w:val="Footer Char"/>
    <w:basedOn w:val="DefaultParagraphFont"/>
    <w:link w:val="Footer"/>
    <w:uiPriority w:val="99"/>
    <w:rsid w:val="001F43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150">
      <w:bodyDiv w:val="1"/>
      <w:marLeft w:val="0"/>
      <w:marRight w:val="0"/>
      <w:marTop w:val="0"/>
      <w:marBottom w:val="0"/>
      <w:divBdr>
        <w:top w:val="none" w:sz="0" w:space="0" w:color="auto"/>
        <w:left w:val="none" w:sz="0" w:space="0" w:color="auto"/>
        <w:bottom w:val="none" w:sz="0" w:space="0" w:color="auto"/>
        <w:right w:val="none" w:sz="0" w:space="0" w:color="auto"/>
      </w:divBdr>
      <w:divsChild>
        <w:div w:id="468016655">
          <w:marLeft w:val="0"/>
          <w:marRight w:val="0"/>
          <w:marTop w:val="0"/>
          <w:marBottom w:val="0"/>
          <w:divBdr>
            <w:top w:val="none" w:sz="0" w:space="0" w:color="auto"/>
            <w:left w:val="none" w:sz="0" w:space="0" w:color="auto"/>
            <w:bottom w:val="none" w:sz="0" w:space="0" w:color="auto"/>
            <w:right w:val="none" w:sz="0" w:space="0" w:color="auto"/>
          </w:divBdr>
        </w:div>
      </w:divsChild>
    </w:div>
    <w:div w:id="149953599">
      <w:bodyDiv w:val="1"/>
      <w:marLeft w:val="0"/>
      <w:marRight w:val="0"/>
      <w:marTop w:val="0"/>
      <w:marBottom w:val="0"/>
      <w:divBdr>
        <w:top w:val="none" w:sz="0" w:space="0" w:color="auto"/>
        <w:left w:val="none" w:sz="0" w:space="0" w:color="auto"/>
        <w:bottom w:val="none" w:sz="0" w:space="0" w:color="auto"/>
        <w:right w:val="none" w:sz="0" w:space="0" w:color="auto"/>
      </w:divBdr>
    </w:div>
    <w:div w:id="760495352">
      <w:bodyDiv w:val="1"/>
      <w:marLeft w:val="0"/>
      <w:marRight w:val="0"/>
      <w:marTop w:val="0"/>
      <w:marBottom w:val="0"/>
      <w:divBdr>
        <w:top w:val="none" w:sz="0" w:space="0" w:color="auto"/>
        <w:left w:val="none" w:sz="0" w:space="0" w:color="auto"/>
        <w:bottom w:val="none" w:sz="0" w:space="0" w:color="auto"/>
        <w:right w:val="none" w:sz="0" w:space="0" w:color="auto"/>
      </w:divBdr>
    </w:div>
    <w:div w:id="1012992883">
      <w:bodyDiv w:val="1"/>
      <w:marLeft w:val="0"/>
      <w:marRight w:val="0"/>
      <w:marTop w:val="0"/>
      <w:marBottom w:val="0"/>
      <w:divBdr>
        <w:top w:val="none" w:sz="0" w:space="0" w:color="auto"/>
        <w:left w:val="none" w:sz="0" w:space="0" w:color="auto"/>
        <w:bottom w:val="none" w:sz="0" w:space="0" w:color="auto"/>
        <w:right w:val="none" w:sz="0" w:space="0" w:color="auto"/>
      </w:divBdr>
    </w:div>
    <w:div w:id="1438015102">
      <w:bodyDiv w:val="1"/>
      <w:marLeft w:val="0"/>
      <w:marRight w:val="0"/>
      <w:marTop w:val="0"/>
      <w:marBottom w:val="0"/>
      <w:divBdr>
        <w:top w:val="none" w:sz="0" w:space="0" w:color="auto"/>
        <w:left w:val="none" w:sz="0" w:space="0" w:color="auto"/>
        <w:bottom w:val="none" w:sz="0" w:space="0" w:color="auto"/>
        <w:right w:val="none" w:sz="0" w:space="0" w:color="auto"/>
      </w:divBdr>
      <w:divsChild>
        <w:div w:id="1311903387">
          <w:marLeft w:val="0"/>
          <w:marRight w:val="0"/>
          <w:marTop w:val="0"/>
          <w:marBottom w:val="0"/>
          <w:divBdr>
            <w:top w:val="none" w:sz="0" w:space="0" w:color="auto"/>
            <w:left w:val="none" w:sz="0" w:space="0" w:color="auto"/>
            <w:bottom w:val="none" w:sz="0" w:space="0" w:color="auto"/>
            <w:right w:val="none" w:sz="0" w:space="0" w:color="auto"/>
          </w:divBdr>
        </w:div>
      </w:divsChild>
    </w:div>
    <w:div w:id="1793284066">
      <w:bodyDiv w:val="1"/>
      <w:marLeft w:val="0"/>
      <w:marRight w:val="0"/>
      <w:marTop w:val="0"/>
      <w:marBottom w:val="0"/>
      <w:divBdr>
        <w:top w:val="none" w:sz="0" w:space="0" w:color="auto"/>
        <w:left w:val="none" w:sz="0" w:space="0" w:color="auto"/>
        <w:bottom w:val="none" w:sz="0" w:space="0" w:color="auto"/>
        <w:right w:val="none" w:sz="0" w:space="0" w:color="auto"/>
      </w:divBdr>
      <w:divsChild>
        <w:div w:id="2107070126">
          <w:marLeft w:val="0"/>
          <w:marRight w:val="0"/>
          <w:marTop w:val="0"/>
          <w:marBottom w:val="0"/>
          <w:divBdr>
            <w:top w:val="none" w:sz="0" w:space="0" w:color="auto"/>
            <w:left w:val="none" w:sz="0" w:space="0" w:color="auto"/>
            <w:bottom w:val="none" w:sz="0" w:space="0" w:color="auto"/>
            <w:right w:val="none" w:sz="0" w:space="0" w:color="auto"/>
          </w:divBdr>
        </w:div>
      </w:divsChild>
    </w:div>
    <w:div w:id="1799227821">
      <w:bodyDiv w:val="1"/>
      <w:marLeft w:val="0"/>
      <w:marRight w:val="0"/>
      <w:marTop w:val="0"/>
      <w:marBottom w:val="0"/>
      <w:divBdr>
        <w:top w:val="none" w:sz="0" w:space="0" w:color="auto"/>
        <w:left w:val="none" w:sz="0" w:space="0" w:color="auto"/>
        <w:bottom w:val="none" w:sz="0" w:space="0" w:color="auto"/>
        <w:right w:val="none" w:sz="0" w:space="0" w:color="auto"/>
      </w:divBdr>
      <w:divsChild>
        <w:div w:id="95525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entralflorida-prod.modolabs.net/student/safety/inde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s@ucf.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NIKYajEx4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des.ucf.edu/" TargetMode="External"/><Relationship Id="rId5" Type="http://schemas.openxmlformats.org/officeDocument/2006/relationships/webSettings" Target="webSettings.xml"/><Relationship Id="rId15" Type="http://schemas.openxmlformats.org/officeDocument/2006/relationships/hyperlink" Target="https://my.ucf.edu" TargetMode="External"/><Relationship Id="rId10" Type="http://schemas.openxmlformats.org/officeDocument/2006/relationships/hyperlink" Target="https://goldenrule.sdes.ucf.edu/" TargetMode="External"/><Relationship Id="rId4" Type="http://schemas.openxmlformats.org/officeDocument/2006/relationships/settings" Target="settings.xml"/><Relationship Id="rId9" Type="http://schemas.openxmlformats.org/officeDocument/2006/relationships/hyperlink" Target="https://scai.sdes.ucf.edu/student-rules-of-conduct/" TargetMode="External"/><Relationship Id="rId14" Type="http://schemas.openxmlformats.org/officeDocument/2006/relationships/hyperlink" Target="https://ehs.ucf.edu/automated-external-defibrillator-aed-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66880-8B89-4FBA-88E3-1B0E0D27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for Central Florida</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Turner</dc:creator>
  <cp:lastModifiedBy>Xun Gong</cp:lastModifiedBy>
  <cp:revision>74</cp:revision>
  <dcterms:created xsi:type="dcterms:W3CDTF">2018-07-19T12:37:00Z</dcterms:created>
  <dcterms:modified xsi:type="dcterms:W3CDTF">2024-01-04T20:49:00Z</dcterms:modified>
</cp:coreProperties>
</file>