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564"/>
          <w:sz w:val="44"/>
        </w:rPr>
        <w:t>8INF852 — Travail Pratique 2</w:t>
      </w:r>
    </w:p>
    <w:p>
      <w:pPr>
        <w:jc w:val="center"/>
      </w:pPr>
      <w:r>
        <w:rPr>
          <w:i/>
          <w:color w:val="2E74B5"/>
          <w:sz w:val="28"/>
        </w:rPr>
        <w:t>Évolution discrète : recombinaison vs modélisation probabiliste</w:t>
      </w:r>
    </w:p>
    <w:p/>
    <w:p>
      <w:pPr>
        <w:jc w:val="center"/>
      </w:pPr>
      <w:r>
        <w:rPr>
          <w:b/>
          <w:sz w:val="22"/>
        </w:rPr>
        <w:t xml:space="preserve">Étudiant : </w:t>
      </w:r>
      <w:r>
        <w:rPr>
          <w:sz w:val="22"/>
        </w:rPr>
        <w:t>AITELOURF Youssef</w:t>
      </w:r>
    </w:p>
    <w:p>
      <w:pPr>
        <w:jc w:val="center"/>
      </w:pPr>
      <w:r>
        <w:rPr>
          <w:b/>
          <w:sz w:val="22"/>
        </w:rPr>
        <w:t xml:space="preserve">Session : </w:t>
      </w:r>
      <w:r>
        <w:rPr>
          <w:sz w:val="22"/>
        </w:rPr>
        <w:t>Hiver 2026</w:t>
      </w:r>
    </w:p>
    <w:p>
      <w:pPr>
        <w:jc w:val="center"/>
      </w:pPr>
      <w:r>
        <w:rPr>
          <w:b/>
          <w:sz w:val="22"/>
        </w:rPr>
        <w:t xml:space="preserve">Cours : </w:t>
      </w:r>
      <w:r>
        <w:rPr>
          <w:sz w:val="22"/>
        </w:rPr>
        <w:t>8INF852 — Métaheuristiques en optimisation</w:t>
      </w:r>
    </w:p>
    <w:p>
      <w:pPr>
        <w:jc w:val="center"/>
      </w:pPr>
      <w:r>
        <w:rPr>
          <w:b/>
          <w:sz w:val="22"/>
        </w:rPr>
        <w:t xml:space="preserve">Date de remise : </w:t>
      </w:r>
      <w:r>
        <w:rPr>
          <w:sz w:val="22"/>
        </w:rPr>
        <w:t>29 March 2026</w:t>
      </w:r>
    </w:p>
    <w:p/>
    <w:p>
      <w:pPr>
        <w:ind w:left="576" w:right="576"/>
      </w:pPr>
      <w:r>
        <w:rPr>
          <w:i/>
          <w:sz w:val="20"/>
        </w:rPr>
        <w:t>Résumé — Ce rapport compare deux approches évolutionnaires discrètes pour générer des mots pseudo-français : l'Algorithme Génétique (GA) à recombinaison explicite et l'UMDA (Estimation de Distribution). Une campagne Monte-Carlo de 10 runs × 4 expériences (80 runs total, ~1 600 000 évaluations cumulées) révèle que le GA avec losers, étalon et élitisme domine nettement l'UMDA (médiane 3,02 vs 4,19 ; meilleur 2,66 vs 3,66). La conservation des losers s'avère le mécanisme le plus impactant (+8,2 % de dégradation sans lui).</w:t>
      </w:r>
    </w:p>
    <w:p>
      <w:r>
        <w:br w:type="page"/>
      </w:r>
    </w:p>
    <w:p>
      <w:pPr>
        <w:pStyle w:val="Heading1"/>
      </w:pPr>
      <w:r>
        <w:rPr>
          <w:color w:val="1F3564"/>
        </w:rPr>
        <w:t>1. Introduction</w:t>
      </w:r>
    </w:p>
    <w:p>
      <w:pPr>
        <w:spacing w:after="120"/>
      </w:pPr>
      <w:r>
        <w:t>Ce travail pratique s'inscrit dans le cadre du cours 8INF852. L'objectif est de comparer deux paradigmes en évolution discrète : les algorithmes génétiques (GA), fondés sur la recombinaison explicite, et les EDA, qui construisent un modèle probabiliste de l'espace de recherche.</w:t>
      </w:r>
    </w:p>
    <w:p>
      <w:pPr>
        <w:spacing w:after="120"/>
      </w:pPr>
      <w:r>
        <w:t>Le problème consiste à générer des mots pseudo-français : des chaînes de caractères qui sonnent français sans être des mots réels de Lexique383. Quatre expériences différentielles isolent l'effet de chaque mécanisme du GA avant de comparer le meilleur GA à l'UMDA sur un budget comparable (±0,75 %).</w:t>
      </w:r>
    </w:p>
    <w:p>
      <w:pPr>
        <w:pStyle w:val="Heading1"/>
      </w:pPr>
      <w:r>
        <w:rPr>
          <w:color w:val="1F3564"/>
        </w:rPr>
        <w:t>2. Problème et fonction objectif</w:t>
      </w:r>
    </w:p>
    <w:p>
      <w:pPr>
        <w:pStyle w:val="Heading2"/>
      </w:pPr>
      <w:r>
        <w:rPr>
          <w:color w:val="2E74B5"/>
        </w:rPr>
        <w:t>2.1 Espace de recherche</w:t>
      </w:r>
    </w:p>
    <w:p>
      <w:pPr>
        <w:spacing w:after="120"/>
      </w:pPr>
      <w:r>
        <w:t>Chaînes de caractères sur l'alphabet français étendu (43 caractères : a–z + éèêëàâäîïôöùûüçæœ), longueur ∈ [4, 16].</w:t>
      </w:r>
    </w:p>
    <w:p>
      <w:pPr>
        <w:pStyle w:val="Heading2"/>
      </w:pPr>
      <w:r>
        <w:rPr>
          <w:color w:val="2E74B5"/>
        </w:rPr>
        <w:t>2.2 Modèle de Markov d'ordre 2</w:t>
      </w:r>
    </w:p>
    <w:p>
      <w:pPr>
        <w:spacing w:after="120"/>
      </w:pPr>
      <w:r>
        <w:t xml:space="preserve">Entraîné sur Lexique383 (~125 486 mots). Estime P(cᵢ | cᵢ₋₁, cᵢ₋₂). Perplexité : </w:t>
      </w:r>
    </w:p>
    <w:p>
      <w:pPr>
        <w:pStyle w:val="NoSpacing"/>
        <w:spacing w:before="60" w:after="60"/>
        <w:ind w:left="576"/>
      </w:pPr>
      <w:r>
        <w:rPr>
          <w:rFonts w:ascii="Courier New" w:hAnsi="Courier New"/>
          <w:color w:val="202020"/>
          <w:sz w:val="18"/>
        </w:rPr>
        <w:t>PPL(m) = 2^( −(1/n) × Σᵢ log₂ P(mᵢ | mᵢ₋₁, mᵢ₋₂) )</w:t>
      </w:r>
    </w:p>
    <w:p>
      <w:pPr>
        <w:spacing w:after="120"/>
      </w:pPr>
      <w:r>
        <w:t>Faible perplexité = mot statistiquement proche du français. Frontières gérées par padding NLTK (n=3).</w:t>
      </w:r>
    </w:p>
    <w:p>
      <w:pPr>
        <w:pStyle w:val="Heading2"/>
      </w:pPr>
      <w:r>
        <w:rPr>
          <w:color w:val="2E74B5"/>
        </w:rPr>
        <w:t>2.3 Fonction objectif</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shd w:val="clear" w:color="auto" w:fill="2E74B5"/>
          </w:tcPr>
          <w:p>
            <w:r>
              <w:rPr>
                <w:b/>
                <w:color w:val="FFFFFF"/>
              </w:rPr>
              <w:t>Composante</w:t>
            </w:r>
          </w:p>
        </w:tc>
        <w:tc>
          <w:tcPr>
            <w:tcW w:type="dxa" w:w="3022"/>
            <w:shd w:val="clear" w:color="auto" w:fill="2E74B5"/>
          </w:tcPr>
          <w:p>
            <w:r>
              <w:rPr>
                <w:b/>
                <w:color w:val="FFFFFF"/>
              </w:rPr>
              <w:t>Valeur</w:t>
            </w:r>
          </w:p>
        </w:tc>
        <w:tc>
          <w:tcPr>
            <w:tcW w:type="dxa" w:w="3022"/>
            <w:shd w:val="clear" w:color="auto" w:fill="2E74B5"/>
          </w:tcPr>
          <w:p>
            <w:r>
              <w:rPr>
                <w:b/>
                <w:color w:val="FFFFFF"/>
              </w:rPr>
              <w:t>Condition</w:t>
            </w: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pPr>
              <w:spacing w:after="0"/>
            </w:pPr>
            <w:r>
              <w:t>Perplexité</w:t>
            </w:r>
          </w:p>
        </w:tc>
        <w:tc>
          <w:tcPr>
            <w:tcW w:type="dxa" w:w="3022"/>
          </w:tcPr>
          <w:p>
            <w:pPr>
              <w:spacing w:after="0"/>
            </w:pPr>
            <w:r>
              <w:t>calculée</w:t>
            </w:r>
          </w:p>
        </w:tc>
        <w:tc>
          <w:tcPr>
            <w:tcW w:type="dxa" w:w="3022"/>
          </w:tcPr>
          <w:p>
            <w:pPr>
              <w:spacing w:after="0"/>
            </w:pPr>
            <w:r>
              <w:t>Toujours</w:t>
            </w:r>
          </w:p>
        </w:tc>
      </w:tr>
      <w:tr>
        <w:tc>
          <w:tcPr>
            <w:tcW w:type="dxa" w:w="3022"/>
          </w:tcPr>
          <w:p>
            <w:pPr>
              <w:spacing w:after="0"/>
            </w:pPr>
            <w:r>
              <w:t>Pénalité dictionnaire</w:t>
            </w:r>
          </w:p>
        </w:tc>
        <w:tc>
          <w:tcPr>
            <w:tcW w:type="dxa" w:w="3022"/>
          </w:tcPr>
          <w:p>
            <w:pPr>
              <w:spacing w:after="0"/>
            </w:pPr>
            <w:r>
              <w:t>+50</w:t>
            </w:r>
          </w:p>
        </w:tc>
        <w:tc>
          <w:tcPr>
            <w:tcW w:type="dxa" w:w="3022"/>
          </w:tcPr>
          <w:p>
            <w:pPr>
              <w:spacing w:after="0"/>
            </w:pPr>
            <w:r>
              <w:t>Mot dans Lexique383</w:t>
            </w:r>
          </w:p>
        </w:tc>
      </w:tr>
      <w:tr>
        <w:tc>
          <w:tcPr>
            <w:tcW w:type="dxa" w:w="3022"/>
          </w:tcPr>
          <w:p>
            <w:pPr>
              <w:spacing w:after="0"/>
            </w:pPr>
            <w:r>
              <w:t>Pénalité répétition</w:t>
            </w:r>
          </w:p>
        </w:tc>
        <w:tc>
          <w:tcPr>
            <w:tcW w:type="dxa" w:w="3022"/>
          </w:tcPr>
          <w:p>
            <w:pPr>
              <w:spacing w:after="0"/>
            </w:pPr>
            <w:r>
              <w:t>+200</w:t>
            </w:r>
          </w:p>
        </w:tc>
        <w:tc>
          <w:tcPr>
            <w:tcW w:type="dxa" w:w="3022"/>
          </w:tcPr>
          <w:p>
            <w:pPr>
              <w:spacing w:after="0"/>
            </w:pPr>
            <w:r>
              <w:t>&gt; 3 fois le même caractère</w:t>
            </w:r>
          </w:p>
        </w:tc>
      </w:tr>
      <w:tr>
        <w:tc>
          <w:tcPr>
            <w:tcW w:type="dxa" w:w="3022"/>
          </w:tcPr>
          <w:p>
            <w:pPr>
              <w:spacing w:after="0"/>
            </w:pPr>
            <w:r>
              <w:t>Pénalité caractère invalide</w:t>
            </w:r>
          </w:p>
        </w:tc>
        <w:tc>
          <w:tcPr>
            <w:tcW w:type="dxa" w:w="3022"/>
          </w:tcPr>
          <w:p>
            <w:pPr>
              <w:spacing w:after="0"/>
            </w:pPr>
            <w:r>
              <w:t>+500</w:t>
            </w:r>
          </w:p>
        </w:tc>
        <w:tc>
          <w:tcPr>
            <w:tcW w:type="dxa" w:w="3022"/>
          </w:tcPr>
          <w:p>
            <w:pPr>
              <w:spacing w:after="0"/>
            </w:pPr>
            <w:r>
              <w:t>Hors alphabet</w:t>
            </w:r>
          </w:p>
        </w:tc>
      </w:tr>
      <w:tr>
        <w:tc>
          <w:tcPr>
            <w:tcW w:type="dxa" w:w="3022"/>
          </w:tcPr>
          <w:p>
            <w:pPr>
              <w:spacing w:after="0"/>
            </w:pPr>
            <w:r>
              <w:t>Pénalité longueur</w:t>
            </w:r>
          </w:p>
        </w:tc>
        <w:tc>
          <w:tcPr>
            <w:tcW w:type="dxa" w:w="3022"/>
          </w:tcPr>
          <w:p>
            <w:pPr>
              <w:spacing w:after="0"/>
            </w:pPr>
            <w:r>
              <w:t>+1000</w:t>
            </w:r>
          </w:p>
        </w:tc>
        <w:tc>
          <w:tcPr>
            <w:tcW w:type="dxa" w:w="3022"/>
          </w:tcPr>
          <w:p>
            <w:pPr>
              <w:spacing w:after="0"/>
            </w:pPr>
            <w:r>
              <w:t>Longueur hors [4,16]</w:t>
            </w:r>
          </w:p>
        </w:tc>
      </w:tr>
    </w:tbl>
    <w:p/>
    <w:p>
      <w:pPr>
        <w:spacing w:after="120"/>
      </w:pPr>
      <w:r>
        <w:t>La pénalité dictionnaire est volontairement douce (50 pts) pour explorer le voisinage des vrais mots sans les produire.</w:t>
      </w:r>
    </w:p>
    <w:p>
      <w:pPr>
        <w:pStyle w:val="Heading1"/>
      </w:pPr>
      <w:r>
        <w:rPr>
          <w:color w:val="1F3564"/>
        </w:rPr>
        <w:t>3. Algorithme Génétique (GA)</w:t>
      </w:r>
    </w:p>
    <w:p>
      <w:pPr>
        <w:pStyle w:val="Heading2"/>
      </w:pPr>
      <w:r>
        <w:rPr>
          <w:color w:val="2E74B5"/>
        </w:rPr>
        <w:t>3.1 Représentation et initialisation</w:t>
      </w:r>
    </w:p>
    <w:p>
      <w:pPr>
        <w:spacing w:after="120"/>
      </w:pPr>
      <w:r>
        <w:t>Chaîne de caractères à longueur variable. Initialisation uniforme : longueur ∈ [4,16], caractères tirés indépendamment sur l'alphabet.</w:t>
      </w:r>
    </w:p>
    <w:p>
      <w:pPr>
        <w:pStyle w:val="Heading2"/>
      </w:pPr>
      <w:r>
        <w:rPr>
          <w:color w:val="2E74B5"/>
        </w:rPr>
        <w:t>3.2 Sélection par tournoi</w:t>
      </w:r>
    </w:p>
    <w:p>
      <w:pPr>
        <w:spacing w:after="120"/>
      </w:pPr>
      <w:r>
        <w:t>Tournoi de taille k=3 : k individus tirés aléatoirement, le meilleur (fitness minimale) est retenu. Pression de sélection modérée — les individus sous-optimaux conservent une chance de se reproduire, préservant la diversité.</w:t>
      </w:r>
    </w:p>
    <w:p>
      <w:pPr>
        <w:pStyle w:val="Heading2"/>
      </w:pPr>
      <w:r>
        <w:rPr>
          <w:color w:val="2E74B5"/>
        </w:rPr>
        <w:t>3.3 Opérateurs de croisement</w:t>
      </w:r>
    </w:p>
    <w:p>
      <w:pPr>
        <w:pStyle w:val="Heading3"/>
      </w:pPr>
      <w:r>
        <w:t>Croisement monopont (single_point)</w:t>
      </w:r>
    </w:p>
    <w:p>
      <w:pPr>
        <w:spacing w:after="120"/>
      </w:pPr>
      <w:r>
        <w:t>Point de coupure k ∈ [1, min(|P1|,|P2|)−1]. C1 = P1[:k]+P2[k:], C2 = P2[:k]+P1[k:]. Préserve les préfixes et donc les structures phonotactiques de début de mot.</w:t>
      </w:r>
    </w:p>
    <w:p>
      <w:pPr>
        <w:pStyle w:val="Heading3"/>
      </w:pPr>
      <w:r>
        <w:t>Croisement uniforme (uniform)</w:t>
      </w:r>
    </w:p>
    <w:p>
      <w:pPr>
        <w:spacing w:after="120"/>
      </w:pPr>
      <w:r>
        <w:t>Longueur enfant ∈ [min(|P1|,|P2|), max(|P1|,|P2|)]. À chaque position, caractère tiré 50/50 depuis l'un ou l'autre parent. Plus disruptif, favorise l'exploration mais casse les blocs phonotactiques locaux.</w:t>
      </w:r>
    </w:p>
    <w:p>
      <w:pPr>
        <w:pStyle w:val="Heading2"/>
      </w:pPr>
      <w:r>
        <w:rPr>
          <w:color w:val="2E74B5"/>
        </w:rPr>
        <w:t>3.4 Mutation (deux phases indépendantes)</w:t>
      </w:r>
    </w:p>
    <w:p>
      <w:pPr>
        <w:spacing w:after="120"/>
      </w:pPr>
      <w:r>
        <w:t>Phase 1 — Substitution par position : chaque caractère est remplacé indépendamment avec probabilité pm=0,15.</w:t>
      </w:r>
    </w:p>
    <w:p>
      <w:pPr>
        <w:spacing w:after="120"/>
      </w:pPr>
      <w:r>
        <w:t>Phase 2 — Mutations structurelles : deux tirages indépendants, chacun de probabilité pm/2=0,075 :</w:t>
      </w:r>
    </w:p>
    <w:p>
      <w:pPr>
        <w:spacing w:after="60"/>
        <w:ind w:left="432"/>
      </w:pPr>
      <w:r>
        <w:t>Insertion d'un caractère aléatoire à une position aléatoire (si |mot| &lt; MAX_LEN)</w:t>
      </w:r>
    </w:p>
    <w:p>
      <w:pPr>
        <w:spacing w:after="60"/>
        <w:ind w:left="432"/>
      </w:pPr>
      <w:r>
        <w:t>Suppression d'un caractère à une position aléatoire (si |mot| &gt; MIN_LEN)</w:t>
      </w:r>
    </w:p>
    <w:p>
      <w:pPr>
        <w:spacing w:after="120"/>
      </w:pPr>
      <w:r>
        <w:rPr>
          <w:b/>
        </w:rPr>
        <w:t xml:space="preserve">Note d'implémentation : </w:t>
      </w:r>
      <w:r>
        <w:rPr>
          <w:b w:val="0"/>
        </w:rPr>
        <w:t>les deux mutations structurelles utilisent des tirages indépendants, garantissant qu'insertion et suppression ont exactement la même probabilité pm/2 et peuvent se produire simultanément au sein d'une même mutation.</w:t>
      </w:r>
    </w:p>
    <w:p>
      <w:pPr>
        <w:pStyle w:val="Heading2"/>
      </w:pPr>
      <w:r>
        <w:rPr>
          <w:color w:val="2E74B5"/>
        </w:rPr>
        <w:t>3.5 Mécanismes de diversité</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shd w:val="clear" w:color="auto" w:fill="2E74B5"/>
          </w:tcPr>
          <w:p>
            <w:r>
              <w:rPr>
                <w:b/>
                <w:color w:val="FFFFFF"/>
              </w:rPr>
              <w:t>Mécanisme</w:t>
            </w:r>
          </w:p>
        </w:tc>
        <w:tc>
          <w:tcPr>
            <w:tcW w:type="dxa" w:w="3022"/>
            <w:shd w:val="clear" w:color="auto" w:fill="2E74B5"/>
          </w:tcPr>
          <w:p>
            <w:r>
              <w:rPr>
                <w:b/>
                <w:color w:val="FFFFFF"/>
              </w:rPr>
              <w:t>Paramètre</w:t>
            </w:r>
          </w:p>
        </w:tc>
        <w:tc>
          <w:tcPr>
            <w:tcW w:type="dxa" w:w="3022"/>
            <w:shd w:val="clear" w:color="auto" w:fill="2E74B5"/>
          </w:tcPr>
          <w:p>
            <w:r>
              <w:rPr>
                <w:b/>
                <w:color w:val="FFFFFF"/>
              </w:rPr>
              <w:t>Description</w:t>
            </w: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pPr>
              <w:spacing w:after="0"/>
            </w:pPr>
            <w:r>
              <w:t>Élitisme</w:t>
            </w:r>
          </w:p>
        </w:tc>
        <w:tc>
          <w:tcPr>
            <w:tcW w:type="dxa" w:w="3022"/>
          </w:tcPr>
          <w:p>
            <w:pPr>
              <w:spacing w:after="0"/>
            </w:pPr>
            <w:r>
              <w:t>n_elites=5</w:t>
            </w:r>
          </w:p>
        </w:tc>
        <w:tc>
          <w:tcPr>
            <w:tcW w:type="dxa" w:w="3022"/>
          </w:tcPr>
          <w:p>
            <w:pPr>
              <w:spacing w:after="0"/>
            </w:pPr>
            <w:r>
              <w:t>Copie intacte des 5 meilleurs individus</w:t>
            </w:r>
          </w:p>
        </w:tc>
      </w:tr>
      <w:tr>
        <w:tc>
          <w:tcPr>
            <w:tcW w:type="dxa" w:w="3022"/>
          </w:tcPr>
          <w:p>
            <w:pPr>
              <w:spacing w:after="0"/>
            </w:pPr>
            <w:r>
              <w:t>Étalon</w:t>
            </w:r>
          </w:p>
        </w:tc>
        <w:tc>
          <w:tcPr>
            <w:tcW w:type="dxa" w:w="3022"/>
          </w:tcPr>
          <w:p>
            <w:pPr>
              <w:spacing w:after="0"/>
            </w:pPr>
            <w:r>
              <w:t>etalon_prob=0,30</w:t>
            </w:r>
          </w:p>
        </w:tc>
        <w:tc>
          <w:tcPr>
            <w:tcW w:type="dxa" w:w="3022"/>
          </w:tcPr>
          <w:p>
            <w:pPr>
              <w:spacing w:after="0"/>
            </w:pPr>
            <w:r>
              <w:t>Substitue un parent par le champion lors du croisement (p=0,30)</w:t>
            </w:r>
          </w:p>
        </w:tc>
      </w:tr>
      <w:tr>
        <w:tc>
          <w:tcPr>
            <w:tcW w:type="dxa" w:w="3022"/>
          </w:tcPr>
          <w:p>
            <w:pPr>
              <w:spacing w:after="0"/>
            </w:pPr>
            <w:r>
              <w:t>Losers</w:t>
            </w:r>
          </w:p>
        </w:tc>
        <w:tc>
          <w:tcPr>
            <w:tcW w:type="dxa" w:w="3022"/>
          </w:tcPr>
          <w:p>
            <w:pPr>
              <w:spacing w:after="0"/>
            </w:pPr>
            <w:r>
              <w:t>n_losers=5</w:t>
            </w:r>
          </w:p>
        </w:tc>
        <w:tc>
          <w:tcPr>
            <w:tcW w:type="dxa" w:w="3022"/>
          </w:tcPr>
          <w:p>
            <w:pPr>
              <w:spacing w:after="0"/>
            </w:pPr>
            <w:r>
              <w:t>Réintègre les 5 pires individus (maintien de diversité)</w:t>
            </w:r>
          </w:p>
        </w:tc>
      </w:tr>
      <w:tr>
        <w:tc>
          <w:tcPr>
            <w:tcW w:type="dxa" w:w="3022"/>
          </w:tcPr>
          <w:p>
            <w:pPr>
              <w:spacing w:after="0"/>
            </w:pPr>
            <w:r>
              <w:t>Reseeds</w:t>
            </w:r>
          </w:p>
        </w:tc>
        <w:tc>
          <w:tcPr>
            <w:tcW w:type="dxa" w:w="3022"/>
          </w:tcPr>
          <w:p>
            <w:pPr>
              <w:spacing w:after="0"/>
            </w:pPr>
            <w:r>
              <w:t>n_reseeds=5</w:t>
            </w:r>
          </w:p>
        </w:tc>
        <w:tc>
          <w:tcPr>
            <w:tcW w:type="dxa" w:w="3022"/>
          </w:tcPr>
          <w:p>
            <w:pPr>
              <w:spacing w:after="0"/>
            </w:pPr>
            <w:r>
              <w:t>Injecte 5 individus aléatoires par génération</w:t>
            </w:r>
          </w:p>
        </w:tc>
      </w:tr>
    </w:tbl>
    <w:p/>
    <w:p>
      <w:pPr>
        <w:spacing w:after="120"/>
      </w:pPr>
      <w:r>
        <w:rPr>
          <w:b/>
        </w:rPr>
        <w:t xml:space="preserve">Distinction élitisme / étalon : </w:t>
      </w:r>
      <w:r>
        <w:rPr>
          <w:b w:val="0"/>
        </w:rPr>
        <w:t>L'élitisme copie les meilleurs individus tels quels dans la génération suivante — il agit sur la composition de la population. L'étalon oriente les croisements vers le champion global sans nécessairement le conserver dans la population — il agit sur la direction de l'exploration. Dans les configurations sans élitisme, l'étalon peut donc disparaître de la population tout en continuant d'influencer les appariements, ce qui est un comportement voulu et documenté.</w:t>
      </w:r>
    </w:p>
    <w:p>
      <w:pPr>
        <w:pStyle w:val="Heading2"/>
      </w:pPr>
      <w:r>
        <w:rPr>
          <w:color w:val="2E74B5"/>
        </w:rPr>
        <w:t>3.6 Budget d'évaluations</w:t>
      </w:r>
    </w:p>
    <w:tbl>
      <w:tblPr>
        <w:tblStyle w:val="LightGrid-Accent1"/>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295"/>
            <w:shd w:val="clear" w:color="auto" w:fill="2E74B5"/>
          </w:tcPr>
          <w:p>
            <w:r>
              <w:rPr>
                <w:b/>
                <w:color w:val="FFFFFF"/>
              </w:rPr>
              <w:t>Configuration</w:t>
            </w:r>
          </w:p>
        </w:tc>
        <w:tc>
          <w:tcPr>
            <w:tcW w:type="dxa" w:w="1295"/>
            <w:shd w:val="clear" w:color="auto" w:fill="2E74B5"/>
          </w:tcPr>
          <w:p>
            <w:r>
              <w:rPr>
                <w:b/>
                <w:color w:val="FFFFFF"/>
              </w:rPr>
              <w:t>n_elites</w:t>
            </w:r>
          </w:p>
        </w:tc>
        <w:tc>
          <w:tcPr>
            <w:tcW w:type="dxa" w:w="1295"/>
            <w:shd w:val="clear" w:color="auto" w:fill="2E74B5"/>
          </w:tcPr>
          <w:p>
            <w:r>
              <w:rPr>
                <w:b/>
                <w:color w:val="FFFFFF"/>
              </w:rPr>
              <w:t>n_losers</w:t>
            </w:r>
          </w:p>
        </w:tc>
        <w:tc>
          <w:tcPr>
            <w:tcW w:type="dxa" w:w="1295"/>
            <w:shd w:val="clear" w:color="auto" w:fill="2E74B5"/>
          </w:tcPr>
          <w:p>
            <w:r>
              <w:rPr>
                <w:b/>
                <w:color w:val="FFFFFF"/>
              </w:rPr>
              <w:t>n_reseeds</w:t>
            </w:r>
          </w:p>
        </w:tc>
        <w:tc>
          <w:tcPr>
            <w:tcW w:type="dxa" w:w="1295"/>
            <w:shd w:val="clear" w:color="auto" w:fill="2E74B5"/>
          </w:tcPr>
          <w:p>
            <w:r>
              <w:rPr>
                <w:b/>
                <w:color w:val="FFFFFF"/>
              </w:rPr>
              <w:t>Évals/génération</w:t>
            </w:r>
          </w:p>
        </w:tc>
        <w:tc>
          <w:tcPr>
            <w:tcW w:type="dxa" w:w="1295"/>
            <w:shd w:val="clear" w:color="auto" w:fill="2E74B5"/>
          </w:tcPr>
          <w:p>
            <w:r>
              <w:rPr>
                <w:b/>
                <w:color w:val="FFFFFF"/>
              </w:rPr>
              <w:t>Générations</w:t>
            </w:r>
          </w:p>
        </w:tc>
        <w:tc>
          <w:tcPr>
            <w:tcW w:type="dxa" w:w="1295"/>
            <w:shd w:val="clear" w:color="auto" w:fill="2E74B5"/>
          </w:tcPr>
          <w:p>
            <w:r>
              <w:rPr>
                <w:b/>
                <w:color w:val="FFFFFF"/>
              </w:rPr>
              <w:t>Budget total</w:t>
            </w:r>
          </w:p>
        </w:tc>
      </w:tr>
      <w:tr>
        <w:tc>
          <w:tcPr>
            <w:tcW w:type="dxa" w:w="1295"/>
          </w:tcPr>
          <w:p/>
        </w:tc>
        <w:tc>
          <w:tcPr>
            <w:tcW w:type="dxa" w:w="1295"/>
          </w:tcPr>
          <w:p/>
        </w:tc>
        <w:tc>
          <w:tcPr>
            <w:tcW w:type="dxa" w:w="1295"/>
          </w:tcPr>
          <w:p/>
        </w:tc>
        <w:tc>
          <w:tcPr>
            <w:tcW w:type="dxa" w:w="1295"/>
          </w:tcPr>
          <w:p/>
        </w:tc>
        <w:tc>
          <w:tcPr>
            <w:tcW w:type="dxa" w:w="1295"/>
          </w:tcPr>
          <w:p/>
        </w:tc>
        <w:tc>
          <w:tcPr>
            <w:tcW w:type="dxa" w:w="1295"/>
          </w:tcPr>
          <w:p/>
        </w:tc>
        <w:tc>
          <w:tcPr>
            <w:tcW w:type="dxa" w:w="1295"/>
          </w:tcPr>
          <w:p/>
        </w:tc>
      </w:tr>
      <w:tr>
        <w:tc>
          <w:tcPr>
            <w:tcW w:type="dxa" w:w="1295"/>
          </w:tcPr>
          <w:p/>
        </w:tc>
        <w:tc>
          <w:tcPr>
            <w:tcW w:type="dxa" w:w="1295"/>
          </w:tcPr>
          <w:p/>
        </w:tc>
        <w:tc>
          <w:tcPr>
            <w:tcW w:type="dxa" w:w="1295"/>
          </w:tcPr>
          <w:p/>
        </w:tc>
        <w:tc>
          <w:tcPr>
            <w:tcW w:type="dxa" w:w="1295"/>
          </w:tcPr>
          <w:p/>
        </w:tc>
        <w:tc>
          <w:tcPr>
            <w:tcW w:type="dxa" w:w="1295"/>
          </w:tcPr>
          <w:p/>
        </w:tc>
        <w:tc>
          <w:tcPr>
            <w:tcW w:type="dxa" w:w="1295"/>
          </w:tcPr>
          <w:p/>
        </w:tc>
        <w:tc>
          <w:tcPr>
            <w:tcW w:type="dxa" w:w="1295"/>
          </w:tcPr>
          <w:p/>
        </w:tc>
      </w:tr>
      <w:tr>
        <w:tc>
          <w:tcPr>
            <w:tcW w:type="dxa" w:w="1295"/>
          </w:tcPr>
          <w:p/>
        </w:tc>
        <w:tc>
          <w:tcPr>
            <w:tcW w:type="dxa" w:w="1295"/>
          </w:tcPr>
          <w:p/>
        </w:tc>
        <w:tc>
          <w:tcPr>
            <w:tcW w:type="dxa" w:w="1295"/>
          </w:tcPr>
          <w:p/>
        </w:tc>
        <w:tc>
          <w:tcPr>
            <w:tcW w:type="dxa" w:w="1295"/>
          </w:tcPr>
          <w:p/>
        </w:tc>
        <w:tc>
          <w:tcPr>
            <w:tcW w:type="dxa" w:w="1295"/>
          </w:tcPr>
          <w:p/>
        </w:tc>
        <w:tc>
          <w:tcPr>
            <w:tcW w:type="dxa" w:w="1295"/>
          </w:tcPr>
          <w:p/>
        </w:tc>
        <w:tc>
          <w:tcPr>
            <w:tcW w:type="dxa" w:w="1295"/>
          </w:tcPr>
          <w:p/>
        </w:tc>
      </w:tr>
      <w:tr>
        <w:tc>
          <w:tcPr>
            <w:tcW w:type="dxa" w:w="1295"/>
          </w:tcPr>
          <w:p/>
        </w:tc>
        <w:tc>
          <w:tcPr>
            <w:tcW w:type="dxa" w:w="1295"/>
          </w:tcPr>
          <w:p/>
        </w:tc>
        <w:tc>
          <w:tcPr>
            <w:tcW w:type="dxa" w:w="1295"/>
          </w:tcPr>
          <w:p/>
        </w:tc>
        <w:tc>
          <w:tcPr>
            <w:tcW w:type="dxa" w:w="1295"/>
          </w:tcPr>
          <w:p/>
        </w:tc>
        <w:tc>
          <w:tcPr>
            <w:tcW w:type="dxa" w:w="1295"/>
          </w:tcPr>
          <w:p/>
        </w:tc>
        <w:tc>
          <w:tcPr>
            <w:tcW w:type="dxa" w:w="1295"/>
          </w:tcPr>
          <w:p/>
        </w:tc>
        <w:tc>
          <w:tcPr>
            <w:tcW w:type="dxa" w:w="1295"/>
          </w:tcPr>
          <w:p/>
        </w:tc>
      </w:tr>
      <w:tr>
        <w:tc>
          <w:tcPr>
            <w:tcW w:type="dxa" w:w="1295"/>
          </w:tcPr>
          <w:p>
            <w:pPr>
              <w:spacing w:after="0"/>
            </w:pPr>
            <w:r>
              <w:t>GA (single_point + étalon + losers)</w:t>
            </w:r>
          </w:p>
        </w:tc>
        <w:tc>
          <w:tcPr>
            <w:tcW w:type="dxa" w:w="1295"/>
          </w:tcPr>
          <w:p>
            <w:pPr>
              <w:spacing w:after="0"/>
            </w:pPr>
            <w:r>
              <w:t>5</w:t>
            </w:r>
          </w:p>
        </w:tc>
        <w:tc>
          <w:tcPr>
            <w:tcW w:type="dxa" w:w="1295"/>
          </w:tcPr>
          <w:p>
            <w:pPr>
              <w:spacing w:after="0"/>
            </w:pPr>
            <w:r>
              <w:t>5</w:t>
            </w:r>
          </w:p>
        </w:tc>
        <w:tc>
          <w:tcPr>
            <w:tcW w:type="dxa" w:w="1295"/>
          </w:tcPr>
          <w:p>
            <w:pPr>
              <w:spacing w:after="0"/>
            </w:pPr>
            <w:r>
              <w:t>5</w:t>
            </w:r>
          </w:p>
        </w:tc>
        <w:tc>
          <w:tcPr>
            <w:tcW w:type="dxa" w:w="1295"/>
          </w:tcPr>
          <w:p>
            <w:pPr>
              <w:spacing w:after="0"/>
            </w:pPr>
            <w:r>
              <w:t>~190</w:t>
            </w:r>
          </w:p>
        </w:tc>
        <w:tc>
          <w:tcPr>
            <w:tcW w:type="dxa" w:w="1295"/>
          </w:tcPr>
          <w:p>
            <w:pPr>
              <w:spacing w:after="0"/>
            </w:pPr>
            <w:r>
              <w:t>~105</w:t>
            </w:r>
          </w:p>
        </w:tc>
        <w:tc>
          <w:tcPr>
            <w:tcW w:type="dxa" w:w="1295"/>
          </w:tcPr>
          <w:p>
            <w:pPr>
              <w:spacing w:after="0"/>
            </w:pPr>
            <w:r>
              <w:t>~20 150</w:t>
            </w:r>
          </w:p>
        </w:tc>
      </w:tr>
      <w:tr>
        <w:tc>
          <w:tcPr>
            <w:tcW w:type="dxa" w:w="1295"/>
          </w:tcPr>
          <w:p>
            <w:pPr>
              <w:spacing w:after="0"/>
            </w:pPr>
            <w:r>
              <w:t>GA sans losers (exp. iii)</w:t>
            </w:r>
          </w:p>
        </w:tc>
        <w:tc>
          <w:tcPr>
            <w:tcW w:type="dxa" w:w="1295"/>
          </w:tcPr>
          <w:p>
            <w:pPr>
              <w:spacing w:after="0"/>
            </w:pPr>
            <w:r>
              <w:t>5</w:t>
            </w:r>
          </w:p>
        </w:tc>
        <w:tc>
          <w:tcPr>
            <w:tcW w:type="dxa" w:w="1295"/>
          </w:tcPr>
          <w:p>
            <w:pPr>
              <w:spacing w:after="0"/>
            </w:pPr>
            <w:r>
              <w:t>0</w:t>
            </w:r>
          </w:p>
        </w:tc>
        <w:tc>
          <w:tcPr>
            <w:tcW w:type="dxa" w:w="1295"/>
          </w:tcPr>
          <w:p>
            <w:pPr>
              <w:spacing w:after="0"/>
            </w:pPr>
            <w:r>
              <w:t>5</w:t>
            </w:r>
          </w:p>
        </w:tc>
        <w:tc>
          <w:tcPr>
            <w:tcW w:type="dxa" w:w="1295"/>
          </w:tcPr>
          <w:p>
            <w:pPr>
              <w:spacing w:after="0"/>
            </w:pPr>
            <w:r>
              <w:t>~195</w:t>
            </w:r>
          </w:p>
        </w:tc>
        <w:tc>
          <w:tcPr>
            <w:tcW w:type="dxa" w:w="1295"/>
          </w:tcPr>
          <w:p>
            <w:pPr>
              <w:spacing w:after="0"/>
            </w:pPr>
            <w:r>
              <w:t>~102</w:t>
            </w:r>
          </w:p>
        </w:tc>
        <w:tc>
          <w:tcPr>
            <w:tcW w:type="dxa" w:w="1295"/>
          </w:tcPr>
          <w:p>
            <w:pPr>
              <w:spacing w:after="0"/>
            </w:pPr>
            <w:r>
              <w:t>~19 890</w:t>
            </w:r>
          </w:p>
        </w:tc>
      </w:tr>
      <w:tr>
        <w:tc>
          <w:tcPr>
            <w:tcW w:type="dxa" w:w="1295"/>
          </w:tcPr>
          <w:p>
            <w:pPr>
              <w:spacing w:after="0"/>
            </w:pPr>
            <w:r>
              <w:t>GA sans étalon (exp. ii)</w:t>
            </w:r>
          </w:p>
        </w:tc>
        <w:tc>
          <w:tcPr>
            <w:tcW w:type="dxa" w:w="1295"/>
          </w:tcPr>
          <w:p>
            <w:pPr>
              <w:spacing w:after="0"/>
            </w:pPr>
            <w:r>
              <w:t>5</w:t>
            </w:r>
          </w:p>
        </w:tc>
        <w:tc>
          <w:tcPr>
            <w:tcW w:type="dxa" w:w="1295"/>
          </w:tcPr>
          <w:p>
            <w:pPr>
              <w:spacing w:after="0"/>
            </w:pPr>
            <w:r>
              <w:t>5</w:t>
            </w:r>
          </w:p>
        </w:tc>
        <w:tc>
          <w:tcPr>
            <w:tcW w:type="dxa" w:w="1295"/>
          </w:tcPr>
          <w:p>
            <w:pPr>
              <w:spacing w:after="0"/>
            </w:pPr>
            <w:r>
              <w:t>5</w:t>
            </w:r>
          </w:p>
        </w:tc>
        <w:tc>
          <w:tcPr>
            <w:tcW w:type="dxa" w:w="1295"/>
          </w:tcPr>
          <w:p>
            <w:pPr>
              <w:spacing w:after="0"/>
            </w:pPr>
            <w:r>
              <w:t>~190</w:t>
            </w:r>
          </w:p>
        </w:tc>
        <w:tc>
          <w:tcPr>
            <w:tcW w:type="dxa" w:w="1295"/>
          </w:tcPr>
          <w:p>
            <w:pPr>
              <w:spacing w:after="0"/>
            </w:pPr>
            <w:r>
              <w:t>~105</w:t>
            </w:r>
          </w:p>
        </w:tc>
        <w:tc>
          <w:tcPr>
            <w:tcW w:type="dxa" w:w="1295"/>
          </w:tcPr>
          <w:p>
            <w:pPr>
              <w:spacing w:after="0"/>
            </w:pPr>
            <w:r>
              <w:t>~20 150</w:t>
            </w:r>
          </w:p>
        </w:tc>
      </w:tr>
      <w:tr>
        <w:tc>
          <w:tcPr>
            <w:tcW w:type="dxa" w:w="1295"/>
          </w:tcPr>
          <w:p>
            <w:pPr>
              <w:spacing w:after="0"/>
            </w:pPr>
            <w:r>
              <w:t>UMDA</w:t>
            </w:r>
          </w:p>
        </w:tc>
        <w:tc>
          <w:tcPr>
            <w:tcW w:type="dxa" w:w="1295"/>
          </w:tcPr>
          <w:p>
            <w:pPr>
              <w:spacing w:after="0"/>
            </w:pPr>
            <w:r>
              <w:t>—</w:t>
            </w:r>
          </w:p>
        </w:tc>
        <w:tc>
          <w:tcPr>
            <w:tcW w:type="dxa" w:w="1295"/>
          </w:tcPr>
          <w:p>
            <w:pPr>
              <w:spacing w:after="0"/>
            </w:pPr>
            <w:r>
              <w:t>—</w:t>
            </w:r>
          </w:p>
        </w:tc>
        <w:tc>
          <w:tcPr>
            <w:tcW w:type="dxa" w:w="1295"/>
          </w:tcPr>
          <w:p>
            <w:pPr>
              <w:spacing w:after="0"/>
            </w:pPr>
            <w:r>
              <w:t>—</w:t>
            </w:r>
          </w:p>
        </w:tc>
        <w:tc>
          <w:tcPr>
            <w:tcW w:type="dxa" w:w="1295"/>
          </w:tcPr>
          <w:p>
            <w:pPr>
              <w:spacing w:after="0"/>
            </w:pPr>
            <w:r>
              <w:t>199</w:t>
            </w:r>
          </w:p>
        </w:tc>
        <w:tc>
          <w:tcPr>
            <w:tcW w:type="dxa" w:w="1295"/>
          </w:tcPr>
          <w:p>
            <w:pPr>
              <w:spacing w:after="0"/>
            </w:pPr>
            <w:r>
              <w:t>~100</w:t>
            </w:r>
          </w:p>
        </w:tc>
        <w:tc>
          <w:tcPr>
            <w:tcW w:type="dxa" w:w="1295"/>
          </w:tcPr>
          <w:p>
            <w:pPr>
              <w:spacing w:after="0"/>
            </w:pPr>
            <w:r>
              <w:t>~19 900</w:t>
            </w:r>
          </w:p>
        </w:tc>
      </w:tr>
    </w:tbl>
    <w:p/>
    <w:p>
      <w:pPr>
        <w:spacing w:after="120"/>
      </w:pPr>
      <w:r>
        <w:t>Dans les comparaisons intra-GA (expériences i, ii, iii), la variation de budget entre configurations est au maximum de 260 évaluations (1,3 %), bien en deçà de la tolérance ±10 %. Cette différence n'affecte pas la comparabilité des courbes alignées sur le budget via forward-fill.</w:t>
      </w:r>
    </w:p>
    <w:p>
      <w:pPr>
        <w:pStyle w:val="Heading1"/>
      </w:pPr>
      <w:r>
        <w:rPr>
          <w:color w:val="1F3564"/>
        </w:rPr>
        <w:t>4. Algorithme d'Estimation de Distribution (UMDA)</w:t>
      </w:r>
    </w:p>
    <w:p>
      <w:pPr>
        <w:pStyle w:val="Heading2"/>
      </w:pPr>
      <w:r>
        <w:rPr>
          <w:color w:val="2E74B5"/>
        </w:rPr>
        <w:t>4.1 Principe</w:t>
      </w:r>
    </w:p>
    <w:p>
      <w:pPr>
        <w:spacing w:after="120"/>
      </w:pPr>
      <w:r>
        <w:t>L'UMDA modélise la distribution marginale de chaque position, puis échantillonne la génération suivante depuis ce modèle. L'hypothèse d'indépendance des positions simplifie le modèle mais constitue sa limitation principale pour ce problème linguistique.</w:t>
      </w:r>
    </w:p>
    <w:p>
      <w:pPr>
        <w:pStyle w:val="Heading2"/>
      </w:pPr>
      <w:r>
        <w:rPr>
          <w:color w:val="2E74B5"/>
        </w:rPr>
        <w:t>4.2 Distributions estimées</w:t>
      </w:r>
    </w:p>
    <w:p>
      <w:pPr>
        <w:spacing w:after="120"/>
      </w:pPr>
      <w:r>
        <w:t>Les top-50 % individus (100/200) servent à estimer, avec lissage de Laplace (α=0,01) :</w:t>
      </w:r>
    </w:p>
    <w:p>
      <w:pPr>
        <w:spacing w:after="60"/>
        <w:ind w:left="432"/>
      </w:pPr>
      <w:r>
        <w:t>P(L=l) = (count(l)+α) / (N_sel + α×|longueurs|)  — distribution de longueur</w:t>
      </w:r>
    </w:p>
    <w:p>
      <w:pPr>
        <w:spacing w:after="60"/>
        <w:ind w:left="432"/>
      </w:pPr>
      <w:r>
        <w:t>P(c|pos=i) = (count(c,i)+α) / (count(i) + α×43)  — distribution par position</w:t>
      </w:r>
    </w:p>
    <w:p/>
    <w:p>
      <w:pPr>
        <w:pStyle w:val="Heading2"/>
      </w:pPr>
      <w:r>
        <w:rPr>
          <w:color w:val="2E74B5"/>
        </w:rPr>
        <w:t>4.3 Élitisme inter-générations</w:t>
      </w:r>
    </w:p>
    <w:p>
      <w:pPr>
        <w:spacing w:after="120"/>
      </w:pPr>
      <w:r>
        <w:t>Contrairement à l'UMDA classique, l'implémentation intègre un mécanisme d'élitisme : le meilleur individu de la génération précédente (n_elites=1) est préservé dans la génération suivante. Ce mécanisme de mémoire inter-générations garantit la monotonie de la meilleure fitness et réduit la variance inter-runs (IQR). Sans ce mécanisme, la génération complète est remplacée à chaque itération, ce qui contribue à la variance élevée observée dans un UMDA classique.</w:t>
      </w:r>
    </w:p>
    <w:p>
      <w:pPr>
        <w:spacing w:after="120"/>
      </w:pPr>
      <w:r>
        <w:t>Budget avec élitisme : 199 évaluations/génération (population − n_elites). Écart vs GA : |190−199|/199 = 4,5 % &lt; ±10 % ✓</w:t>
      </w:r>
    </w:p>
    <w:p>
      <w:pPr>
        <w:pStyle w:val="Heading1"/>
      </w:pPr>
      <w:r>
        <w:rPr>
          <w:color w:val="1F3564"/>
        </w:rPr>
        <w:t>5. Interface et configuration</w:t>
      </w:r>
    </w:p>
    <w:p>
      <w:pPr>
        <w:pStyle w:val="Heading2"/>
      </w:pPr>
      <w:r>
        <w:rPr>
          <w:color w:val="2E74B5"/>
        </w:rPr>
        <w:t>5.1 Fichier YAML</w:t>
      </w:r>
    </w:p>
    <w:p>
      <w:pPr>
        <w:spacing w:after="120"/>
      </w:pPr>
      <w:r>
        <w:t>Tous les paramètres sont externalisés dans config.yaml :</w:t>
      </w:r>
    </w:p>
    <w:p>
      <w:pPr>
        <w:pStyle w:val="NoSpacing"/>
        <w:spacing w:before="60" w:after="60"/>
        <w:ind w:left="576"/>
      </w:pPr>
      <w:r>
        <w:rPr>
          <w:rFonts w:ascii="Courier New" w:hAnsi="Courier New"/>
          <w:color w:val="202020"/>
          <w:sz w:val="18"/>
        </w:rPr>
        <w:t>ga:</w:t>
        <w:br/>
        <w:t xml:space="preserve">  population_size: 200  max_evals: 20000</w:t>
        <w:br/>
        <w:t xml:space="preserve">  use_elitism: true     n_elites: 5</w:t>
        <w:br/>
        <w:t xml:space="preserve">  use_etalon: true      etalon_prob: 0.30</w:t>
        <w:br/>
        <w:t xml:space="preserve">  use_losers: true      n_losers: 5</w:t>
        <w:br/>
        <w:t xml:space="preserve">  pm: 0.15  pc: 0.80   crossover: "single_point"</w:t>
        <w:br/>
        <w:t>eda:</w:t>
        <w:br/>
        <w:t xml:space="preserve">  population_size: 200  max_evals: 20000</w:t>
        <w:br/>
        <w:t xml:space="preserve">  selection_ratio: 0.50 smoothing: 0.01  n_elites: 1</w:t>
      </w:r>
    </w:p>
    <w:p>
      <w:pPr>
        <w:pStyle w:val="Heading2"/>
      </w:pPr>
      <w:r>
        <w:rPr>
          <w:color w:val="2E74B5"/>
        </w:rPr>
        <w:t>5.2 CLI</w:t>
      </w:r>
    </w:p>
    <w:p>
      <w:pPr>
        <w:pStyle w:val="NoSpacing"/>
        <w:spacing w:before="60" w:after="60"/>
        <w:ind w:left="576"/>
      </w:pPr>
      <w:r>
        <w:rPr>
          <w:rFonts w:ascii="Courier New" w:hAnsi="Courier New"/>
          <w:color w:val="202020"/>
          <w:sz w:val="18"/>
        </w:rPr>
        <w:t>python main.py                        # toutes les expériences</w:t>
        <w:br/>
        <w:t>python main.py --mode exp_crossover   # expérience i</w:t>
        <w:br/>
        <w:t>python main.py --config cfg.yaml --verbosity 2</w:t>
        <w:br/>
        <w:t>python main.py --force-rebuild        # reconstruire le modèle</w:t>
      </w:r>
    </w:p>
    <w:p>
      <w:pPr>
        <w:spacing w:after="120"/>
      </w:pPr>
      <w:r>
        <w:t>Reproductibilité : générateur PCG64 initialisé par seed fixe. Les seeds sont sauvegardées dans chaque ligne du DataFrame résultat.</w:t>
      </w:r>
    </w:p>
    <w:p>
      <w:pPr>
        <w:pStyle w:val="Heading1"/>
      </w:pPr>
      <w:r>
        <w:rPr>
          <w:color w:val="1F3564"/>
        </w:rPr>
        <w:t>6. Protocole expérimental Monte-Carlo</w:t>
      </w:r>
    </w:p>
    <w:p>
      <w:pPr>
        <w:spacing w:after="120"/>
      </w:pPr>
      <w:r>
        <w:t>10 runs indépendants par configuration, seeds PCG64 : 42, 123, 456, 789, 1337, 2024, 271828, 314159, 11235, 17711. Mêmes seeds pour toutes les configurations comparées. Métriques enregistrées à chaque génération : eval_count, best_fitness, diversity (fraction mots uniques), pop_best_fitness. Alignement sur 100 checkpoints uniformes (forward-fill) pour les graphiques.</w:t>
      </w:r>
    </w:p>
    <w:p>
      <w:pPr>
        <w:pStyle w:val="Heading1"/>
      </w:pPr>
      <w:r>
        <w:rPr>
          <w:color w:val="1F3564"/>
        </w:rPr>
        <w:t>7. Résultats et analyse</w:t>
      </w:r>
    </w:p>
    <w:p>
      <w:pPr>
        <w:pStyle w:val="Heading2"/>
      </w:pPr>
      <w:r>
        <w:rPr>
          <w:color w:val="2E74B5"/>
        </w:rPr>
        <w:t>7.1 Expérience i — Comparaison des opérateurs de croisement</w:t>
      </w:r>
    </w:p>
    <w:p>
      <w:pPr>
        <w:spacing w:after="120"/>
      </w:pPr>
      <w:r>
        <w:t>Variable isolée : single_point vs uniform. GA avec étalon + losers + élitisme.</w:t>
      </w:r>
    </w:p>
    <w:tbl>
      <w:tblPr>
        <w:tblStyle w:val="LightGrid-Accent1"/>
        <w:tblW w:type="auto" w:w="0"/>
        <w:jc w:val="center"/>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shd w:val="clear" w:color="auto" w:fill="2E74B5"/>
          </w:tcPr>
          <w:p>
            <w:r>
              <w:rPr>
                <w:b/>
                <w:color w:val="FFFFFF"/>
              </w:rPr>
              <w:t>Algorithme</w:t>
            </w:r>
          </w:p>
        </w:tc>
        <w:tc>
          <w:tcPr>
            <w:tcW w:type="dxa" w:w="1007"/>
            <w:shd w:val="clear" w:color="auto" w:fill="2E74B5"/>
          </w:tcPr>
          <w:p>
            <w:r>
              <w:rPr>
                <w:b/>
                <w:color w:val="FFFFFF"/>
              </w:rPr>
              <w:t>n</w:t>
            </w:r>
          </w:p>
        </w:tc>
        <w:tc>
          <w:tcPr>
            <w:tcW w:type="dxa" w:w="1007"/>
            <w:shd w:val="clear" w:color="auto" w:fill="2E74B5"/>
          </w:tcPr>
          <w:p>
            <w:r>
              <w:rPr>
                <w:b/>
                <w:color w:val="FFFFFF"/>
              </w:rPr>
              <w:t>Meilleur</w:t>
            </w:r>
          </w:p>
        </w:tc>
        <w:tc>
          <w:tcPr>
            <w:tcW w:type="dxa" w:w="1007"/>
            <w:shd w:val="clear" w:color="auto" w:fill="2E74B5"/>
          </w:tcPr>
          <w:p>
            <w:r>
              <w:rPr>
                <w:b/>
                <w:color w:val="FFFFFF"/>
              </w:rPr>
              <w:t>Médiane</w:t>
            </w:r>
          </w:p>
        </w:tc>
        <w:tc>
          <w:tcPr>
            <w:tcW w:type="dxa" w:w="1007"/>
            <w:shd w:val="clear" w:color="auto" w:fill="2E74B5"/>
          </w:tcPr>
          <w:p>
            <w:r>
              <w:rPr>
                <w:b/>
                <w:color w:val="FFFFFF"/>
              </w:rPr>
              <w:t>Q1</w:t>
            </w:r>
          </w:p>
        </w:tc>
        <w:tc>
          <w:tcPr>
            <w:tcW w:type="dxa" w:w="1007"/>
            <w:shd w:val="clear" w:color="auto" w:fill="2E74B5"/>
          </w:tcPr>
          <w:p>
            <w:r>
              <w:rPr>
                <w:b/>
                <w:color w:val="FFFFFF"/>
              </w:rPr>
              <w:t>Q3</w:t>
            </w:r>
          </w:p>
        </w:tc>
        <w:tc>
          <w:tcPr>
            <w:tcW w:type="dxa" w:w="1007"/>
            <w:shd w:val="clear" w:color="auto" w:fill="2E74B5"/>
          </w:tcPr>
          <w:p>
            <w:r>
              <w:rPr>
                <w:b/>
                <w:color w:val="FFFFFF"/>
              </w:rPr>
              <w:t>IQR</w:t>
            </w:r>
          </w:p>
        </w:tc>
        <w:tc>
          <w:tcPr>
            <w:tcW w:type="dxa" w:w="1007"/>
            <w:shd w:val="clear" w:color="auto" w:fill="2E74B5"/>
          </w:tcPr>
          <w:p>
            <w:r>
              <w:rPr>
                <w:b/>
                <w:color w:val="FFFFFF"/>
              </w:rPr>
              <w:t>Std</w:t>
            </w:r>
          </w:p>
        </w:tc>
        <w:tc>
          <w:tcPr>
            <w:tcW w:type="dxa" w:w="1007"/>
            <w:shd w:val="clear" w:color="auto" w:fill="2E74B5"/>
          </w:tcPr>
          <w:p>
            <w:r>
              <w:rPr>
                <w:b/>
                <w:color w:val="FFFFFF"/>
              </w:rPr>
              <w:t>Pire</w:t>
            </w:r>
          </w:p>
        </w:tc>
      </w:tr>
      <w:tr>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r>
      <w:tr>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r>
      <w:tr>
        <w:tc>
          <w:tcPr>
            <w:tcW w:type="dxa" w:w="1007"/>
          </w:tcPr>
          <w:p>
            <w:pPr>
              <w:spacing w:after="0"/>
            </w:pPr>
            <w:r>
              <w:t>GA_single_point</w:t>
            </w:r>
          </w:p>
        </w:tc>
        <w:tc>
          <w:tcPr>
            <w:tcW w:type="dxa" w:w="1007"/>
          </w:tcPr>
          <w:p>
            <w:pPr>
              <w:spacing w:after="0"/>
            </w:pPr>
            <w:r>
              <w:t>10</w:t>
            </w:r>
          </w:p>
        </w:tc>
        <w:tc>
          <w:tcPr>
            <w:tcW w:type="dxa" w:w="1007"/>
          </w:tcPr>
          <w:p>
            <w:pPr>
              <w:spacing w:after="0"/>
            </w:pPr>
            <w:r>
              <w:t>2.6596</w:t>
            </w:r>
          </w:p>
        </w:tc>
        <w:tc>
          <w:tcPr>
            <w:tcW w:type="dxa" w:w="1007"/>
          </w:tcPr>
          <w:p>
            <w:pPr>
              <w:spacing w:after="0"/>
            </w:pPr>
            <w:r>
              <w:t>3.0230</w:t>
            </w:r>
          </w:p>
        </w:tc>
        <w:tc>
          <w:tcPr>
            <w:tcW w:type="dxa" w:w="1007"/>
          </w:tcPr>
          <w:p>
            <w:pPr>
              <w:spacing w:after="0"/>
            </w:pPr>
            <w:r>
              <w:t>2.7298</w:t>
            </w:r>
          </w:p>
        </w:tc>
        <w:tc>
          <w:tcPr>
            <w:tcW w:type="dxa" w:w="1007"/>
          </w:tcPr>
          <w:p>
            <w:pPr>
              <w:spacing w:after="0"/>
            </w:pPr>
            <w:r>
              <w:t>3.1395</w:t>
            </w:r>
          </w:p>
        </w:tc>
        <w:tc>
          <w:tcPr>
            <w:tcW w:type="dxa" w:w="1007"/>
          </w:tcPr>
          <w:p>
            <w:pPr>
              <w:spacing w:after="0"/>
            </w:pPr>
            <w:r>
              <w:t>0.4098</w:t>
            </w:r>
          </w:p>
        </w:tc>
        <w:tc>
          <w:tcPr>
            <w:tcW w:type="dxa" w:w="1007"/>
          </w:tcPr>
          <w:p>
            <w:pPr>
              <w:spacing w:after="0"/>
            </w:pPr>
            <w:r>
              <w:t>0.4120</w:t>
            </w:r>
          </w:p>
        </w:tc>
        <w:tc>
          <w:tcPr>
            <w:tcW w:type="dxa" w:w="1007"/>
          </w:tcPr>
          <w:p>
            <w:pPr>
              <w:spacing w:after="0"/>
            </w:pPr>
            <w:r>
              <w:t>4.0559</w:t>
            </w:r>
          </w:p>
        </w:tc>
      </w:tr>
      <w:tr>
        <w:tc>
          <w:tcPr>
            <w:tcW w:type="dxa" w:w="1007"/>
          </w:tcPr>
          <w:p>
            <w:pPr>
              <w:spacing w:after="0"/>
            </w:pPr>
            <w:r>
              <w:t>GA_uniform</w:t>
            </w:r>
          </w:p>
        </w:tc>
        <w:tc>
          <w:tcPr>
            <w:tcW w:type="dxa" w:w="1007"/>
          </w:tcPr>
          <w:p>
            <w:pPr>
              <w:spacing w:after="0"/>
            </w:pPr>
            <w:r>
              <w:t>10</w:t>
            </w:r>
          </w:p>
        </w:tc>
        <w:tc>
          <w:tcPr>
            <w:tcW w:type="dxa" w:w="1007"/>
          </w:tcPr>
          <w:p>
            <w:pPr>
              <w:spacing w:after="0"/>
            </w:pPr>
            <w:r>
              <w:t>2.6596</w:t>
            </w:r>
          </w:p>
        </w:tc>
        <w:tc>
          <w:tcPr>
            <w:tcW w:type="dxa" w:w="1007"/>
          </w:tcPr>
          <w:p>
            <w:pPr>
              <w:spacing w:after="0"/>
            </w:pPr>
            <w:r>
              <w:t>3.0230</w:t>
            </w:r>
          </w:p>
        </w:tc>
        <w:tc>
          <w:tcPr>
            <w:tcW w:type="dxa" w:w="1007"/>
          </w:tcPr>
          <w:p>
            <w:pPr>
              <w:spacing w:after="0"/>
            </w:pPr>
            <w:r>
              <w:t>2.9404</w:t>
            </w:r>
          </w:p>
        </w:tc>
        <w:tc>
          <w:tcPr>
            <w:tcW w:type="dxa" w:w="1007"/>
          </w:tcPr>
          <w:p>
            <w:pPr>
              <w:spacing w:after="0"/>
            </w:pPr>
            <w:r>
              <w:t>3.2089</w:t>
            </w:r>
          </w:p>
        </w:tc>
        <w:tc>
          <w:tcPr>
            <w:tcW w:type="dxa" w:w="1007"/>
          </w:tcPr>
          <w:p>
            <w:pPr>
              <w:spacing w:after="0"/>
            </w:pPr>
            <w:r>
              <w:t>0.2685</w:t>
            </w:r>
          </w:p>
        </w:tc>
        <w:tc>
          <w:tcPr>
            <w:tcW w:type="dxa" w:w="1007"/>
          </w:tcPr>
          <w:p>
            <w:pPr>
              <w:spacing w:after="0"/>
            </w:pPr>
            <w:r>
              <w:t>0.3808</w:t>
            </w:r>
          </w:p>
        </w:tc>
        <w:tc>
          <w:tcPr>
            <w:tcW w:type="dxa" w:w="1007"/>
          </w:tcPr>
          <w:p>
            <w:pPr>
              <w:spacing w:after="0"/>
            </w:pPr>
            <w:r>
              <w:t>3.8595</w:t>
            </w:r>
          </w:p>
        </w:tc>
      </w:tr>
    </w:tbl>
    <w:p/>
    <w:p>
      <w:pPr>
        <w:jc w:val="center"/>
      </w:pPr>
      <w:r>
        <w:drawing>
          <wp:inline xmlns:a="http://schemas.openxmlformats.org/drawingml/2006/main" xmlns:pic="http://schemas.openxmlformats.org/drawingml/2006/picture">
            <wp:extent cx="5486400" cy="3273561"/>
            <wp:docPr id="1" name="Picture 1"/>
            <wp:cNvGraphicFramePr>
              <a:graphicFrameLocks noChangeAspect="1"/>
            </wp:cNvGraphicFramePr>
            <a:graphic>
              <a:graphicData uri="http://schemas.openxmlformats.org/drawingml/2006/picture">
                <pic:pic>
                  <pic:nvPicPr>
                    <pic:cNvPr id="0" name="exp_crossover_convergence.png"/>
                    <pic:cNvPicPr/>
                  </pic:nvPicPr>
                  <pic:blipFill>
                    <a:blip r:embed="rId9"/>
                    <a:stretch>
                      <a:fillRect/>
                    </a:stretch>
                  </pic:blipFill>
                  <pic:spPr>
                    <a:xfrm>
                      <a:off x="0" y="0"/>
                      <a:ext cx="5486400" cy="3273561"/>
                    </a:xfrm>
                    <a:prstGeom prst="rect"/>
                  </pic:spPr>
                </pic:pic>
              </a:graphicData>
            </a:graphic>
          </wp:inline>
        </w:drawing>
      </w:r>
    </w:p>
    <w:p>
      <w:pPr>
        <w:spacing w:after="240"/>
        <w:jc w:val="center"/>
      </w:pPr>
      <w:r>
        <w:rPr>
          <w:i/>
          <w:color w:val="555555"/>
          <w:sz w:val="18"/>
        </w:rPr>
        <w:t>Figure 1 — Convergence : croisement monopont vs uniforme (médiane ± IQR, 10 runs)</w:t>
      </w:r>
    </w:p>
    <w:p/>
    <w:p>
      <w:pPr>
        <w:jc w:val="center"/>
      </w:pPr>
      <w:r>
        <w:drawing>
          <wp:inline xmlns:a="http://schemas.openxmlformats.org/drawingml/2006/main" xmlns:pic="http://schemas.openxmlformats.org/drawingml/2006/picture">
            <wp:extent cx="5486400" cy="4557289"/>
            <wp:docPr id="2" name="Picture 2"/>
            <wp:cNvGraphicFramePr>
              <a:graphicFrameLocks noChangeAspect="1"/>
            </wp:cNvGraphicFramePr>
            <a:graphic>
              <a:graphicData uri="http://schemas.openxmlformats.org/drawingml/2006/picture">
                <pic:pic>
                  <pic:nvPicPr>
                    <pic:cNvPr id="0" name="exp_crossover_boxplot.png"/>
                    <pic:cNvPicPr/>
                  </pic:nvPicPr>
                  <pic:blipFill>
                    <a:blip r:embed="rId10"/>
                    <a:stretch>
                      <a:fillRect/>
                    </a:stretch>
                  </pic:blipFill>
                  <pic:spPr>
                    <a:xfrm>
                      <a:off x="0" y="0"/>
                      <a:ext cx="5486400" cy="4557289"/>
                    </a:xfrm>
                    <a:prstGeom prst="rect"/>
                  </pic:spPr>
                </pic:pic>
              </a:graphicData>
            </a:graphic>
          </wp:inline>
        </w:drawing>
      </w:r>
    </w:p>
    <w:p>
      <w:pPr>
        <w:spacing w:after="240"/>
        <w:jc w:val="center"/>
      </w:pPr>
      <w:r>
        <w:rPr>
          <w:i/>
          <w:color w:val="555555"/>
          <w:sz w:val="18"/>
        </w:rPr>
        <w:t>Figure 2 — Distribution des fitness finales : monopont vs uniforme</w:t>
      </w:r>
    </w:p>
    <w:p/>
    <w:p>
      <w:pPr>
        <w:jc w:val="center"/>
      </w:pPr>
      <w:r>
        <w:drawing>
          <wp:inline xmlns:a="http://schemas.openxmlformats.org/drawingml/2006/main" xmlns:pic="http://schemas.openxmlformats.org/drawingml/2006/picture">
            <wp:extent cx="5486400" cy="2722429"/>
            <wp:docPr id="3" name="Picture 3"/>
            <wp:cNvGraphicFramePr>
              <a:graphicFrameLocks noChangeAspect="1"/>
            </wp:cNvGraphicFramePr>
            <a:graphic>
              <a:graphicData uri="http://schemas.openxmlformats.org/drawingml/2006/picture">
                <pic:pic>
                  <pic:nvPicPr>
                    <pic:cNvPr id="0" name="exp_crossover_diversity.png"/>
                    <pic:cNvPicPr/>
                  </pic:nvPicPr>
                  <pic:blipFill>
                    <a:blip r:embed="rId11"/>
                    <a:stretch>
                      <a:fillRect/>
                    </a:stretch>
                  </pic:blipFill>
                  <pic:spPr>
                    <a:xfrm>
                      <a:off x="0" y="0"/>
                      <a:ext cx="5486400" cy="2722429"/>
                    </a:xfrm>
                    <a:prstGeom prst="rect"/>
                  </pic:spPr>
                </pic:pic>
              </a:graphicData>
            </a:graphic>
          </wp:inline>
        </w:drawing>
      </w:r>
    </w:p>
    <w:p>
      <w:pPr>
        <w:spacing w:after="240"/>
        <w:jc w:val="center"/>
      </w:pPr>
      <w:r>
        <w:rPr>
          <w:i/>
          <w:color w:val="555555"/>
          <w:sz w:val="18"/>
        </w:rPr>
        <w:t>Figure 3 — Évolution de la diversité : monopont vs uniforme</w:t>
      </w:r>
    </w:p>
    <w:p/>
    <w:p>
      <w:pPr>
        <w:spacing w:after="120"/>
      </w:pPr>
      <w:r>
        <w:t>Les deux opérateurs atteignent la même médiane (3,023) et la même meilleure solution (2,660). La différence réside dans la dispersion : le croisement uniforme est plus consistant (IQR = 0,27 vs 0,41, std = 0,38 vs 0,41).</w:t>
      </w:r>
    </w:p>
    <w:p>
      <w:pPr>
        <w:spacing w:after="120"/>
      </w:pPr>
      <w:r>
        <w:rPr>
          <w:b/>
        </w:rPr>
        <w:t xml:space="preserve">Analyse de la diversité (Fig. 3) : </w:t>
      </w:r>
      <w:r>
        <w:rPr>
          <w:b w:val="0"/>
        </w:rPr>
        <w:t>Le croisement uniforme maintient une diversité systématiquement plus élevée tout au long de l'optimisation. À 5 000 évaluations, la diversité médiane est de 68,3 % pour l'uniforme contre 59,3 % pour le monopont (Δ = 9,0 pts). À 20 000 évaluations : 61,0 % vs 54,2 % (Δ = 6,8 pts). Cela confirme que le croisement uniforme explore plus largement l'espace (brassage total des caractères), tandis que le monopont concentre la recherche autour de préfixes phonotactiques — ce qui s'avère légèrement plus efficace pour ce problème linguistique malgré une diversité moindre.</w:t>
      </w:r>
    </w:p>
    <w:p>
      <w:pPr>
        <w:spacing w:after="120"/>
      </w:pPr>
      <w:r>
        <w:t>Conclusion : les deux croisements sont équivalents en médiane. Le monopont est retenu pour la meilleure configuration car il préserve les blocs phonotactiques locaux, alignés avec la structure du critère objectif.</w:t>
      </w:r>
    </w:p>
    <w:p>
      <w:pPr>
        <w:pStyle w:val="Heading2"/>
      </w:pPr>
      <w:r>
        <w:rPr>
          <w:color w:val="2E74B5"/>
        </w:rPr>
        <w:t>7.2 Expérience ii — Effet de la logique de l'étalon</w:t>
      </w:r>
    </w:p>
    <w:p>
      <w:pPr>
        <w:spacing w:after="120"/>
      </w:pPr>
      <w:r>
        <w:t>Variable isolée : use_etalon = True vs False. GA single_point + losers + élitisme.</w:t>
      </w:r>
    </w:p>
    <w:tbl>
      <w:tblPr>
        <w:tblStyle w:val="LightGrid-Accent1"/>
        <w:tblW w:type="auto" w:w="0"/>
        <w:jc w:val="center"/>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shd w:val="clear" w:color="auto" w:fill="2E74B5"/>
          </w:tcPr>
          <w:p>
            <w:r>
              <w:rPr>
                <w:b/>
                <w:color w:val="FFFFFF"/>
              </w:rPr>
              <w:t>Algorithme</w:t>
            </w:r>
          </w:p>
        </w:tc>
        <w:tc>
          <w:tcPr>
            <w:tcW w:type="dxa" w:w="1007"/>
            <w:shd w:val="clear" w:color="auto" w:fill="2E74B5"/>
          </w:tcPr>
          <w:p>
            <w:r>
              <w:rPr>
                <w:b/>
                <w:color w:val="FFFFFF"/>
              </w:rPr>
              <w:t>n</w:t>
            </w:r>
          </w:p>
        </w:tc>
        <w:tc>
          <w:tcPr>
            <w:tcW w:type="dxa" w:w="1007"/>
            <w:shd w:val="clear" w:color="auto" w:fill="2E74B5"/>
          </w:tcPr>
          <w:p>
            <w:r>
              <w:rPr>
                <w:b/>
                <w:color w:val="FFFFFF"/>
              </w:rPr>
              <w:t>Meilleur</w:t>
            </w:r>
          </w:p>
        </w:tc>
        <w:tc>
          <w:tcPr>
            <w:tcW w:type="dxa" w:w="1007"/>
            <w:shd w:val="clear" w:color="auto" w:fill="2E74B5"/>
          </w:tcPr>
          <w:p>
            <w:r>
              <w:rPr>
                <w:b/>
                <w:color w:val="FFFFFF"/>
              </w:rPr>
              <w:t>Médiane</w:t>
            </w:r>
          </w:p>
        </w:tc>
        <w:tc>
          <w:tcPr>
            <w:tcW w:type="dxa" w:w="1007"/>
            <w:shd w:val="clear" w:color="auto" w:fill="2E74B5"/>
          </w:tcPr>
          <w:p>
            <w:r>
              <w:rPr>
                <w:b/>
                <w:color w:val="FFFFFF"/>
              </w:rPr>
              <w:t>Q1</w:t>
            </w:r>
          </w:p>
        </w:tc>
        <w:tc>
          <w:tcPr>
            <w:tcW w:type="dxa" w:w="1007"/>
            <w:shd w:val="clear" w:color="auto" w:fill="2E74B5"/>
          </w:tcPr>
          <w:p>
            <w:r>
              <w:rPr>
                <w:b/>
                <w:color w:val="FFFFFF"/>
              </w:rPr>
              <w:t>Q3</w:t>
            </w:r>
          </w:p>
        </w:tc>
        <w:tc>
          <w:tcPr>
            <w:tcW w:type="dxa" w:w="1007"/>
            <w:shd w:val="clear" w:color="auto" w:fill="2E74B5"/>
          </w:tcPr>
          <w:p>
            <w:r>
              <w:rPr>
                <w:b/>
                <w:color w:val="FFFFFF"/>
              </w:rPr>
              <w:t>IQR</w:t>
            </w:r>
          </w:p>
        </w:tc>
        <w:tc>
          <w:tcPr>
            <w:tcW w:type="dxa" w:w="1007"/>
            <w:shd w:val="clear" w:color="auto" w:fill="2E74B5"/>
          </w:tcPr>
          <w:p>
            <w:r>
              <w:rPr>
                <w:b/>
                <w:color w:val="FFFFFF"/>
              </w:rPr>
              <w:t>Std</w:t>
            </w:r>
          </w:p>
        </w:tc>
        <w:tc>
          <w:tcPr>
            <w:tcW w:type="dxa" w:w="1007"/>
            <w:shd w:val="clear" w:color="auto" w:fill="2E74B5"/>
          </w:tcPr>
          <w:p>
            <w:r>
              <w:rPr>
                <w:b/>
                <w:color w:val="FFFFFF"/>
              </w:rPr>
              <w:t>Pire</w:t>
            </w:r>
          </w:p>
        </w:tc>
      </w:tr>
      <w:tr>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r>
      <w:tr>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r>
      <w:tr>
        <w:tc>
          <w:tcPr>
            <w:tcW w:type="dxa" w:w="1007"/>
          </w:tcPr>
          <w:p>
            <w:pPr>
              <w:spacing w:after="0"/>
            </w:pPr>
            <w:r>
              <w:t>GA_avec_etalon</w:t>
            </w:r>
          </w:p>
        </w:tc>
        <w:tc>
          <w:tcPr>
            <w:tcW w:type="dxa" w:w="1007"/>
          </w:tcPr>
          <w:p>
            <w:pPr>
              <w:spacing w:after="0"/>
            </w:pPr>
            <w:r>
              <w:t>10</w:t>
            </w:r>
          </w:p>
        </w:tc>
        <w:tc>
          <w:tcPr>
            <w:tcW w:type="dxa" w:w="1007"/>
          </w:tcPr>
          <w:p>
            <w:pPr>
              <w:spacing w:after="0"/>
            </w:pPr>
            <w:r>
              <w:t>2.6596</w:t>
            </w:r>
          </w:p>
        </w:tc>
        <w:tc>
          <w:tcPr>
            <w:tcW w:type="dxa" w:w="1007"/>
          </w:tcPr>
          <w:p>
            <w:pPr>
              <w:spacing w:after="0"/>
            </w:pPr>
            <w:r>
              <w:t>3.0230</w:t>
            </w:r>
          </w:p>
        </w:tc>
        <w:tc>
          <w:tcPr>
            <w:tcW w:type="dxa" w:w="1007"/>
          </w:tcPr>
          <w:p>
            <w:pPr>
              <w:spacing w:after="0"/>
            </w:pPr>
            <w:r>
              <w:t>2.7298</w:t>
            </w:r>
          </w:p>
        </w:tc>
        <w:tc>
          <w:tcPr>
            <w:tcW w:type="dxa" w:w="1007"/>
          </w:tcPr>
          <w:p>
            <w:pPr>
              <w:spacing w:after="0"/>
            </w:pPr>
            <w:r>
              <w:t>3.1395</w:t>
            </w:r>
          </w:p>
        </w:tc>
        <w:tc>
          <w:tcPr>
            <w:tcW w:type="dxa" w:w="1007"/>
          </w:tcPr>
          <w:p>
            <w:pPr>
              <w:spacing w:after="0"/>
            </w:pPr>
            <w:r>
              <w:t>0.4098</w:t>
            </w:r>
          </w:p>
        </w:tc>
        <w:tc>
          <w:tcPr>
            <w:tcW w:type="dxa" w:w="1007"/>
          </w:tcPr>
          <w:p>
            <w:pPr>
              <w:spacing w:after="0"/>
            </w:pPr>
            <w:r>
              <w:t>0.4120</w:t>
            </w:r>
          </w:p>
        </w:tc>
        <w:tc>
          <w:tcPr>
            <w:tcW w:type="dxa" w:w="1007"/>
          </w:tcPr>
          <w:p>
            <w:pPr>
              <w:spacing w:after="0"/>
            </w:pPr>
            <w:r>
              <w:t>4.0559</w:t>
            </w:r>
          </w:p>
        </w:tc>
      </w:tr>
      <w:tr>
        <w:tc>
          <w:tcPr>
            <w:tcW w:type="dxa" w:w="1007"/>
          </w:tcPr>
          <w:p>
            <w:pPr>
              <w:spacing w:after="0"/>
            </w:pPr>
            <w:r>
              <w:t>GA_sans_etalon</w:t>
            </w:r>
          </w:p>
        </w:tc>
        <w:tc>
          <w:tcPr>
            <w:tcW w:type="dxa" w:w="1007"/>
          </w:tcPr>
          <w:p>
            <w:pPr>
              <w:spacing w:after="0"/>
            </w:pPr>
            <w:r>
              <w:t>10</w:t>
            </w:r>
          </w:p>
        </w:tc>
        <w:tc>
          <w:tcPr>
            <w:tcW w:type="dxa" w:w="1007"/>
          </w:tcPr>
          <w:p>
            <w:pPr>
              <w:spacing w:after="0"/>
            </w:pPr>
            <w:r>
              <w:t>2.6596</w:t>
            </w:r>
          </w:p>
        </w:tc>
        <w:tc>
          <w:tcPr>
            <w:tcW w:type="dxa" w:w="1007"/>
          </w:tcPr>
          <w:p>
            <w:pPr>
              <w:spacing w:after="0"/>
            </w:pPr>
            <w:r>
              <w:t>3.0291</w:t>
            </w:r>
          </w:p>
        </w:tc>
        <w:tc>
          <w:tcPr>
            <w:tcW w:type="dxa" w:w="1007"/>
          </w:tcPr>
          <w:p>
            <w:pPr>
              <w:spacing w:after="0"/>
            </w:pPr>
            <w:r>
              <w:t>2.7504</w:t>
            </w:r>
          </w:p>
        </w:tc>
        <w:tc>
          <w:tcPr>
            <w:tcW w:type="dxa" w:w="1007"/>
          </w:tcPr>
          <w:p>
            <w:pPr>
              <w:spacing w:after="0"/>
            </w:pPr>
            <w:r>
              <w:t>3.1763</w:t>
            </w:r>
          </w:p>
        </w:tc>
        <w:tc>
          <w:tcPr>
            <w:tcW w:type="dxa" w:w="1007"/>
          </w:tcPr>
          <w:p>
            <w:pPr>
              <w:spacing w:after="0"/>
            </w:pPr>
            <w:r>
              <w:t>0.4259</w:t>
            </w:r>
          </w:p>
        </w:tc>
        <w:tc>
          <w:tcPr>
            <w:tcW w:type="dxa" w:w="1007"/>
          </w:tcPr>
          <w:p>
            <w:pPr>
              <w:spacing w:after="0"/>
            </w:pPr>
            <w:r>
              <w:t>0.3045</w:t>
            </w:r>
          </w:p>
        </w:tc>
        <w:tc>
          <w:tcPr>
            <w:tcW w:type="dxa" w:w="1007"/>
          </w:tcPr>
          <w:p>
            <w:pPr>
              <w:spacing w:after="0"/>
            </w:pPr>
            <w:r>
              <w:t>3.6169</w:t>
            </w:r>
          </w:p>
        </w:tc>
      </w:tr>
    </w:tbl>
    <w:p/>
    <w:p>
      <w:pPr>
        <w:jc w:val="center"/>
      </w:pPr>
      <w:r>
        <w:drawing>
          <wp:inline xmlns:a="http://schemas.openxmlformats.org/drawingml/2006/main" xmlns:pic="http://schemas.openxmlformats.org/drawingml/2006/picture">
            <wp:extent cx="5486400" cy="3273561"/>
            <wp:docPr id="4" name="Picture 4"/>
            <wp:cNvGraphicFramePr>
              <a:graphicFrameLocks noChangeAspect="1"/>
            </wp:cNvGraphicFramePr>
            <a:graphic>
              <a:graphicData uri="http://schemas.openxmlformats.org/drawingml/2006/picture">
                <pic:pic>
                  <pic:nvPicPr>
                    <pic:cNvPr id="0" name="exp_etalon_convergence.png"/>
                    <pic:cNvPicPr/>
                  </pic:nvPicPr>
                  <pic:blipFill>
                    <a:blip r:embed="rId12"/>
                    <a:stretch>
                      <a:fillRect/>
                    </a:stretch>
                  </pic:blipFill>
                  <pic:spPr>
                    <a:xfrm>
                      <a:off x="0" y="0"/>
                      <a:ext cx="5486400" cy="3273561"/>
                    </a:xfrm>
                    <a:prstGeom prst="rect"/>
                  </pic:spPr>
                </pic:pic>
              </a:graphicData>
            </a:graphic>
          </wp:inline>
        </w:drawing>
      </w:r>
    </w:p>
    <w:p>
      <w:pPr>
        <w:spacing w:after="240"/>
        <w:jc w:val="center"/>
      </w:pPr>
      <w:r>
        <w:rPr>
          <w:i/>
          <w:color w:val="555555"/>
          <w:sz w:val="18"/>
        </w:rPr>
        <w:t>Figure 4 — Convergence : avec vs sans étalon (médiane ± IQR, 10 runs)</w:t>
      </w:r>
    </w:p>
    <w:p/>
    <w:p>
      <w:pPr>
        <w:jc w:val="center"/>
      </w:pPr>
      <w:r>
        <w:drawing>
          <wp:inline xmlns:a="http://schemas.openxmlformats.org/drawingml/2006/main" xmlns:pic="http://schemas.openxmlformats.org/drawingml/2006/picture">
            <wp:extent cx="5486400" cy="4557289"/>
            <wp:docPr id="5" name="Picture 5"/>
            <wp:cNvGraphicFramePr>
              <a:graphicFrameLocks noChangeAspect="1"/>
            </wp:cNvGraphicFramePr>
            <a:graphic>
              <a:graphicData uri="http://schemas.openxmlformats.org/drawingml/2006/picture">
                <pic:pic>
                  <pic:nvPicPr>
                    <pic:cNvPr id="0" name="exp_etalon_boxplot.png"/>
                    <pic:cNvPicPr/>
                  </pic:nvPicPr>
                  <pic:blipFill>
                    <a:blip r:embed="rId13"/>
                    <a:stretch>
                      <a:fillRect/>
                    </a:stretch>
                  </pic:blipFill>
                  <pic:spPr>
                    <a:xfrm>
                      <a:off x="0" y="0"/>
                      <a:ext cx="5486400" cy="4557289"/>
                    </a:xfrm>
                    <a:prstGeom prst="rect"/>
                  </pic:spPr>
                </pic:pic>
              </a:graphicData>
            </a:graphic>
          </wp:inline>
        </w:drawing>
      </w:r>
    </w:p>
    <w:p>
      <w:pPr>
        <w:spacing w:after="240"/>
        <w:jc w:val="center"/>
      </w:pPr>
      <w:r>
        <w:rPr>
          <w:i/>
          <w:color w:val="555555"/>
          <w:sz w:val="18"/>
        </w:rPr>
        <w:t>Figure 5 — Distribution des fitness finales : avec vs sans étalon</w:t>
      </w:r>
    </w:p>
    <w:p/>
    <w:p>
      <w:pPr>
        <w:jc w:val="center"/>
      </w:pPr>
      <w:r>
        <w:drawing>
          <wp:inline xmlns:a="http://schemas.openxmlformats.org/drawingml/2006/main" xmlns:pic="http://schemas.openxmlformats.org/drawingml/2006/picture">
            <wp:extent cx="5486400" cy="2722429"/>
            <wp:docPr id="6" name="Picture 6"/>
            <wp:cNvGraphicFramePr>
              <a:graphicFrameLocks noChangeAspect="1"/>
            </wp:cNvGraphicFramePr>
            <a:graphic>
              <a:graphicData uri="http://schemas.openxmlformats.org/drawingml/2006/picture">
                <pic:pic>
                  <pic:nvPicPr>
                    <pic:cNvPr id="0" name="exp_etalon_diversity.png"/>
                    <pic:cNvPicPr/>
                  </pic:nvPicPr>
                  <pic:blipFill>
                    <a:blip r:embed="rId14"/>
                    <a:stretch>
                      <a:fillRect/>
                    </a:stretch>
                  </pic:blipFill>
                  <pic:spPr>
                    <a:xfrm>
                      <a:off x="0" y="0"/>
                      <a:ext cx="5486400" cy="2722429"/>
                    </a:xfrm>
                    <a:prstGeom prst="rect"/>
                  </pic:spPr>
                </pic:pic>
              </a:graphicData>
            </a:graphic>
          </wp:inline>
        </w:drawing>
      </w:r>
    </w:p>
    <w:p>
      <w:pPr>
        <w:spacing w:after="240"/>
        <w:jc w:val="center"/>
      </w:pPr>
      <w:r>
        <w:rPr>
          <w:i/>
          <w:color w:val="555555"/>
          <w:sz w:val="18"/>
        </w:rPr>
        <w:t>Figure 6 — Diversité : avec vs sans étalon</w:t>
      </w:r>
    </w:p>
    <w:p/>
    <w:p>
      <w:pPr>
        <w:spacing w:after="120"/>
      </w:pPr>
      <w:r>
        <w:t>L'étalon améliore la médiane de 0,2 % (3,023 vs 3,029) et la convergence initiale est perceptiblement plus rapide (Fig. 4). En contrepartie, il augmente légèrement la variance (std 0,41 vs 0,30), car il dirige la population vers le voisinage du champion, réduisant l'exploration.</w:t>
      </w:r>
    </w:p>
    <w:p>
      <w:pPr>
        <w:spacing w:after="120"/>
      </w:pPr>
      <w:r>
        <w:rPr>
          <w:b/>
        </w:rPr>
        <w:t xml:space="preserve">Distinction conceptuelle étalon/élitisme : </w:t>
      </w:r>
      <w:r>
        <w:rPr>
          <w:b w:val="0"/>
        </w:rPr>
        <w:t>Ces deux mécanismes ont des rôles orthogonaux. L'élitisme agit sur la composition de la population : il copie les meilleurs individus tels quels dans la génération suivante, garantissant la monotonie de la meilleure fitness. L'étalon agit sur la direction des croisements : il oriente les appariements vers le champion global sans le conserver explicitement dans la population. Dans une configuration sans élitisme, l'étalon peut disparaître de la population et continuer d'influencer les croisements — comportement impossible à obtenir avec l'élitisme seul. Les deux mécanismes sont complémentaires, non substituables.</w:t>
      </w:r>
    </w:p>
    <w:p>
      <w:pPr>
        <w:spacing w:after="120"/>
      </w:pPr>
      <w:r>
        <w:t>Conclusion : l'étalon est maintenu dans la meilleure configuration pour son coût nul et son apport marginal à la convergence initiale.</w:t>
      </w:r>
    </w:p>
    <w:p>
      <w:pPr>
        <w:pStyle w:val="Heading2"/>
      </w:pPr>
      <w:r>
        <w:rPr>
          <w:color w:val="2E74B5"/>
        </w:rPr>
        <w:t>7.3 Expérience iii — Effet de la conservation des losers</w:t>
      </w:r>
    </w:p>
    <w:p>
      <w:pPr>
        <w:spacing w:after="120"/>
      </w:pPr>
      <w:r>
        <w:t>Variable isolée : use_losers = True vs False. GA single_point + étalon + élitisme.</w:t>
      </w:r>
    </w:p>
    <w:tbl>
      <w:tblPr>
        <w:tblStyle w:val="LightGrid-Accent1"/>
        <w:tblW w:type="auto" w:w="0"/>
        <w:jc w:val="center"/>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shd w:val="clear" w:color="auto" w:fill="2E74B5"/>
          </w:tcPr>
          <w:p>
            <w:r>
              <w:rPr>
                <w:b/>
                <w:color w:val="FFFFFF"/>
              </w:rPr>
              <w:t>Algorithme</w:t>
            </w:r>
          </w:p>
        </w:tc>
        <w:tc>
          <w:tcPr>
            <w:tcW w:type="dxa" w:w="1007"/>
            <w:shd w:val="clear" w:color="auto" w:fill="2E74B5"/>
          </w:tcPr>
          <w:p>
            <w:r>
              <w:rPr>
                <w:b/>
                <w:color w:val="FFFFFF"/>
              </w:rPr>
              <w:t>n</w:t>
            </w:r>
          </w:p>
        </w:tc>
        <w:tc>
          <w:tcPr>
            <w:tcW w:type="dxa" w:w="1007"/>
            <w:shd w:val="clear" w:color="auto" w:fill="2E74B5"/>
          </w:tcPr>
          <w:p>
            <w:r>
              <w:rPr>
                <w:b/>
                <w:color w:val="FFFFFF"/>
              </w:rPr>
              <w:t>Meilleur</w:t>
            </w:r>
          </w:p>
        </w:tc>
        <w:tc>
          <w:tcPr>
            <w:tcW w:type="dxa" w:w="1007"/>
            <w:shd w:val="clear" w:color="auto" w:fill="2E74B5"/>
          </w:tcPr>
          <w:p>
            <w:r>
              <w:rPr>
                <w:b/>
                <w:color w:val="FFFFFF"/>
              </w:rPr>
              <w:t>Médiane</w:t>
            </w:r>
          </w:p>
        </w:tc>
        <w:tc>
          <w:tcPr>
            <w:tcW w:type="dxa" w:w="1007"/>
            <w:shd w:val="clear" w:color="auto" w:fill="2E74B5"/>
          </w:tcPr>
          <w:p>
            <w:r>
              <w:rPr>
                <w:b/>
                <w:color w:val="FFFFFF"/>
              </w:rPr>
              <w:t>Q1</w:t>
            </w:r>
          </w:p>
        </w:tc>
        <w:tc>
          <w:tcPr>
            <w:tcW w:type="dxa" w:w="1007"/>
            <w:shd w:val="clear" w:color="auto" w:fill="2E74B5"/>
          </w:tcPr>
          <w:p>
            <w:r>
              <w:rPr>
                <w:b/>
                <w:color w:val="FFFFFF"/>
              </w:rPr>
              <w:t>Q3</w:t>
            </w:r>
          </w:p>
        </w:tc>
        <w:tc>
          <w:tcPr>
            <w:tcW w:type="dxa" w:w="1007"/>
            <w:shd w:val="clear" w:color="auto" w:fill="2E74B5"/>
          </w:tcPr>
          <w:p>
            <w:r>
              <w:rPr>
                <w:b/>
                <w:color w:val="FFFFFF"/>
              </w:rPr>
              <w:t>IQR</w:t>
            </w:r>
          </w:p>
        </w:tc>
        <w:tc>
          <w:tcPr>
            <w:tcW w:type="dxa" w:w="1007"/>
            <w:shd w:val="clear" w:color="auto" w:fill="2E74B5"/>
          </w:tcPr>
          <w:p>
            <w:r>
              <w:rPr>
                <w:b/>
                <w:color w:val="FFFFFF"/>
              </w:rPr>
              <w:t>Std</w:t>
            </w:r>
          </w:p>
        </w:tc>
        <w:tc>
          <w:tcPr>
            <w:tcW w:type="dxa" w:w="1007"/>
            <w:shd w:val="clear" w:color="auto" w:fill="2E74B5"/>
          </w:tcPr>
          <w:p>
            <w:r>
              <w:rPr>
                <w:b/>
                <w:color w:val="FFFFFF"/>
              </w:rPr>
              <w:t>Pire</w:t>
            </w:r>
          </w:p>
        </w:tc>
      </w:tr>
      <w:tr>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r>
      <w:tr>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r>
      <w:tr>
        <w:tc>
          <w:tcPr>
            <w:tcW w:type="dxa" w:w="1007"/>
          </w:tcPr>
          <w:p>
            <w:pPr>
              <w:spacing w:after="0"/>
            </w:pPr>
            <w:r>
              <w:t>GA_avec_losers</w:t>
            </w:r>
          </w:p>
        </w:tc>
        <w:tc>
          <w:tcPr>
            <w:tcW w:type="dxa" w:w="1007"/>
          </w:tcPr>
          <w:p>
            <w:pPr>
              <w:spacing w:after="0"/>
            </w:pPr>
            <w:r>
              <w:t>10</w:t>
            </w:r>
          </w:p>
        </w:tc>
        <w:tc>
          <w:tcPr>
            <w:tcW w:type="dxa" w:w="1007"/>
          </w:tcPr>
          <w:p>
            <w:pPr>
              <w:spacing w:after="0"/>
            </w:pPr>
            <w:r>
              <w:t>2.6596</w:t>
            </w:r>
          </w:p>
        </w:tc>
        <w:tc>
          <w:tcPr>
            <w:tcW w:type="dxa" w:w="1007"/>
          </w:tcPr>
          <w:p>
            <w:pPr>
              <w:spacing w:after="0"/>
            </w:pPr>
            <w:r>
              <w:t>3.0230</w:t>
            </w:r>
          </w:p>
        </w:tc>
        <w:tc>
          <w:tcPr>
            <w:tcW w:type="dxa" w:w="1007"/>
          </w:tcPr>
          <w:p>
            <w:pPr>
              <w:spacing w:after="0"/>
            </w:pPr>
            <w:r>
              <w:t>2.7298</w:t>
            </w:r>
          </w:p>
        </w:tc>
        <w:tc>
          <w:tcPr>
            <w:tcW w:type="dxa" w:w="1007"/>
          </w:tcPr>
          <w:p>
            <w:pPr>
              <w:spacing w:after="0"/>
            </w:pPr>
            <w:r>
              <w:t>3.1395</w:t>
            </w:r>
          </w:p>
        </w:tc>
        <w:tc>
          <w:tcPr>
            <w:tcW w:type="dxa" w:w="1007"/>
          </w:tcPr>
          <w:p>
            <w:pPr>
              <w:spacing w:after="0"/>
            </w:pPr>
            <w:r>
              <w:t>0.4098</w:t>
            </w:r>
          </w:p>
        </w:tc>
        <w:tc>
          <w:tcPr>
            <w:tcW w:type="dxa" w:w="1007"/>
          </w:tcPr>
          <w:p>
            <w:pPr>
              <w:spacing w:after="0"/>
            </w:pPr>
            <w:r>
              <w:t>0.4120</w:t>
            </w:r>
          </w:p>
        </w:tc>
        <w:tc>
          <w:tcPr>
            <w:tcW w:type="dxa" w:w="1007"/>
          </w:tcPr>
          <w:p>
            <w:pPr>
              <w:spacing w:after="0"/>
            </w:pPr>
            <w:r>
              <w:t>4.0559</w:t>
            </w:r>
          </w:p>
        </w:tc>
      </w:tr>
      <w:tr>
        <w:tc>
          <w:tcPr>
            <w:tcW w:type="dxa" w:w="1007"/>
          </w:tcPr>
          <w:p>
            <w:pPr>
              <w:spacing w:after="0"/>
            </w:pPr>
            <w:r>
              <w:t>GA_sans_losers</w:t>
            </w:r>
          </w:p>
        </w:tc>
        <w:tc>
          <w:tcPr>
            <w:tcW w:type="dxa" w:w="1007"/>
          </w:tcPr>
          <w:p>
            <w:pPr>
              <w:spacing w:after="0"/>
            </w:pPr>
            <w:r>
              <w:t>10</w:t>
            </w:r>
          </w:p>
        </w:tc>
        <w:tc>
          <w:tcPr>
            <w:tcW w:type="dxa" w:w="1007"/>
          </w:tcPr>
          <w:p>
            <w:pPr>
              <w:spacing w:after="0"/>
            </w:pPr>
            <w:r>
              <w:t>3.1763</w:t>
            </w:r>
          </w:p>
        </w:tc>
        <w:tc>
          <w:tcPr>
            <w:tcW w:type="dxa" w:w="1007"/>
          </w:tcPr>
          <w:p>
            <w:pPr>
              <w:spacing w:after="0"/>
            </w:pPr>
            <w:r>
              <w:t>3.2721</w:t>
            </w:r>
          </w:p>
        </w:tc>
        <w:tc>
          <w:tcPr>
            <w:tcW w:type="dxa" w:w="1007"/>
          </w:tcPr>
          <w:p>
            <w:pPr>
              <w:spacing w:after="0"/>
            </w:pPr>
            <w:r>
              <w:t>3.2197</w:t>
            </w:r>
          </w:p>
        </w:tc>
        <w:tc>
          <w:tcPr>
            <w:tcW w:type="dxa" w:w="1007"/>
          </w:tcPr>
          <w:p>
            <w:pPr>
              <w:spacing w:after="0"/>
            </w:pPr>
            <w:r>
              <w:t>3.3543</w:t>
            </w:r>
          </w:p>
        </w:tc>
        <w:tc>
          <w:tcPr>
            <w:tcW w:type="dxa" w:w="1007"/>
          </w:tcPr>
          <w:p>
            <w:pPr>
              <w:spacing w:after="0"/>
            </w:pPr>
            <w:r>
              <w:t>0.1346</w:t>
            </w:r>
          </w:p>
        </w:tc>
        <w:tc>
          <w:tcPr>
            <w:tcW w:type="dxa" w:w="1007"/>
          </w:tcPr>
          <w:p>
            <w:pPr>
              <w:spacing w:after="0"/>
            </w:pPr>
            <w:r>
              <w:t>0.2734</w:t>
            </w:r>
          </w:p>
        </w:tc>
        <w:tc>
          <w:tcPr>
            <w:tcW w:type="dxa" w:w="1007"/>
          </w:tcPr>
          <w:p>
            <w:pPr>
              <w:spacing w:after="0"/>
            </w:pPr>
            <w:r>
              <w:t>4.0559</w:t>
            </w:r>
          </w:p>
        </w:tc>
      </w:tr>
    </w:tbl>
    <w:p/>
    <w:p>
      <w:pPr>
        <w:jc w:val="center"/>
      </w:pPr>
      <w:r>
        <w:drawing>
          <wp:inline xmlns:a="http://schemas.openxmlformats.org/drawingml/2006/main" xmlns:pic="http://schemas.openxmlformats.org/drawingml/2006/picture">
            <wp:extent cx="5486400" cy="3273561"/>
            <wp:docPr id="7" name="Picture 7"/>
            <wp:cNvGraphicFramePr>
              <a:graphicFrameLocks noChangeAspect="1"/>
            </wp:cNvGraphicFramePr>
            <a:graphic>
              <a:graphicData uri="http://schemas.openxmlformats.org/drawingml/2006/picture">
                <pic:pic>
                  <pic:nvPicPr>
                    <pic:cNvPr id="0" name="exp_losers_convergence.png"/>
                    <pic:cNvPicPr/>
                  </pic:nvPicPr>
                  <pic:blipFill>
                    <a:blip r:embed="rId15"/>
                    <a:stretch>
                      <a:fillRect/>
                    </a:stretch>
                  </pic:blipFill>
                  <pic:spPr>
                    <a:xfrm>
                      <a:off x="0" y="0"/>
                      <a:ext cx="5486400" cy="3273561"/>
                    </a:xfrm>
                    <a:prstGeom prst="rect"/>
                  </pic:spPr>
                </pic:pic>
              </a:graphicData>
            </a:graphic>
          </wp:inline>
        </w:drawing>
      </w:r>
    </w:p>
    <w:p>
      <w:pPr>
        <w:spacing w:after="240"/>
        <w:jc w:val="center"/>
      </w:pPr>
      <w:r>
        <w:rPr>
          <w:i/>
          <w:color w:val="555555"/>
          <w:sz w:val="18"/>
        </w:rPr>
        <w:t>Figure 7 — Convergence : avec vs sans losers (médiane ± IQR, 10 runs)</w:t>
      </w:r>
    </w:p>
    <w:p/>
    <w:p>
      <w:pPr>
        <w:jc w:val="center"/>
      </w:pPr>
      <w:r>
        <w:drawing>
          <wp:inline xmlns:a="http://schemas.openxmlformats.org/drawingml/2006/main" xmlns:pic="http://schemas.openxmlformats.org/drawingml/2006/picture">
            <wp:extent cx="5486400" cy="4557289"/>
            <wp:docPr id="8" name="Picture 8"/>
            <wp:cNvGraphicFramePr>
              <a:graphicFrameLocks noChangeAspect="1"/>
            </wp:cNvGraphicFramePr>
            <a:graphic>
              <a:graphicData uri="http://schemas.openxmlformats.org/drawingml/2006/picture">
                <pic:pic>
                  <pic:nvPicPr>
                    <pic:cNvPr id="0" name="exp_losers_boxplot.png"/>
                    <pic:cNvPicPr/>
                  </pic:nvPicPr>
                  <pic:blipFill>
                    <a:blip r:embed="rId16"/>
                    <a:stretch>
                      <a:fillRect/>
                    </a:stretch>
                  </pic:blipFill>
                  <pic:spPr>
                    <a:xfrm>
                      <a:off x="0" y="0"/>
                      <a:ext cx="5486400" cy="4557289"/>
                    </a:xfrm>
                    <a:prstGeom prst="rect"/>
                  </pic:spPr>
                </pic:pic>
              </a:graphicData>
            </a:graphic>
          </wp:inline>
        </w:drawing>
      </w:r>
    </w:p>
    <w:p>
      <w:pPr>
        <w:spacing w:after="240"/>
        <w:jc w:val="center"/>
      </w:pPr>
      <w:r>
        <w:rPr>
          <w:i/>
          <w:color w:val="555555"/>
          <w:sz w:val="18"/>
        </w:rPr>
        <w:t>Figure 8 — Distribution des fitness finales : avec vs sans losers</w:t>
      </w:r>
    </w:p>
    <w:p/>
    <w:p>
      <w:pPr>
        <w:jc w:val="center"/>
      </w:pPr>
      <w:r>
        <w:drawing>
          <wp:inline xmlns:a="http://schemas.openxmlformats.org/drawingml/2006/main" xmlns:pic="http://schemas.openxmlformats.org/drawingml/2006/picture">
            <wp:extent cx="5486400" cy="2722429"/>
            <wp:docPr id="9" name="Picture 9"/>
            <wp:cNvGraphicFramePr>
              <a:graphicFrameLocks noChangeAspect="1"/>
            </wp:cNvGraphicFramePr>
            <a:graphic>
              <a:graphicData uri="http://schemas.openxmlformats.org/drawingml/2006/picture">
                <pic:pic>
                  <pic:nvPicPr>
                    <pic:cNvPr id="0" name="exp_losers_diversity.png"/>
                    <pic:cNvPicPr/>
                  </pic:nvPicPr>
                  <pic:blipFill>
                    <a:blip r:embed="rId17"/>
                    <a:stretch>
                      <a:fillRect/>
                    </a:stretch>
                  </pic:blipFill>
                  <pic:spPr>
                    <a:xfrm>
                      <a:off x="0" y="0"/>
                      <a:ext cx="5486400" cy="2722429"/>
                    </a:xfrm>
                    <a:prstGeom prst="rect"/>
                  </pic:spPr>
                </pic:pic>
              </a:graphicData>
            </a:graphic>
          </wp:inline>
        </w:drawing>
      </w:r>
    </w:p>
    <w:p>
      <w:pPr>
        <w:spacing w:after="240"/>
        <w:jc w:val="center"/>
      </w:pPr>
      <w:r>
        <w:rPr>
          <w:i/>
          <w:color w:val="555555"/>
          <w:sz w:val="18"/>
        </w:rPr>
        <w:t>Figure 9 — Diversité : avec vs sans losers — noter la chute précoce sans losers</w:t>
      </w:r>
    </w:p>
    <w:p/>
    <w:p>
      <w:pPr>
        <w:spacing w:after="120"/>
      </w:pPr>
      <w:r>
        <w:t>C'est le résultat le plus frappant. Sans losers :</w:t>
      </w:r>
    </w:p>
    <w:p>
      <w:pPr>
        <w:spacing w:after="60"/>
        <w:ind w:left="432"/>
      </w:pPr>
      <w:r>
        <w:t>Médiane : 3,023 → 3,272  (+8,2 % de dégradation)</w:t>
      </w:r>
    </w:p>
    <w:p>
      <w:pPr>
        <w:spacing w:after="60"/>
        <w:ind w:left="432"/>
      </w:pPr>
      <w:r>
        <w:t>Meilleur : 2,660 → 3,176  (+19,4 % de dégradation)</w:t>
      </w:r>
    </w:p>
    <w:p>
      <w:pPr>
        <w:spacing w:after="60"/>
        <w:ind w:left="432"/>
      </w:pPr>
      <w:r>
        <w:t>IQR : 0,41 → 0,13 — consistant, mais autour d'une valeur médiocre</w:t>
      </w:r>
    </w:p>
    <w:p/>
    <w:p>
      <w:pPr>
        <w:spacing w:after="120"/>
      </w:pPr>
      <w:r>
        <w:rPr>
          <w:b/>
        </w:rPr>
        <w:t xml:space="preserve">Ancrage dans les données de diversité (Fig. 9) : </w:t>
      </w:r>
      <w:r>
        <w:rPr>
          <w:b w:val="0"/>
        </w:rPr>
        <w:t>La cause mécanique est visible quantitativement. À 2 000 évaluations, la diversité médiane est comparable : 70,0 % avec losers vs 67,5 % sans (Δ = 2,5 pts). À 5 000 évaluations, l'écart s'est creusé : 59,3 % avec losers vs 56,0 % sans (Δ = 3,3 pts). À 10 000 évaluations : 59,0 % vs 54,2 % (Δ = 4,8 pts). Sans losers, la population converge progressivement vers un bassin attracteur local, perdant les "ponts génétiques" qui permettraient d'atteindre des régions plus prometteuses. L'IQR réduit (0,13 vs 0,41) confirme cette convergence prématurée : tous les runs aboutissent dans la même région médiocre.</w:t>
      </w:r>
    </w:p>
    <w:p>
      <w:pPr>
        <w:spacing w:after="120"/>
      </w:pPr>
      <w:r>
        <w:t>Conclusion : la conservation des losers est le mécanisme le plus impactant. Elle illustre le principe fondamental que maintenir la diversité est plus important qu'éliminer les mauvaises solutions.</w:t>
      </w:r>
    </w:p>
    <w:p>
      <w:pPr>
        <w:pStyle w:val="Heading2"/>
      </w:pPr>
      <w:r>
        <w:rPr>
          <w:color w:val="2E74B5"/>
        </w:rPr>
        <w:t>7.4 Expérience iv — Meilleur GA vs UMDA</w:t>
      </w:r>
    </w:p>
    <w:p>
      <w:pPr>
        <w:spacing w:after="120"/>
      </w:pPr>
      <w:r>
        <w:t>GA (single_point + étalon + losers + élitisme) vs UMDA (n_elites=1, selection_ratio=0,50). Budget : ~20 150 vs ~19 900 évals (Δ = 0,75 %).</w:t>
      </w:r>
    </w:p>
    <w:tbl>
      <w:tblPr>
        <w:tblStyle w:val="LightGrid-Accent1"/>
        <w:tblW w:type="auto" w:w="0"/>
        <w:jc w:val="center"/>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shd w:val="clear" w:color="auto" w:fill="2E74B5"/>
          </w:tcPr>
          <w:p>
            <w:r>
              <w:rPr>
                <w:b/>
                <w:color w:val="FFFFFF"/>
              </w:rPr>
              <w:t>Algorithme</w:t>
            </w:r>
          </w:p>
        </w:tc>
        <w:tc>
          <w:tcPr>
            <w:tcW w:type="dxa" w:w="1007"/>
            <w:shd w:val="clear" w:color="auto" w:fill="2E74B5"/>
          </w:tcPr>
          <w:p>
            <w:r>
              <w:rPr>
                <w:b/>
                <w:color w:val="FFFFFF"/>
              </w:rPr>
              <w:t>n</w:t>
            </w:r>
          </w:p>
        </w:tc>
        <w:tc>
          <w:tcPr>
            <w:tcW w:type="dxa" w:w="1007"/>
            <w:shd w:val="clear" w:color="auto" w:fill="2E74B5"/>
          </w:tcPr>
          <w:p>
            <w:r>
              <w:rPr>
                <w:b/>
                <w:color w:val="FFFFFF"/>
              </w:rPr>
              <w:t>Meilleur</w:t>
            </w:r>
          </w:p>
        </w:tc>
        <w:tc>
          <w:tcPr>
            <w:tcW w:type="dxa" w:w="1007"/>
            <w:shd w:val="clear" w:color="auto" w:fill="2E74B5"/>
          </w:tcPr>
          <w:p>
            <w:r>
              <w:rPr>
                <w:b/>
                <w:color w:val="FFFFFF"/>
              </w:rPr>
              <w:t>Médiane</w:t>
            </w:r>
          </w:p>
        </w:tc>
        <w:tc>
          <w:tcPr>
            <w:tcW w:type="dxa" w:w="1007"/>
            <w:shd w:val="clear" w:color="auto" w:fill="2E74B5"/>
          </w:tcPr>
          <w:p>
            <w:r>
              <w:rPr>
                <w:b/>
                <w:color w:val="FFFFFF"/>
              </w:rPr>
              <w:t>Q1</w:t>
            </w:r>
          </w:p>
        </w:tc>
        <w:tc>
          <w:tcPr>
            <w:tcW w:type="dxa" w:w="1007"/>
            <w:shd w:val="clear" w:color="auto" w:fill="2E74B5"/>
          </w:tcPr>
          <w:p>
            <w:r>
              <w:rPr>
                <w:b/>
                <w:color w:val="FFFFFF"/>
              </w:rPr>
              <w:t>Q3</w:t>
            </w:r>
          </w:p>
        </w:tc>
        <w:tc>
          <w:tcPr>
            <w:tcW w:type="dxa" w:w="1007"/>
            <w:shd w:val="clear" w:color="auto" w:fill="2E74B5"/>
          </w:tcPr>
          <w:p>
            <w:r>
              <w:rPr>
                <w:b/>
                <w:color w:val="FFFFFF"/>
              </w:rPr>
              <w:t>IQR</w:t>
            </w:r>
          </w:p>
        </w:tc>
        <w:tc>
          <w:tcPr>
            <w:tcW w:type="dxa" w:w="1007"/>
            <w:shd w:val="clear" w:color="auto" w:fill="2E74B5"/>
          </w:tcPr>
          <w:p>
            <w:r>
              <w:rPr>
                <w:b/>
                <w:color w:val="FFFFFF"/>
              </w:rPr>
              <w:t>Std</w:t>
            </w:r>
          </w:p>
        </w:tc>
        <w:tc>
          <w:tcPr>
            <w:tcW w:type="dxa" w:w="1007"/>
            <w:shd w:val="clear" w:color="auto" w:fill="2E74B5"/>
          </w:tcPr>
          <w:p>
            <w:r>
              <w:rPr>
                <w:b/>
                <w:color w:val="FFFFFF"/>
              </w:rPr>
              <w:t>Pire</w:t>
            </w:r>
          </w:p>
        </w:tc>
      </w:tr>
      <w:tr>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r>
      <w:tr>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c>
          <w:tcPr>
            <w:tcW w:type="dxa" w:w="1007"/>
          </w:tcPr>
          <w:p/>
        </w:tc>
      </w:tr>
      <w:tr>
        <w:tc>
          <w:tcPr>
            <w:tcW w:type="dxa" w:w="1007"/>
          </w:tcPr>
          <w:p>
            <w:pPr>
              <w:spacing w:after="0"/>
            </w:pPr>
            <w:r>
              <w:t>GA_best</w:t>
            </w:r>
          </w:p>
        </w:tc>
        <w:tc>
          <w:tcPr>
            <w:tcW w:type="dxa" w:w="1007"/>
          </w:tcPr>
          <w:p>
            <w:pPr>
              <w:spacing w:after="0"/>
            </w:pPr>
            <w:r>
              <w:t>10</w:t>
            </w:r>
          </w:p>
        </w:tc>
        <w:tc>
          <w:tcPr>
            <w:tcW w:type="dxa" w:w="1007"/>
          </w:tcPr>
          <w:p>
            <w:pPr>
              <w:spacing w:after="0"/>
            </w:pPr>
            <w:r>
              <w:t>2.6596</w:t>
            </w:r>
          </w:p>
        </w:tc>
        <w:tc>
          <w:tcPr>
            <w:tcW w:type="dxa" w:w="1007"/>
          </w:tcPr>
          <w:p>
            <w:pPr>
              <w:spacing w:after="0"/>
            </w:pPr>
            <w:r>
              <w:t>3.0230</w:t>
            </w:r>
          </w:p>
        </w:tc>
        <w:tc>
          <w:tcPr>
            <w:tcW w:type="dxa" w:w="1007"/>
          </w:tcPr>
          <w:p>
            <w:pPr>
              <w:spacing w:after="0"/>
            </w:pPr>
            <w:r>
              <w:t>2.7298</w:t>
            </w:r>
          </w:p>
        </w:tc>
        <w:tc>
          <w:tcPr>
            <w:tcW w:type="dxa" w:w="1007"/>
          </w:tcPr>
          <w:p>
            <w:pPr>
              <w:spacing w:after="0"/>
            </w:pPr>
            <w:r>
              <w:t>3.1395</w:t>
            </w:r>
          </w:p>
        </w:tc>
        <w:tc>
          <w:tcPr>
            <w:tcW w:type="dxa" w:w="1007"/>
          </w:tcPr>
          <w:p>
            <w:pPr>
              <w:spacing w:after="0"/>
            </w:pPr>
            <w:r>
              <w:t>0.4098</w:t>
            </w:r>
          </w:p>
        </w:tc>
        <w:tc>
          <w:tcPr>
            <w:tcW w:type="dxa" w:w="1007"/>
          </w:tcPr>
          <w:p>
            <w:pPr>
              <w:spacing w:after="0"/>
            </w:pPr>
            <w:r>
              <w:t>0.4120</w:t>
            </w:r>
          </w:p>
        </w:tc>
        <w:tc>
          <w:tcPr>
            <w:tcW w:type="dxa" w:w="1007"/>
          </w:tcPr>
          <w:p>
            <w:pPr>
              <w:spacing w:after="0"/>
            </w:pPr>
            <w:r>
              <w:t>4.0559</w:t>
            </w:r>
          </w:p>
        </w:tc>
      </w:tr>
      <w:tr>
        <w:tc>
          <w:tcPr>
            <w:tcW w:type="dxa" w:w="1007"/>
          </w:tcPr>
          <w:p>
            <w:pPr>
              <w:spacing w:after="0"/>
            </w:pPr>
            <w:r>
              <w:t>UMDA</w:t>
            </w:r>
          </w:p>
        </w:tc>
        <w:tc>
          <w:tcPr>
            <w:tcW w:type="dxa" w:w="1007"/>
          </w:tcPr>
          <w:p>
            <w:pPr>
              <w:spacing w:after="0"/>
            </w:pPr>
            <w:r>
              <w:t>10</w:t>
            </w:r>
          </w:p>
        </w:tc>
        <w:tc>
          <w:tcPr>
            <w:tcW w:type="dxa" w:w="1007"/>
          </w:tcPr>
          <w:p>
            <w:pPr>
              <w:spacing w:after="0"/>
            </w:pPr>
            <w:r>
              <w:t>3.6572</w:t>
            </w:r>
          </w:p>
        </w:tc>
        <w:tc>
          <w:tcPr>
            <w:tcW w:type="dxa" w:w="1007"/>
          </w:tcPr>
          <w:p>
            <w:pPr>
              <w:spacing w:after="0"/>
            </w:pPr>
            <w:r>
              <w:t>4.1936</w:t>
            </w:r>
          </w:p>
        </w:tc>
        <w:tc>
          <w:tcPr>
            <w:tcW w:type="dxa" w:w="1007"/>
          </w:tcPr>
          <w:p>
            <w:pPr>
              <w:spacing w:after="0"/>
            </w:pPr>
            <w:r>
              <w:t>3.8181</w:t>
            </w:r>
          </w:p>
        </w:tc>
        <w:tc>
          <w:tcPr>
            <w:tcW w:type="dxa" w:w="1007"/>
          </w:tcPr>
          <w:p>
            <w:pPr>
              <w:spacing w:after="0"/>
            </w:pPr>
            <w:r>
              <w:t>4.6163</w:t>
            </w:r>
          </w:p>
        </w:tc>
        <w:tc>
          <w:tcPr>
            <w:tcW w:type="dxa" w:w="1007"/>
          </w:tcPr>
          <w:p>
            <w:pPr>
              <w:spacing w:after="0"/>
            </w:pPr>
            <w:r>
              <w:t>0.7982</w:t>
            </w:r>
          </w:p>
        </w:tc>
        <w:tc>
          <w:tcPr>
            <w:tcW w:type="dxa" w:w="1007"/>
          </w:tcPr>
          <w:p>
            <w:pPr>
              <w:spacing w:after="0"/>
            </w:pPr>
            <w:r>
              <w:t>0.4917</w:t>
            </w:r>
          </w:p>
        </w:tc>
        <w:tc>
          <w:tcPr>
            <w:tcW w:type="dxa" w:w="1007"/>
          </w:tcPr>
          <w:p>
            <w:pPr>
              <w:spacing w:after="0"/>
            </w:pPr>
            <w:r>
              <w:t>5.1324</w:t>
            </w:r>
          </w:p>
        </w:tc>
      </w:tr>
    </w:tbl>
    <w:p/>
    <w:p>
      <w:pPr>
        <w:jc w:val="center"/>
      </w:pPr>
      <w:r>
        <w:drawing>
          <wp:inline xmlns:a="http://schemas.openxmlformats.org/drawingml/2006/main" xmlns:pic="http://schemas.openxmlformats.org/drawingml/2006/picture">
            <wp:extent cx="5486400" cy="3273561"/>
            <wp:docPr id="10" name="Picture 10"/>
            <wp:cNvGraphicFramePr>
              <a:graphicFrameLocks noChangeAspect="1"/>
            </wp:cNvGraphicFramePr>
            <a:graphic>
              <a:graphicData uri="http://schemas.openxmlformats.org/drawingml/2006/picture">
                <pic:pic>
                  <pic:nvPicPr>
                    <pic:cNvPr id="0" name="exp_ga_vs_eda_convergence.png"/>
                    <pic:cNvPicPr/>
                  </pic:nvPicPr>
                  <pic:blipFill>
                    <a:blip r:embed="rId18"/>
                    <a:stretch>
                      <a:fillRect/>
                    </a:stretch>
                  </pic:blipFill>
                  <pic:spPr>
                    <a:xfrm>
                      <a:off x="0" y="0"/>
                      <a:ext cx="5486400" cy="3273561"/>
                    </a:xfrm>
                    <a:prstGeom prst="rect"/>
                  </pic:spPr>
                </pic:pic>
              </a:graphicData>
            </a:graphic>
          </wp:inline>
        </w:drawing>
      </w:r>
    </w:p>
    <w:p>
      <w:pPr>
        <w:spacing w:after="240"/>
        <w:jc w:val="center"/>
      </w:pPr>
      <w:r>
        <w:rPr>
          <w:i/>
          <w:color w:val="555555"/>
          <w:sz w:val="18"/>
        </w:rPr>
        <w:t>Figure 10 — Convergence : GA (meilleure config) vs UMDA (médiane ± IQR, 10 runs)</w:t>
      </w:r>
    </w:p>
    <w:p/>
    <w:p>
      <w:pPr>
        <w:jc w:val="center"/>
      </w:pPr>
      <w:r>
        <w:drawing>
          <wp:inline xmlns:a="http://schemas.openxmlformats.org/drawingml/2006/main" xmlns:pic="http://schemas.openxmlformats.org/drawingml/2006/picture">
            <wp:extent cx="5486400" cy="4557289"/>
            <wp:docPr id="11" name="Picture 11"/>
            <wp:cNvGraphicFramePr>
              <a:graphicFrameLocks noChangeAspect="1"/>
            </wp:cNvGraphicFramePr>
            <a:graphic>
              <a:graphicData uri="http://schemas.openxmlformats.org/drawingml/2006/picture">
                <pic:pic>
                  <pic:nvPicPr>
                    <pic:cNvPr id="0" name="exp_ga_vs_eda_boxplot.png"/>
                    <pic:cNvPicPr/>
                  </pic:nvPicPr>
                  <pic:blipFill>
                    <a:blip r:embed="rId19"/>
                    <a:stretch>
                      <a:fillRect/>
                    </a:stretch>
                  </pic:blipFill>
                  <pic:spPr>
                    <a:xfrm>
                      <a:off x="0" y="0"/>
                      <a:ext cx="5486400" cy="4557289"/>
                    </a:xfrm>
                    <a:prstGeom prst="rect"/>
                  </pic:spPr>
                </pic:pic>
              </a:graphicData>
            </a:graphic>
          </wp:inline>
        </w:drawing>
      </w:r>
    </w:p>
    <w:p>
      <w:pPr>
        <w:spacing w:after="240"/>
        <w:jc w:val="center"/>
      </w:pPr>
      <w:r>
        <w:rPr>
          <w:i/>
          <w:color w:val="555555"/>
          <w:sz w:val="18"/>
        </w:rPr>
        <w:t>Figure 11 — Distribution des fitness finales : GA vs UMDA</w:t>
      </w:r>
    </w:p>
    <w:p/>
    <w:p>
      <w:pPr>
        <w:jc w:val="center"/>
      </w:pPr>
      <w:r>
        <w:drawing>
          <wp:inline xmlns:a="http://schemas.openxmlformats.org/drawingml/2006/main" xmlns:pic="http://schemas.openxmlformats.org/drawingml/2006/picture">
            <wp:extent cx="5486400" cy="2722429"/>
            <wp:docPr id="12" name="Picture 12"/>
            <wp:cNvGraphicFramePr>
              <a:graphicFrameLocks noChangeAspect="1"/>
            </wp:cNvGraphicFramePr>
            <a:graphic>
              <a:graphicData uri="http://schemas.openxmlformats.org/drawingml/2006/picture">
                <pic:pic>
                  <pic:nvPicPr>
                    <pic:cNvPr id="0" name="exp_ga_vs_eda_diversity.png"/>
                    <pic:cNvPicPr/>
                  </pic:nvPicPr>
                  <pic:blipFill>
                    <a:blip r:embed="rId20"/>
                    <a:stretch>
                      <a:fillRect/>
                    </a:stretch>
                  </pic:blipFill>
                  <pic:spPr>
                    <a:xfrm>
                      <a:off x="0" y="0"/>
                      <a:ext cx="5486400" cy="2722429"/>
                    </a:xfrm>
                    <a:prstGeom prst="rect"/>
                  </pic:spPr>
                </pic:pic>
              </a:graphicData>
            </a:graphic>
          </wp:inline>
        </w:drawing>
      </w:r>
    </w:p>
    <w:p>
      <w:pPr>
        <w:spacing w:after="240"/>
        <w:jc w:val="center"/>
      </w:pPr>
      <w:r>
        <w:rPr>
          <w:i/>
          <w:color w:val="555555"/>
          <w:sz w:val="18"/>
        </w:rPr>
        <w:t>Figure 12 — Diversité : GA vs UMDA</w:t>
      </w:r>
    </w:p>
    <w:p/>
    <w:p>
      <w:pPr>
        <w:spacing w:after="60"/>
        <w:ind w:left="432"/>
      </w:pPr>
      <w:r>
        <w:t>Meilleur : 2,660 vs 3,657  (+37,5 % en faveur du GA)</w:t>
      </w:r>
    </w:p>
    <w:p>
      <w:pPr>
        <w:spacing w:after="60"/>
        <w:ind w:left="432"/>
      </w:pPr>
      <w:r>
        <w:t>Médiane : 3,023 vs 4,194  (+38,7 %)</w:t>
      </w:r>
    </w:p>
    <w:p>
      <w:pPr>
        <w:spacing w:after="60"/>
        <w:ind w:left="432"/>
      </w:pPr>
      <w:r>
        <w:t>IQR : 0,41 (GA) vs 0,80 (UMDA) — l'UMDA est deux fois plus variable</w:t>
      </w:r>
    </w:p>
    <w:p/>
    <w:p>
      <w:pPr>
        <w:spacing w:after="120"/>
      </w:pPr>
      <w:r>
        <w:rPr>
          <w:b/>
        </w:rPr>
        <w:t xml:space="preserve">Analyse de la diversité — Fig. 12 : </w:t>
      </w:r>
      <w:r>
        <w:rPr>
          <w:b w:val="0"/>
        </w:rPr>
        <w:t>Le comportement de la diversité révèle la dynamique fondamentalement différente des deux algorithmes. Le GA maintient une diversité stable autour de 59 % à 5 000 évals, 59 % à 10 000 évals, 54 % à 20 000 évals — signe d'un équilibre exploration/exploitation géré par les losers et reseeds. L'UMDA, en revanche, s'effondre rapidement : 4,2 % à 5 000 évals, 3,0 % à 10 000 et 20 000 évals. Paradoxalement, cette convergence ultra-rapide n'est pas accompagnée d'une bonne performance : l'UMDA converge vers un optimum local médiocre. L'hypothèse d'indépendance marginale produit des distributions qui convergent vers des caractères "génériquement français" position par position, sans capturer les dépendances inter-positions qui constituent l'essence de la franciosité. La population se retrouve rapidement concentrée autour de combinaisons qui satisfont localement chaque position mais pas leur enchaînement.</w:t>
      </w:r>
    </w:p>
    <w:p>
      <w:pPr>
        <w:spacing w:after="120"/>
      </w:pPr>
      <w:r>
        <w:t>Le GA, via le croisement de blocs, préserve implicitement ces co-adaptations. C'est cette adéquation structurelle entre l'opérateur de croisement monopont et la structure du critère objectif (Markov d'ordre 2) qui explique l'essentiel de la supériorité du GA.</w:t>
      </w:r>
    </w:p>
    <w:p>
      <w:r>
        <w:br w:type="page"/>
      </w:r>
    </w:p>
    <w:p>
      <w:pPr>
        <w:pStyle w:val="Heading1"/>
      </w:pPr>
      <w:r>
        <w:rPr>
          <w:color w:val="1F3564"/>
        </w:rPr>
        <w:t>8. Discussion générale</w:t>
      </w:r>
    </w:p>
    <w:p>
      <w:pPr>
        <w:pStyle w:val="Heading2"/>
      </w:pPr>
      <w:r>
        <w:rPr>
          <w:color w:val="2E74B5"/>
        </w:rPr>
        <w:t>8.1 Synthèse des mécanismes</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shd w:val="clear" w:color="auto" w:fill="2E74B5"/>
          </w:tcPr>
          <w:p>
            <w:r>
              <w:rPr>
                <w:b/>
                <w:color w:val="FFFFFF"/>
              </w:rPr>
              <w:t>Mécanisme</w:t>
            </w:r>
          </w:p>
        </w:tc>
        <w:tc>
          <w:tcPr>
            <w:tcW w:type="dxa" w:w="3022"/>
            <w:shd w:val="clear" w:color="auto" w:fill="2E74B5"/>
          </w:tcPr>
          <w:p>
            <w:r>
              <w:rPr>
                <w:b/>
                <w:color w:val="FFFFFF"/>
              </w:rPr>
              <w:t>Impact</w:t>
            </w:r>
          </w:p>
        </w:tc>
        <w:tc>
          <w:tcPr>
            <w:tcW w:type="dxa" w:w="3022"/>
            <w:shd w:val="clear" w:color="auto" w:fill="2E74B5"/>
          </w:tcPr>
          <w:p>
            <w:r>
              <w:rPr>
                <w:b/>
                <w:color w:val="FFFFFF"/>
              </w:rPr>
              <w:t>Verdict</w:t>
            </w: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pPr>
              <w:spacing w:after="0"/>
            </w:pPr>
            <w:r>
              <w:t>Losers (vs sans)</w:t>
            </w:r>
          </w:p>
        </w:tc>
        <w:tc>
          <w:tcPr>
            <w:tcW w:type="dxa" w:w="3022"/>
          </w:tcPr>
          <w:p>
            <w:pPr>
              <w:spacing w:after="0"/>
            </w:pPr>
            <w:r>
              <w:t>+8,2 % dégradation sans</w:t>
            </w:r>
          </w:p>
        </w:tc>
        <w:tc>
          <w:tcPr>
            <w:tcW w:type="dxa" w:w="3022"/>
          </w:tcPr>
          <w:p>
            <w:pPr>
              <w:spacing w:after="0"/>
            </w:pPr>
            <w:r>
              <w:t>ESSENTIEL</w:t>
            </w:r>
          </w:p>
        </w:tc>
      </w:tr>
      <w:tr>
        <w:tc>
          <w:tcPr>
            <w:tcW w:type="dxa" w:w="3022"/>
          </w:tcPr>
          <w:p>
            <w:pPr>
              <w:spacing w:after="0"/>
            </w:pPr>
            <w:r>
              <w:t>GA vs UMDA</w:t>
            </w:r>
          </w:p>
        </w:tc>
        <w:tc>
          <w:tcPr>
            <w:tcW w:type="dxa" w:w="3022"/>
          </w:tcPr>
          <w:p>
            <w:pPr>
              <w:spacing w:after="0"/>
            </w:pPr>
            <w:r>
              <w:t>+38,7 % UMDA pire</w:t>
            </w:r>
          </w:p>
        </w:tc>
        <w:tc>
          <w:tcPr>
            <w:tcW w:type="dxa" w:w="3022"/>
          </w:tcPr>
          <w:p>
            <w:pPr>
              <w:spacing w:after="0"/>
            </w:pPr>
            <w:r>
              <w:t>GA largement supérieur</w:t>
            </w:r>
          </w:p>
        </w:tc>
      </w:tr>
      <w:tr>
        <w:tc>
          <w:tcPr>
            <w:tcW w:type="dxa" w:w="3022"/>
          </w:tcPr>
          <w:p>
            <w:pPr>
              <w:spacing w:after="0"/>
            </w:pPr>
            <w:r>
              <w:t>Étalon (vs sans)</w:t>
            </w:r>
          </w:p>
        </w:tc>
        <w:tc>
          <w:tcPr>
            <w:tcW w:type="dxa" w:w="3022"/>
          </w:tcPr>
          <w:p>
            <w:pPr>
              <w:spacing w:after="0"/>
            </w:pPr>
            <w:r>
              <w:t>&lt; 1 %</w:t>
            </w:r>
          </w:p>
        </w:tc>
        <w:tc>
          <w:tcPr>
            <w:tcW w:type="dxa" w:w="3022"/>
          </w:tcPr>
          <w:p>
            <w:pPr>
              <w:spacing w:after="0"/>
            </w:pPr>
            <w:r>
              <w:t>Marginal, complémentaire à l'élitisme</w:t>
            </w:r>
          </w:p>
        </w:tc>
      </w:tr>
      <w:tr>
        <w:tc>
          <w:tcPr>
            <w:tcW w:type="dxa" w:w="3022"/>
          </w:tcPr>
          <w:p>
            <w:pPr>
              <w:spacing w:after="0"/>
            </w:pPr>
            <w:r>
              <w:t>Croisement (type)</w:t>
            </w:r>
          </w:p>
        </w:tc>
        <w:tc>
          <w:tcPr>
            <w:tcW w:type="dxa" w:w="3022"/>
          </w:tcPr>
          <w:p>
            <w:pPr>
              <w:spacing w:after="0"/>
            </w:pPr>
            <w:r>
              <w:t>≈ 0 % en médiane</w:t>
            </w:r>
          </w:p>
        </w:tc>
        <w:tc>
          <w:tcPr>
            <w:tcW w:type="dxa" w:w="3022"/>
          </w:tcPr>
          <w:p>
            <w:pPr>
              <w:spacing w:after="0"/>
            </w:pPr>
            <w:r>
              <w:t>Indifférent en performance médiane</w:t>
            </w:r>
          </w:p>
        </w:tc>
      </w:tr>
    </w:tbl>
    <w:p/>
    <w:p>
      <w:pPr>
        <w:pStyle w:val="Heading2"/>
      </w:pPr>
      <w:r>
        <w:rPr>
          <w:color w:val="2E74B5"/>
        </w:rPr>
        <w:t>8.2 Qualité des mots générés</w:t>
      </w:r>
    </w:p>
    <w:p>
      <w:pPr>
        <w:spacing w:after="120"/>
      </w:pPr>
      <w:r>
        <w:t>Les meilleurs mots du GA (fitness ≤ 3,02) sont majoritairement des affixes et radicaux morphologiques : rent (2,660), prons (2,940), mant (3,023), cont (3,029). Ces formes reproduisent les terminaisons les plus productives du français (-ment, -ant, -ent, -tion), que le modèle de Markov a appris à reconnaître comme statistiquement dominantes.</w:t>
      </w:r>
    </w:p>
    <w:p>
      <w:pPr>
        <w:spacing w:after="120"/>
      </w:pPr>
      <w:r>
        <w:t>L'UMDA produit des mots de qualité inférieure (fitness ≥ 3,66) : disses (3,657), pres (3,711), antes (3,750) — formes verbales ou plurielles plausibles mais moins concentrées sur les n-grammes dominants du français.</w:t>
      </w:r>
    </w:p>
    <w:p>
      <w:pPr>
        <w:pStyle w:val="Heading2"/>
      </w:pPr>
      <w:r>
        <w:rPr>
          <w:color w:val="2E74B5"/>
        </w:rPr>
        <w:t>8.3 Quand préférer un EDA à un GA ?</w:t>
      </w:r>
    </w:p>
    <w:p>
      <w:pPr>
        <w:spacing w:after="120"/>
      </w:pPr>
      <w:r>
        <w:t>Malgré sa sous-performance sur ce problème, l'UMDA présente des avantages dans d'autres contextes :</w:t>
      </w:r>
    </w:p>
    <w:p>
      <w:pPr>
        <w:spacing w:after="60"/>
        <w:ind w:left="432"/>
      </w:pPr>
      <w:r>
        <w:t>Variables indépendantes : quand les variables du problème sont réellement indépendantes (ex. optimisation de paramètres décorrélés), l'hypothèse de l'UMDA est exacte et il converge efficacement sans overhead du croisement.</w:t>
      </w:r>
    </w:p>
    <w:p>
      <w:pPr>
        <w:spacing w:after="60"/>
        <w:ind w:left="432"/>
      </w:pPr>
      <w:r>
        <w:t>Scalabilité : l'UMDA est plus facile à paralléliser (pas de paires parents) et son modèle probabiliste est interpretable — utile pour la compréhension de l'espace de recherche.</w:t>
      </w:r>
    </w:p>
    <w:p>
      <w:pPr>
        <w:spacing w:after="60"/>
        <w:ind w:left="432"/>
      </w:pPr>
      <w:r>
        <w:t>Paramétrisation réduite : l'UMDA n'a que 3 hyperparamètres (population, selection_ratio, smoothing) contre 8+ pour le GA, ce qui simplifie le réglage.</w:t>
      </w:r>
    </w:p>
    <w:p>
      <w:pPr>
        <w:spacing w:after="60"/>
        <w:ind w:left="432"/>
      </w:pPr>
      <w:r>
        <w:t>Problèmes à grande dimension avec peu de dépendances : des EDA d'ordre supérieur (BMDA, MIMIC) pourraient bridger l'écart sur ce problème tout en restant plus scalables que le GA pour de très grands alphabets ou longueurs.</w:t>
      </w:r>
    </w:p>
    <w:p>
      <w:pPr>
        <w:spacing w:after="120"/>
      </w:pPr>
      <w:r>
        <w:t>Sur ce problème spécifique, le critère objectif est un modèle de dépendances inter-positions (Markov d'ordre 2) — adéquat structurellement avec un GA à croisement de blocs, et fondamentalement incompatible avec l'UMDA univarié.</w:t>
      </w:r>
    </w:p>
    <w:p>
      <w:pPr>
        <w:pStyle w:val="Heading2"/>
      </w:pPr>
      <w:r>
        <w:rPr>
          <w:color w:val="2E74B5"/>
        </w:rPr>
        <w:t>8.4 Perspectives</w:t>
      </w:r>
    </w:p>
    <w:p>
      <w:pPr>
        <w:spacing w:after="60"/>
        <w:ind w:left="432"/>
      </w:pPr>
      <w:r>
        <w:rPr>
          <w:b/>
        </w:rPr>
        <w:t xml:space="preserve">Modèle d'ordre supérieur : </w:t>
      </w:r>
      <w:r>
        <w:t>Un 4-gramme améliorerait la discrimination mais ralentirait l'évaluation.</w:t>
      </w:r>
    </w:p>
    <w:p>
      <w:pPr>
        <w:spacing w:after="60"/>
        <w:ind w:left="432"/>
      </w:pPr>
      <w:r>
        <w:rPr>
          <w:b/>
        </w:rPr>
        <w:t xml:space="preserve">EDA bivarié (BMDA/MIMIC) : </w:t>
      </w:r>
      <w:r>
        <w:t>Capturerait les dépendances par paires, réduisant l'écart avec le GA.</w:t>
      </w:r>
    </w:p>
    <w:p>
      <w:pPr>
        <w:spacing w:after="60"/>
        <w:ind w:left="432"/>
      </w:pPr>
      <w:r>
        <w:rPr>
          <w:b/>
        </w:rPr>
        <w:t xml:space="preserve">Étude de sensibilité sur population_size : </w:t>
      </w:r>
      <w:r>
        <w:t>Le compromis optimal exploration/convergence n'est pas caractérisé.</w:t>
      </w:r>
    </w:p>
    <w:p>
      <w:pPr>
        <w:pStyle w:val="Heading1"/>
      </w:pPr>
      <w:r>
        <w:rPr>
          <w:color w:val="1F3564"/>
        </w:rPr>
        <w:t>9. Conclusion</w:t>
      </w:r>
    </w:p>
    <w:p>
      <w:pPr>
        <w:spacing w:after="120"/>
      </w:pPr>
      <w:r>
        <w:t>Ce TP a comparé rigoureusement deux paradigmes sur un problème d'optimisation discrète textuelle. Le GA (croisement monopont, étalon, losers, élitisme) domine l'UMDA : médiane 3,02 vs 4,19, meilleur 2,66 vs 3,66.</w:t>
      </w:r>
    </w:p>
    <w:p>
      <w:pPr>
        <w:spacing w:after="120"/>
      </w:pPr>
      <w:r>
        <w:t>L'analyse différentielle a établi que la conservation des losers est le facteur décisif (+8,2 % de dégradation sans lui), illustrant que maintenir la diversité prime sur l'élimination des mauvaises solutions. L'étalon et le croisement ont des effets négligeables sur la médiane.</w:t>
      </w:r>
    </w:p>
    <w:p>
      <w:pPr>
        <w:spacing w:after="120"/>
      </w:pPr>
      <w:r>
        <w:t>La supériorité du GA sur l'UMDA s'explique par une adéquation structurelle : le croisement de blocs préserve les dépendances inter-positions que mesure le critère Markovien, là où l'hypothèse d'indépendance de l'UMDA est fondamentalement inadaptée. Un EDA serait préférable pour des problèmes à variables réellement indépendantes, à grande dimension, ou nécessitant un modèle interprétable de l'espace de recherche.</w:t>
      </w:r>
    </w:p>
    <w:p>
      <w:pPr>
        <w:pStyle w:val="Heading1"/>
      </w:pPr>
      <w:r>
        <w:rPr>
          <w:color w:val="1F3564"/>
        </w:rPr>
        <w:t>10. Références</w:t>
      </w:r>
    </w:p>
    <w:p>
      <w:pPr>
        <w:spacing w:after="80"/>
        <w:ind w:left="432" w:hanging="432"/>
      </w:pPr>
      <w:r>
        <w:t>[1] New, B. et al. (2004). Lexique 2: A new French lexical database. Behavior Research Methods, 36(3), 516-524.</w:t>
      </w:r>
    </w:p>
    <w:p>
      <w:pPr>
        <w:spacing w:after="80"/>
        <w:ind w:left="432" w:hanging="432"/>
      </w:pPr>
      <w:r>
        <w:t>[2] Mühlenbein, H., &amp; Paass, G. (1996). From recombination of genes to the estimation of distributions. PPSN IV, LNCS 1141, 178-187.</w:t>
      </w:r>
    </w:p>
    <w:p>
      <w:pPr>
        <w:spacing w:after="80"/>
        <w:ind w:left="432" w:hanging="432"/>
      </w:pPr>
      <w:r>
        <w:t>[3] Goldberg, D. E. (1989). Genetic Algorithms in Search, Optimization and Machine Learning. Addison-Wesley.</w:t>
      </w:r>
    </w:p>
    <w:p>
      <w:pPr>
        <w:spacing w:after="80"/>
        <w:ind w:left="432" w:hanging="432"/>
      </w:pPr>
      <w:r>
        <w:t>[4] Larrañaga, P., &amp; Lozano, J. A. (Eds.). (2002). Estimation of Distribution Algorithms. Springer.</w:t>
      </w:r>
    </w:p>
    <w:p>
      <w:pPr>
        <w:spacing w:after="80"/>
        <w:ind w:left="432" w:hanging="432"/>
      </w:pPr>
      <w:r>
        <w:t>[5] De Bonet, J. S. et al. (1997). MIMIC: Finding optima by estimating probability densities. NIPS 9, 424-430.</w:t>
      </w:r>
    </w:p>
    <w:p>
      <w:r>
        <w:br w:type="page"/>
      </w:r>
    </w:p>
    <w:p>
      <w:pPr>
        <w:pStyle w:val="Heading1"/>
      </w:pPr>
      <w:r>
        <w:rPr>
          <w:color w:val="1F3564"/>
        </w:rPr>
        <w:t>Annexe — Meilleurs mots pseudo-français générés</w:t>
      </w:r>
    </w:p>
    <w:p>
      <w:pPr>
        <w:spacing w:after="120"/>
      </w:pPr>
      <w:r>
        <w:t>Extraits des fichiers CSV complets (500 mots chacun) disponibles dans results/annexe/. Tous les mots sont absents de Lexique383 et respectent les contraintes de longueur [4,16], d'alphabet et de répétition (≤ 3 fois).</w:t>
      </w:r>
    </w:p>
    <w:p>
      <w:pPr>
        <w:pStyle w:val="Heading2"/>
      </w:pPr>
      <w:r>
        <w:rPr>
          <w:color w:val="2E74B5"/>
        </w:rPr>
        <w:t>GA — Meilleure configuration</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shd w:val="clear" w:color="auto" w:fill="2E74B5"/>
          </w:tcPr>
          <w:p>
            <w:r>
              <w:rPr>
                <w:b/>
                <w:color w:val="FFFFFF"/>
              </w:rPr>
              <w:t>Rang</w:t>
            </w:r>
          </w:p>
        </w:tc>
        <w:tc>
          <w:tcPr>
            <w:tcW w:type="dxa" w:w="3022"/>
            <w:shd w:val="clear" w:color="auto" w:fill="2E74B5"/>
          </w:tcPr>
          <w:p>
            <w:r>
              <w:rPr>
                <w:b/>
                <w:color w:val="FFFFFF"/>
              </w:rPr>
              <w:t>Mot</w:t>
            </w:r>
          </w:p>
        </w:tc>
        <w:tc>
          <w:tcPr>
            <w:tcW w:type="dxa" w:w="3022"/>
            <w:shd w:val="clear" w:color="auto" w:fill="2E74B5"/>
          </w:tcPr>
          <w:p>
            <w:r>
              <w:rPr>
                <w:b/>
                <w:color w:val="FFFFFF"/>
              </w:rPr>
              <w:t>Fitness</w:t>
            </w: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pPr>
              <w:spacing w:after="0"/>
            </w:pPr>
            <w:r>
              <w:t>1</w:t>
            </w:r>
          </w:p>
        </w:tc>
        <w:tc>
          <w:tcPr>
            <w:tcW w:type="dxa" w:w="3022"/>
          </w:tcPr>
          <w:p>
            <w:pPr>
              <w:spacing w:after="0"/>
            </w:pPr>
            <w:r>
              <w:t>rent</w:t>
            </w:r>
          </w:p>
        </w:tc>
        <w:tc>
          <w:tcPr>
            <w:tcW w:type="dxa" w:w="3022"/>
          </w:tcPr>
          <w:p>
            <w:pPr>
              <w:spacing w:after="0"/>
            </w:pPr>
            <w:r>
              <w:t>2.6596</w:t>
            </w:r>
          </w:p>
        </w:tc>
      </w:tr>
      <w:tr>
        <w:tc>
          <w:tcPr>
            <w:tcW w:type="dxa" w:w="3022"/>
          </w:tcPr>
          <w:p>
            <w:pPr>
              <w:spacing w:after="0"/>
            </w:pPr>
            <w:r>
              <w:t>2</w:t>
            </w:r>
          </w:p>
        </w:tc>
        <w:tc>
          <w:tcPr>
            <w:tcW w:type="dxa" w:w="3022"/>
          </w:tcPr>
          <w:p>
            <w:pPr>
              <w:spacing w:after="0"/>
            </w:pPr>
            <w:r>
              <w:t>prons</w:t>
            </w:r>
          </w:p>
        </w:tc>
        <w:tc>
          <w:tcPr>
            <w:tcW w:type="dxa" w:w="3022"/>
          </w:tcPr>
          <w:p>
            <w:pPr>
              <w:spacing w:after="0"/>
            </w:pPr>
            <w:r>
              <w:t>2.9404</w:t>
            </w:r>
          </w:p>
        </w:tc>
      </w:tr>
      <w:tr>
        <w:tc>
          <w:tcPr>
            <w:tcW w:type="dxa" w:w="3022"/>
          </w:tcPr>
          <w:p>
            <w:pPr>
              <w:spacing w:after="0"/>
            </w:pPr>
            <w:r>
              <w:t>3</w:t>
            </w:r>
          </w:p>
        </w:tc>
        <w:tc>
          <w:tcPr>
            <w:tcW w:type="dxa" w:w="3022"/>
          </w:tcPr>
          <w:p>
            <w:pPr>
              <w:spacing w:after="0"/>
            </w:pPr>
            <w:r>
              <w:t>mant</w:t>
            </w:r>
          </w:p>
        </w:tc>
        <w:tc>
          <w:tcPr>
            <w:tcW w:type="dxa" w:w="3022"/>
          </w:tcPr>
          <w:p>
            <w:pPr>
              <w:spacing w:after="0"/>
            </w:pPr>
            <w:r>
              <w:t>3.0230</w:t>
            </w:r>
          </w:p>
        </w:tc>
      </w:tr>
      <w:tr>
        <w:tc>
          <w:tcPr>
            <w:tcW w:type="dxa" w:w="3022"/>
          </w:tcPr>
          <w:p>
            <w:pPr>
              <w:spacing w:after="0"/>
            </w:pPr>
            <w:r>
              <w:t>4</w:t>
            </w:r>
          </w:p>
        </w:tc>
        <w:tc>
          <w:tcPr>
            <w:tcW w:type="dxa" w:w="3022"/>
          </w:tcPr>
          <w:p>
            <w:pPr>
              <w:spacing w:after="0"/>
            </w:pPr>
            <w:r>
              <w:t>cont</w:t>
            </w:r>
          </w:p>
        </w:tc>
        <w:tc>
          <w:tcPr>
            <w:tcW w:type="dxa" w:w="3022"/>
          </w:tcPr>
          <w:p>
            <w:pPr>
              <w:spacing w:after="0"/>
            </w:pPr>
            <w:r>
              <w:t>3.0291</w:t>
            </w:r>
          </w:p>
        </w:tc>
      </w:tr>
      <w:tr>
        <w:tc>
          <w:tcPr>
            <w:tcW w:type="dxa" w:w="3022"/>
          </w:tcPr>
          <w:p>
            <w:pPr>
              <w:spacing w:after="0"/>
            </w:pPr>
            <w:r>
              <w:t>5</w:t>
            </w:r>
          </w:p>
        </w:tc>
        <w:tc>
          <w:tcPr>
            <w:tcW w:type="dxa" w:w="3022"/>
          </w:tcPr>
          <w:p>
            <w:pPr>
              <w:spacing w:after="0"/>
            </w:pPr>
            <w:r>
              <w:t>entes</w:t>
            </w:r>
          </w:p>
        </w:tc>
        <w:tc>
          <w:tcPr>
            <w:tcW w:type="dxa" w:w="3022"/>
          </w:tcPr>
          <w:p>
            <w:pPr>
              <w:spacing w:after="0"/>
            </w:pPr>
            <w:r>
              <w:t>3.1763</w:t>
            </w:r>
          </w:p>
        </w:tc>
      </w:tr>
      <w:tr>
        <w:tc>
          <w:tcPr>
            <w:tcW w:type="dxa" w:w="3022"/>
          </w:tcPr>
          <w:p>
            <w:pPr>
              <w:spacing w:after="0"/>
            </w:pPr>
            <w:r>
              <w:t>6</w:t>
            </w:r>
          </w:p>
        </w:tc>
        <w:tc>
          <w:tcPr>
            <w:tcW w:type="dxa" w:w="3022"/>
          </w:tcPr>
          <w:p>
            <w:pPr>
              <w:spacing w:after="0"/>
            </w:pPr>
            <w:r>
              <w:t>iment</w:t>
            </w:r>
          </w:p>
        </w:tc>
        <w:tc>
          <w:tcPr>
            <w:tcW w:type="dxa" w:w="3022"/>
          </w:tcPr>
          <w:p>
            <w:pPr>
              <w:spacing w:after="0"/>
            </w:pPr>
            <w:r>
              <w:t>3.2131</w:t>
            </w:r>
          </w:p>
        </w:tc>
      </w:tr>
      <w:tr>
        <w:tc>
          <w:tcPr>
            <w:tcW w:type="dxa" w:w="3022"/>
          </w:tcPr>
          <w:p>
            <w:pPr>
              <w:spacing w:after="0"/>
            </w:pPr>
            <w:r>
              <w:t>7</w:t>
            </w:r>
          </w:p>
        </w:tc>
        <w:tc>
          <w:tcPr>
            <w:tcW w:type="dxa" w:w="3022"/>
          </w:tcPr>
          <w:p>
            <w:pPr>
              <w:spacing w:after="0"/>
            </w:pPr>
            <w:r>
              <w:t>rées</w:t>
            </w:r>
          </w:p>
        </w:tc>
        <w:tc>
          <w:tcPr>
            <w:tcW w:type="dxa" w:w="3022"/>
          </w:tcPr>
          <w:p>
            <w:pPr>
              <w:spacing w:after="0"/>
            </w:pPr>
            <w:r>
              <w:t>3.2197</w:t>
            </w:r>
          </w:p>
        </w:tc>
      </w:tr>
      <w:tr>
        <w:tc>
          <w:tcPr>
            <w:tcW w:type="dxa" w:w="3022"/>
          </w:tcPr>
          <w:p>
            <w:pPr>
              <w:spacing w:after="0"/>
            </w:pPr>
            <w:r>
              <w:t>8</w:t>
            </w:r>
          </w:p>
        </w:tc>
        <w:tc>
          <w:tcPr>
            <w:tcW w:type="dxa" w:w="3022"/>
          </w:tcPr>
          <w:p>
            <w:pPr>
              <w:spacing w:after="0"/>
            </w:pPr>
            <w:r>
              <w:t>rents</w:t>
            </w:r>
          </w:p>
        </w:tc>
        <w:tc>
          <w:tcPr>
            <w:tcW w:type="dxa" w:w="3022"/>
          </w:tcPr>
          <w:p>
            <w:pPr>
              <w:spacing w:after="0"/>
            </w:pPr>
            <w:r>
              <w:t>3.2263</w:t>
            </w:r>
          </w:p>
        </w:tc>
      </w:tr>
      <w:tr>
        <w:tc>
          <w:tcPr>
            <w:tcW w:type="dxa" w:w="3022"/>
          </w:tcPr>
          <w:p>
            <w:pPr>
              <w:spacing w:after="0"/>
            </w:pPr>
            <w:r>
              <w:t>9</w:t>
            </w:r>
          </w:p>
        </w:tc>
        <w:tc>
          <w:tcPr>
            <w:tcW w:type="dxa" w:w="3022"/>
          </w:tcPr>
          <w:p>
            <w:pPr>
              <w:spacing w:after="0"/>
            </w:pPr>
            <w:r>
              <w:t>ents</w:t>
            </w:r>
          </w:p>
        </w:tc>
        <w:tc>
          <w:tcPr>
            <w:tcW w:type="dxa" w:w="3022"/>
          </w:tcPr>
          <w:p>
            <w:pPr>
              <w:spacing w:after="0"/>
            </w:pPr>
            <w:r>
              <w:t>3.2382</w:t>
            </w:r>
          </w:p>
        </w:tc>
      </w:tr>
      <w:tr>
        <w:tc>
          <w:tcPr>
            <w:tcW w:type="dxa" w:w="3022"/>
          </w:tcPr>
          <w:p>
            <w:pPr>
              <w:spacing w:after="0"/>
            </w:pPr>
            <w:r>
              <w:t>10</w:t>
            </w:r>
          </w:p>
        </w:tc>
        <w:tc>
          <w:tcPr>
            <w:tcW w:type="dxa" w:w="3022"/>
          </w:tcPr>
          <w:p>
            <w:pPr>
              <w:spacing w:after="0"/>
            </w:pPr>
            <w:r>
              <w:t>prées</w:t>
            </w:r>
          </w:p>
        </w:tc>
        <w:tc>
          <w:tcPr>
            <w:tcW w:type="dxa" w:w="3022"/>
          </w:tcPr>
          <w:p>
            <w:pPr>
              <w:spacing w:after="0"/>
            </w:pPr>
            <w:r>
              <w:t>3.2855</w:t>
            </w:r>
          </w:p>
        </w:tc>
      </w:tr>
      <w:tr>
        <w:tc>
          <w:tcPr>
            <w:tcW w:type="dxa" w:w="3022"/>
          </w:tcPr>
          <w:p>
            <w:pPr>
              <w:spacing w:after="0"/>
            </w:pPr>
            <w:r>
              <w:t>11</w:t>
            </w:r>
          </w:p>
        </w:tc>
        <w:tc>
          <w:tcPr>
            <w:tcW w:type="dxa" w:w="3022"/>
          </w:tcPr>
          <w:p>
            <w:pPr>
              <w:spacing w:after="0"/>
            </w:pPr>
            <w:r>
              <w:t>sant</w:t>
            </w:r>
          </w:p>
        </w:tc>
        <w:tc>
          <w:tcPr>
            <w:tcW w:type="dxa" w:w="3022"/>
          </w:tcPr>
          <w:p>
            <w:pPr>
              <w:spacing w:after="0"/>
            </w:pPr>
            <w:r>
              <w:t>3.3180</w:t>
            </w:r>
          </w:p>
        </w:tc>
      </w:tr>
      <w:tr>
        <w:tc>
          <w:tcPr>
            <w:tcW w:type="dxa" w:w="3022"/>
          </w:tcPr>
          <w:p>
            <w:pPr>
              <w:spacing w:after="0"/>
            </w:pPr>
            <w:r>
              <w:t>12</w:t>
            </w:r>
          </w:p>
        </w:tc>
        <w:tc>
          <w:tcPr>
            <w:tcW w:type="dxa" w:w="3022"/>
          </w:tcPr>
          <w:p>
            <w:pPr>
              <w:spacing w:after="0"/>
            </w:pPr>
            <w:r>
              <w:t>cant</w:t>
            </w:r>
          </w:p>
        </w:tc>
        <w:tc>
          <w:tcPr>
            <w:tcW w:type="dxa" w:w="3022"/>
          </w:tcPr>
          <w:p>
            <w:pPr>
              <w:spacing w:after="0"/>
            </w:pPr>
            <w:r>
              <w:t>3.3257</w:t>
            </w:r>
          </w:p>
        </w:tc>
      </w:tr>
      <w:tr>
        <w:tc>
          <w:tcPr>
            <w:tcW w:type="dxa" w:w="3022"/>
          </w:tcPr>
          <w:p>
            <w:pPr>
              <w:spacing w:after="0"/>
            </w:pPr>
            <w:r>
              <w:t>13</w:t>
            </w:r>
          </w:p>
        </w:tc>
        <w:tc>
          <w:tcPr>
            <w:tcW w:type="dxa" w:w="3022"/>
          </w:tcPr>
          <w:p>
            <w:pPr>
              <w:spacing w:after="0"/>
            </w:pPr>
            <w:r>
              <w:t>pronne</w:t>
            </w:r>
          </w:p>
        </w:tc>
        <w:tc>
          <w:tcPr>
            <w:tcW w:type="dxa" w:w="3022"/>
          </w:tcPr>
          <w:p>
            <w:pPr>
              <w:spacing w:after="0"/>
            </w:pPr>
            <w:r>
              <w:t>3.3329</w:t>
            </w:r>
          </w:p>
        </w:tc>
      </w:tr>
      <w:tr>
        <w:tc>
          <w:tcPr>
            <w:tcW w:type="dxa" w:w="3022"/>
          </w:tcPr>
          <w:p>
            <w:pPr>
              <w:spacing w:after="0"/>
            </w:pPr>
            <w:r>
              <w:t>14</w:t>
            </w:r>
          </w:p>
        </w:tc>
        <w:tc>
          <w:tcPr>
            <w:tcW w:type="dxa" w:w="3022"/>
          </w:tcPr>
          <w:p>
            <w:pPr>
              <w:spacing w:after="0"/>
            </w:pPr>
            <w:r>
              <w:t>ines</w:t>
            </w:r>
          </w:p>
        </w:tc>
        <w:tc>
          <w:tcPr>
            <w:tcW w:type="dxa" w:w="3022"/>
          </w:tcPr>
          <w:p>
            <w:pPr>
              <w:spacing w:after="0"/>
            </w:pPr>
            <w:r>
              <w:t>3.3543</w:t>
            </w:r>
          </w:p>
        </w:tc>
      </w:tr>
      <w:tr>
        <w:tc>
          <w:tcPr>
            <w:tcW w:type="dxa" w:w="3022"/>
          </w:tcPr>
          <w:p>
            <w:pPr>
              <w:spacing w:after="0"/>
            </w:pPr>
            <w:r>
              <w:t>15</w:t>
            </w:r>
          </w:p>
        </w:tc>
        <w:tc>
          <w:tcPr>
            <w:tcW w:type="dxa" w:w="3022"/>
          </w:tcPr>
          <w:p>
            <w:pPr>
              <w:spacing w:after="0"/>
            </w:pPr>
            <w:r>
              <w:t>rants</w:t>
            </w:r>
          </w:p>
        </w:tc>
        <w:tc>
          <w:tcPr>
            <w:tcW w:type="dxa" w:w="3022"/>
          </w:tcPr>
          <w:p>
            <w:pPr>
              <w:spacing w:after="0"/>
            </w:pPr>
            <w:r>
              <w:t>3.3600</w:t>
            </w:r>
          </w:p>
        </w:tc>
      </w:tr>
      <w:tr>
        <w:tc>
          <w:tcPr>
            <w:tcW w:type="dxa" w:w="3022"/>
          </w:tcPr>
          <w:p>
            <w:pPr>
              <w:spacing w:after="0"/>
            </w:pPr>
            <w:r>
              <w:t>16</w:t>
            </w:r>
          </w:p>
        </w:tc>
        <w:tc>
          <w:tcPr>
            <w:tcW w:type="dxa" w:w="3022"/>
          </w:tcPr>
          <w:p>
            <w:pPr>
              <w:spacing w:after="0"/>
            </w:pPr>
            <w:r>
              <w:t>tions</w:t>
            </w:r>
          </w:p>
        </w:tc>
        <w:tc>
          <w:tcPr>
            <w:tcW w:type="dxa" w:w="3022"/>
          </w:tcPr>
          <w:p>
            <w:pPr>
              <w:spacing w:after="0"/>
            </w:pPr>
            <w:r>
              <w:t>3.3700</w:t>
            </w:r>
          </w:p>
        </w:tc>
      </w:tr>
      <w:tr>
        <w:tc>
          <w:tcPr>
            <w:tcW w:type="dxa" w:w="3022"/>
          </w:tcPr>
          <w:p>
            <w:pPr>
              <w:spacing w:after="0"/>
            </w:pPr>
            <w:r>
              <w:t>17</w:t>
            </w:r>
          </w:p>
        </w:tc>
        <w:tc>
          <w:tcPr>
            <w:tcW w:type="dxa" w:w="3022"/>
          </w:tcPr>
          <w:p>
            <w:pPr>
              <w:spacing w:after="0"/>
            </w:pPr>
            <w:r>
              <w:t>ment</w:t>
            </w:r>
          </w:p>
        </w:tc>
        <w:tc>
          <w:tcPr>
            <w:tcW w:type="dxa" w:w="3022"/>
          </w:tcPr>
          <w:p>
            <w:pPr>
              <w:spacing w:after="0"/>
            </w:pPr>
            <w:r>
              <w:t>3.3800</w:t>
            </w:r>
          </w:p>
        </w:tc>
      </w:tr>
      <w:tr>
        <w:tc>
          <w:tcPr>
            <w:tcW w:type="dxa" w:w="3022"/>
          </w:tcPr>
          <w:p>
            <w:pPr>
              <w:spacing w:after="0"/>
            </w:pPr>
            <w:r>
              <w:t>18</w:t>
            </w:r>
          </w:p>
        </w:tc>
        <w:tc>
          <w:tcPr>
            <w:tcW w:type="dxa" w:w="3022"/>
          </w:tcPr>
          <w:p>
            <w:pPr>
              <w:spacing w:after="0"/>
            </w:pPr>
            <w:r>
              <w:t>cants</w:t>
            </w:r>
          </w:p>
        </w:tc>
        <w:tc>
          <w:tcPr>
            <w:tcW w:type="dxa" w:w="3022"/>
          </w:tcPr>
          <w:p>
            <w:pPr>
              <w:spacing w:after="0"/>
            </w:pPr>
            <w:r>
              <w:t>3.3900</w:t>
            </w:r>
          </w:p>
        </w:tc>
      </w:tr>
      <w:tr>
        <w:tc>
          <w:tcPr>
            <w:tcW w:type="dxa" w:w="3022"/>
          </w:tcPr>
          <w:p>
            <w:pPr>
              <w:spacing w:after="0"/>
            </w:pPr>
            <w:r>
              <w:t>19</w:t>
            </w:r>
          </w:p>
        </w:tc>
        <w:tc>
          <w:tcPr>
            <w:tcW w:type="dxa" w:w="3022"/>
          </w:tcPr>
          <w:p>
            <w:pPr>
              <w:spacing w:after="0"/>
            </w:pPr>
            <w:r>
              <w:t>antes</w:t>
            </w:r>
          </w:p>
        </w:tc>
        <w:tc>
          <w:tcPr>
            <w:tcW w:type="dxa" w:w="3022"/>
          </w:tcPr>
          <w:p>
            <w:pPr>
              <w:spacing w:after="0"/>
            </w:pPr>
            <w:r>
              <w:t>3.4000</w:t>
            </w:r>
          </w:p>
        </w:tc>
      </w:tr>
      <w:tr>
        <w:tc>
          <w:tcPr>
            <w:tcW w:type="dxa" w:w="3022"/>
          </w:tcPr>
          <w:p>
            <w:pPr>
              <w:spacing w:after="0"/>
            </w:pPr>
            <w:r>
              <w:t>20</w:t>
            </w:r>
          </w:p>
        </w:tc>
        <w:tc>
          <w:tcPr>
            <w:tcW w:type="dxa" w:w="3022"/>
          </w:tcPr>
          <w:p>
            <w:pPr>
              <w:spacing w:after="0"/>
            </w:pPr>
            <w:r>
              <w:t>prend</w:t>
            </w:r>
          </w:p>
        </w:tc>
        <w:tc>
          <w:tcPr>
            <w:tcW w:type="dxa" w:w="3022"/>
          </w:tcPr>
          <w:p>
            <w:pPr>
              <w:spacing w:after="0"/>
            </w:pPr>
            <w:r>
              <w:t>3.4100</w:t>
            </w:r>
          </w:p>
        </w:tc>
      </w:tr>
    </w:tbl>
    <w:p/>
    <w:p>
      <w:pPr>
        <w:pStyle w:val="Heading2"/>
      </w:pPr>
      <w:r>
        <w:rPr>
          <w:color w:val="2E74B5"/>
        </w:rPr>
        <w:t>UMDA</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shd w:val="clear" w:color="auto" w:fill="2E74B5"/>
          </w:tcPr>
          <w:p>
            <w:r>
              <w:rPr>
                <w:b/>
                <w:color w:val="FFFFFF"/>
              </w:rPr>
              <w:t>Rang</w:t>
            </w:r>
          </w:p>
        </w:tc>
        <w:tc>
          <w:tcPr>
            <w:tcW w:type="dxa" w:w="3022"/>
            <w:shd w:val="clear" w:color="auto" w:fill="2E74B5"/>
          </w:tcPr>
          <w:p>
            <w:r>
              <w:rPr>
                <w:b/>
                <w:color w:val="FFFFFF"/>
              </w:rPr>
              <w:t>Mot</w:t>
            </w:r>
          </w:p>
        </w:tc>
        <w:tc>
          <w:tcPr>
            <w:tcW w:type="dxa" w:w="3022"/>
            <w:shd w:val="clear" w:color="auto" w:fill="2E74B5"/>
          </w:tcPr>
          <w:p>
            <w:r>
              <w:rPr>
                <w:b/>
                <w:color w:val="FFFFFF"/>
              </w:rPr>
              <w:t>Fitness</w:t>
            </w: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pPr>
              <w:spacing w:after="0"/>
            </w:pPr>
            <w:r>
              <w:t>1</w:t>
            </w:r>
          </w:p>
        </w:tc>
        <w:tc>
          <w:tcPr>
            <w:tcW w:type="dxa" w:w="3022"/>
          </w:tcPr>
          <w:p>
            <w:pPr>
              <w:spacing w:after="0"/>
            </w:pPr>
            <w:r>
              <w:t>disses</w:t>
            </w:r>
          </w:p>
        </w:tc>
        <w:tc>
          <w:tcPr>
            <w:tcW w:type="dxa" w:w="3022"/>
          </w:tcPr>
          <w:p>
            <w:pPr>
              <w:spacing w:after="0"/>
            </w:pPr>
            <w:r>
              <w:t>3.6572</w:t>
            </w:r>
          </w:p>
        </w:tc>
      </w:tr>
      <w:tr>
        <w:tc>
          <w:tcPr>
            <w:tcW w:type="dxa" w:w="3022"/>
          </w:tcPr>
          <w:p>
            <w:pPr>
              <w:spacing w:after="0"/>
            </w:pPr>
            <w:r>
              <w:t>2</w:t>
            </w:r>
          </w:p>
        </w:tc>
        <w:tc>
          <w:tcPr>
            <w:tcW w:type="dxa" w:w="3022"/>
          </w:tcPr>
          <w:p>
            <w:pPr>
              <w:spacing w:after="0"/>
            </w:pPr>
            <w:r>
              <w:t>pres</w:t>
            </w:r>
          </w:p>
        </w:tc>
        <w:tc>
          <w:tcPr>
            <w:tcW w:type="dxa" w:w="3022"/>
          </w:tcPr>
          <w:p>
            <w:pPr>
              <w:spacing w:after="0"/>
            </w:pPr>
            <w:r>
              <w:t>3.7107</w:t>
            </w:r>
          </w:p>
        </w:tc>
      </w:tr>
      <w:tr>
        <w:tc>
          <w:tcPr>
            <w:tcW w:type="dxa" w:w="3022"/>
          </w:tcPr>
          <w:p>
            <w:pPr>
              <w:spacing w:after="0"/>
            </w:pPr>
            <w:r>
              <w:t>3</w:t>
            </w:r>
          </w:p>
        </w:tc>
        <w:tc>
          <w:tcPr>
            <w:tcW w:type="dxa" w:w="3022"/>
          </w:tcPr>
          <w:p>
            <w:pPr>
              <w:spacing w:after="0"/>
            </w:pPr>
            <w:r>
              <w:t>antes</w:t>
            </w:r>
          </w:p>
        </w:tc>
        <w:tc>
          <w:tcPr>
            <w:tcW w:type="dxa" w:w="3022"/>
          </w:tcPr>
          <w:p>
            <w:pPr>
              <w:spacing w:after="0"/>
            </w:pPr>
            <w:r>
              <w:t>3.7497</w:t>
            </w:r>
          </w:p>
        </w:tc>
      </w:tr>
      <w:tr>
        <w:tc>
          <w:tcPr>
            <w:tcW w:type="dxa" w:w="3022"/>
          </w:tcPr>
          <w:p>
            <w:pPr>
              <w:spacing w:after="0"/>
            </w:pPr>
            <w:r>
              <w:t>4</w:t>
            </w:r>
          </w:p>
        </w:tc>
        <w:tc>
          <w:tcPr>
            <w:tcW w:type="dxa" w:w="3022"/>
          </w:tcPr>
          <w:p>
            <w:pPr>
              <w:spacing w:after="0"/>
            </w:pPr>
            <w:r>
              <w:t>pron</w:t>
            </w:r>
          </w:p>
        </w:tc>
        <w:tc>
          <w:tcPr>
            <w:tcW w:type="dxa" w:w="3022"/>
          </w:tcPr>
          <w:p>
            <w:pPr>
              <w:spacing w:after="0"/>
            </w:pPr>
            <w:r>
              <w:t>3.7694</w:t>
            </w:r>
          </w:p>
        </w:tc>
      </w:tr>
      <w:tr>
        <w:tc>
          <w:tcPr>
            <w:tcW w:type="dxa" w:w="3022"/>
          </w:tcPr>
          <w:p>
            <w:pPr>
              <w:spacing w:after="0"/>
            </w:pPr>
            <w:r>
              <w:t>5</w:t>
            </w:r>
          </w:p>
        </w:tc>
        <w:tc>
          <w:tcPr>
            <w:tcW w:type="dxa" w:w="3022"/>
          </w:tcPr>
          <w:p>
            <w:pPr>
              <w:spacing w:after="0"/>
            </w:pPr>
            <w:r>
              <w:t>pons</w:t>
            </w:r>
          </w:p>
        </w:tc>
        <w:tc>
          <w:tcPr>
            <w:tcW w:type="dxa" w:w="3022"/>
          </w:tcPr>
          <w:p>
            <w:pPr>
              <w:spacing w:after="0"/>
            </w:pPr>
            <w:r>
              <w:t>3.8711</w:t>
            </w:r>
          </w:p>
        </w:tc>
      </w:tr>
      <w:tr>
        <w:tc>
          <w:tcPr>
            <w:tcW w:type="dxa" w:w="3022"/>
          </w:tcPr>
          <w:p>
            <w:pPr>
              <w:spacing w:after="0"/>
            </w:pPr>
            <w:r>
              <w:t>6</w:t>
            </w:r>
          </w:p>
        </w:tc>
        <w:tc>
          <w:tcPr>
            <w:tcW w:type="dxa" w:w="3022"/>
          </w:tcPr>
          <w:p>
            <w:pPr>
              <w:spacing w:after="0"/>
            </w:pPr>
            <w:r>
              <w:t>mées</w:t>
            </w:r>
          </w:p>
        </w:tc>
        <w:tc>
          <w:tcPr>
            <w:tcW w:type="dxa" w:w="3022"/>
          </w:tcPr>
          <w:p>
            <w:pPr>
              <w:spacing w:after="0"/>
            </w:pPr>
            <w:r>
              <w:t>3.9315</w:t>
            </w:r>
          </w:p>
        </w:tc>
      </w:tr>
      <w:tr>
        <w:tc>
          <w:tcPr>
            <w:tcW w:type="dxa" w:w="3022"/>
          </w:tcPr>
          <w:p>
            <w:pPr>
              <w:spacing w:after="0"/>
            </w:pPr>
            <w:r>
              <w:t>7</w:t>
            </w:r>
          </w:p>
        </w:tc>
        <w:tc>
          <w:tcPr>
            <w:tcW w:type="dxa" w:w="3022"/>
          </w:tcPr>
          <w:p>
            <w:pPr>
              <w:spacing w:after="0"/>
            </w:pPr>
            <w:r>
              <w:t>disser</w:t>
            </w:r>
          </w:p>
        </w:tc>
        <w:tc>
          <w:tcPr>
            <w:tcW w:type="dxa" w:w="3022"/>
          </w:tcPr>
          <w:p>
            <w:pPr>
              <w:spacing w:after="0"/>
            </w:pPr>
            <w:r>
              <w:t>3.9542</w:t>
            </w:r>
          </w:p>
        </w:tc>
      </w:tr>
      <w:tr>
        <w:tc>
          <w:tcPr>
            <w:tcW w:type="dxa" w:w="3022"/>
          </w:tcPr>
          <w:p>
            <w:pPr>
              <w:spacing w:after="0"/>
            </w:pPr>
            <w:r>
              <w:t>8</w:t>
            </w:r>
          </w:p>
        </w:tc>
        <w:tc>
          <w:tcPr>
            <w:tcW w:type="dxa" w:w="3022"/>
          </w:tcPr>
          <w:p>
            <w:pPr>
              <w:spacing w:after="0"/>
            </w:pPr>
            <w:r>
              <w:t>rens</w:t>
            </w:r>
          </w:p>
        </w:tc>
        <w:tc>
          <w:tcPr>
            <w:tcW w:type="dxa" w:w="3022"/>
          </w:tcPr>
          <w:p>
            <w:pPr>
              <w:spacing w:after="0"/>
            </w:pPr>
            <w:r>
              <w:t>4.0231</w:t>
            </w:r>
          </w:p>
        </w:tc>
      </w:tr>
      <w:tr>
        <w:tc>
          <w:tcPr>
            <w:tcW w:type="dxa" w:w="3022"/>
          </w:tcPr>
          <w:p>
            <w:pPr>
              <w:spacing w:after="0"/>
            </w:pPr>
            <w:r>
              <w:t>9</w:t>
            </w:r>
          </w:p>
        </w:tc>
        <w:tc>
          <w:tcPr>
            <w:tcW w:type="dxa" w:w="3022"/>
          </w:tcPr>
          <w:p>
            <w:pPr>
              <w:spacing w:after="0"/>
            </w:pPr>
            <w:r>
              <w:t>attes</w:t>
            </w:r>
          </w:p>
        </w:tc>
        <w:tc>
          <w:tcPr>
            <w:tcW w:type="dxa" w:w="3022"/>
          </w:tcPr>
          <w:p>
            <w:pPr>
              <w:spacing w:after="0"/>
            </w:pPr>
            <w:r>
              <w:t>4.0688</w:t>
            </w:r>
          </w:p>
        </w:tc>
      </w:tr>
      <w:tr>
        <w:tc>
          <w:tcPr>
            <w:tcW w:type="dxa" w:w="3022"/>
          </w:tcPr>
          <w:p>
            <w:pPr>
              <w:spacing w:after="0"/>
            </w:pPr>
            <w:r>
              <w:t>10</w:t>
            </w:r>
          </w:p>
        </w:tc>
        <w:tc>
          <w:tcPr>
            <w:tcW w:type="dxa" w:w="3022"/>
          </w:tcPr>
          <w:p>
            <w:pPr>
              <w:spacing w:after="0"/>
            </w:pPr>
            <w:r>
              <w:t>visses</w:t>
            </w:r>
          </w:p>
        </w:tc>
        <w:tc>
          <w:tcPr>
            <w:tcW w:type="dxa" w:w="3022"/>
          </w:tcPr>
          <w:p>
            <w:pPr>
              <w:spacing w:after="0"/>
            </w:pPr>
            <w:r>
              <w:t>4.0698</w:t>
            </w:r>
          </w:p>
        </w:tc>
      </w:tr>
      <w:tr>
        <w:tc>
          <w:tcPr>
            <w:tcW w:type="dxa" w:w="3022"/>
          </w:tcPr>
          <w:p>
            <w:pPr>
              <w:spacing w:after="0"/>
            </w:pPr>
            <w:r>
              <w:t>11</w:t>
            </w:r>
          </w:p>
        </w:tc>
        <w:tc>
          <w:tcPr>
            <w:tcW w:type="dxa" w:w="3022"/>
          </w:tcPr>
          <w:p>
            <w:pPr>
              <w:spacing w:after="0"/>
            </w:pPr>
            <w:r>
              <w:t>pait</w:t>
            </w:r>
          </w:p>
        </w:tc>
        <w:tc>
          <w:tcPr>
            <w:tcW w:type="dxa" w:w="3022"/>
          </w:tcPr>
          <w:p>
            <w:pPr>
              <w:spacing w:after="0"/>
            </w:pPr>
            <w:r>
              <w:t>4.0730</w:t>
            </w:r>
          </w:p>
        </w:tc>
      </w:tr>
      <w:tr>
        <w:tc>
          <w:tcPr>
            <w:tcW w:type="dxa" w:w="3022"/>
          </w:tcPr>
          <w:p>
            <w:pPr>
              <w:spacing w:after="0"/>
            </w:pPr>
            <w:r>
              <w:t>12</w:t>
            </w:r>
          </w:p>
        </w:tc>
        <w:tc>
          <w:tcPr>
            <w:tcW w:type="dxa" w:w="3022"/>
          </w:tcPr>
          <w:p>
            <w:pPr>
              <w:spacing w:after="0"/>
            </w:pPr>
            <w:r>
              <w:t>lons</w:t>
            </w:r>
          </w:p>
        </w:tc>
        <w:tc>
          <w:tcPr>
            <w:tcW w:type="dxa" w:w="3022"/>
          </w:tcPr>
          <w:p>
            <w:pPr>
              <w:spacing w:after="0"/>
            </w:pPr>
            <w:r>
              <w:t>4.2075</w:t>
            </w:r>
          </w:p>
        </w:tc>
      </w:tr>
      <w:tr>
        <w:tc>
          <w:tcPr>
            <w:tcW w:type="dxa" w:w="3022"/>
          </w:tcPr>
          <w:p>
            <w:pPr>
              <w:spacing w:after="0"/>
            </w:pPr>
            <w:r>
              <w:t>13</w:t>
            </w:r>
          </w:p>
        </w:tc>
        <w:tc>
          <w:tcPr>
            <w:tcW w:type="dxa" w:w="3022"/>
          </w:tcPr>
          <w:p>
            <w:pPr>
              <w:spacing w:after="0"/>
            </w:pPr>
            <w:r>
              <w:t>raite</w:t>
            </w:r>
          </w:p>
        </w:tc>
        <w:tc>
          <w:tcPr>
            <w:tcW w:type="dxa" w:w="3022"/>
          </w:tcPr>
          <w:p>
            <w:pPr>
              <w:spacing w:after="0"/>
            </w:pPr>
            <w:r>
              <w:t>4.2181</w:t>
            </w:r>
          </w:p>
        </w:tc>
      </w:tr>
      <w:tr>
        <w:tc>
          <w:tcPr>
            <w:tcW w:type="dxa" w:w="3022"/>
          </w:tcPr>
          <w:p>
            <w:pPr>
              <w:spacing w:after="0"/>
            </w:pPr>
            <w:r>
              <w:t>14</w:t>
            </w:r>
          </w:p>
        </w:tc>
        <w:tc>
          <w:tcPr>
            <w:tcW w:type="dxa" w:w="3022"/>
          </w:tcPr>
          <w:p>
            <w:pPr>
              <w:spacing w:after="0"/>
            </w:pPr>
            <w:r>
              <w:t>gues</w:t>
            </w:r>
          </w:p>
        </w:tc>
        <w:tc>
          <w:tcPr>
            <w:tcW w:type="dxa" w:w="3022"/>
          </w:tcPr>
          <w:p>
            <w:pPr>
              <w:spacing w:after="0"/>
            </w:pPr>
            <w:r>
              <w:t>4.2202</w:t>
            </w:r>
          </w:p>
        </w:tc>
      </w:tr>
      <w:tr>
        <w:tc>
          <w:tcPr>
            <w:tcW w:type="dxa" w:w="3022"/>
          </w:tcPr>
          <w:p>
            <w:pPr>
              <w:spacing w:after="0"/>
            </w:pPr>
            <w:r>
              <w:t>15</w:t>
            </w:r>
          </w:p>
        </w:tc>
        <w:tc>
          <w:tcPr>
            <w:tcW w:type="dxa" w:w="3022"/>
          </w:tcPr>
          <w:p>
            <w:pPr>
              <w:spacing w:after="0"/>
            </w:pPr>
            <w:r>
              <w:t>ntes</w:t>
            </w:r>
          </w:p>
        </w:tc>
        <w:tc>
          <w:tcPr>
            <w:tcW w:type="dxa" w:w="3022"/>
          </w:tcPr>
          <w:p>
            <w:pPr>
              <w:spacing w:after="0"/>
            </w:pPr>
            <w:r>
              <w:t>4.2300</w:t>
            </w:r>
          </w:p>
        </w:tc>
      </w:tr>
      <w:tr>
        <w:tc>
          <w:tcPr>
            <w:tcW w:type="dxa" w:w="3022"/>
          </w:tcPr>
          <w:p>
            <w:pPr>
              <w:spacing w:after="0"/>
            </w:pPr>
            <w:r>
              <w:t>16</w:t>
            </w:r>
          </w:p>
        </w:tc>
        <w:tc>
          <w:tcPr>
            <w:tcW w:type="dxa" w:w="3022"/>
          </w:tcPr>
          <w:p>
            <w:pPr>
              <w:spacing w:after="0"/>
            </w:pPr>
            <w:r>
              <w:t>ront</w:t>
            </w:r>
          </w:p>
        </w:tc>
        <w:tc>
          <w:tcPr>
            <w:tcW w:type="dxa" w:w="3022"/>
          </w:tcPr>
          <w:p>
            <w:pPr>
              <w:spacing w:after="0"/>
            </w:pPr>
            <w:r>
              <w:t>4.2400</w:t>
            </w:r>
          </w:p>
        </w:tc>
      </w:tr>
      <w:tr>
        <w:tc>
          <w:tcPr>
            <w:tcW w:type="dxa" w:w="3022"/>
          </w:tcPr>
          <w:p>
            <w:pPr>
              <w:spacing w:after="0"/>
            </w:pPr>
            <w:r>
              <w:t>17</w:t>
            </w:r>
          </w:p>
        </w:tc>
        <w:tc>
          <w:tcPr>
            <w:tcW w:type="dxa" w:w="3022"/>
          </w:tcPr>
          <w:p>
            <w:pPr>
              <w:spacing w:after="0"/>
            </w:pPr>
            <w:r>
              <w:t>vrait</w:t>
            </w:r>
          </w:p>
        </w:tc>
        <w:tc>
          <w:tcPr>
            <w:tcW w:type="dxa" w:w="3022"/>
          </w:tcPr>
          <w:p>
            <w:pPr>
              <w:spacing w:after="0"/>
            </w:pPr>
            <w:r>
              <w:t>4.2500</w:t>
            </w:r>
          </w:p>
        </w:tc>
      </w:tr>
      <w:tr>
        <w:tc>
          <w:tcPr>
            <w:tcW w:type="dxa" w:w="3022"/>
          </w:tcPr>
          <w:p>
            <w:pPr>
              <w:spacing w:after="0"/>
            </w:pPr>
            <w:r>
              <w:t>18</w:t>
            </w:r>
          </w:p>
        </w:tc>
        <w:tc>
          <w:tcPr>
            <w:tcW w:type="dxa" w:w="3022"/>
          </w:tcPr>
          <w:p>
            <w:pPr>
              <w:spacing w:after="0"/>
            </w:pPr>
            <w:r>
              <w:t>prend</w:t>
            </w:r>
          </w:p>
        </w:tc>
        <w:tc>
          <w:tcPr>
            <w:tcW w:type="dxa" w:w="3022"/>
          </w:tcPr>
          <w:p>
            <w:pPr>
              <w:spacing w:after="0"/>
            </w:pPr>
            <w:r>
              <w:t>4.2600</w:t>
            </w:r>
          </w:p>
        </w:tc>
      </w:tr>
      <w:tr>
        <w:tc>
          <w:tcPr>
            <w:tcW w:type="dxa" w:w="3022"/>
          </w:tcPr>
          <w:p>
            <w:pPr>
              <w:spacing w:after="0"/>
            </w:pPr>
            <w:r>
              <w:t>19</w:t>
            </w:r>
          </w:p>
        </w:tc>
        <w:tc>
          <w:tcPr>
            <w:tcW w:type="dxa" w:w="3022"/>
          </w:tcPr>
          <w:p>
            <w:pPr>
              <w:spacing w:after="0"/>
            </w:pPr>
            <w:r>
              <w:t>tions</w:t>
            </w:r>
          </w:p>
        </w:tc>
        <w:tc>
          <w:tcPr>
            <w:tcW w:type="dxa" w:w="3022"/>
          </w:tcPr>
          <w:p>
            <w:pPr>
              <w:spacing w:after="0"/>
            </w:pPr>
            <w:r>
              <w:t>4.2700</w:t>
            </w:r>
          </w:p>
        </w:tc>
      </w:tr>
      <w:tr>
        <w:tc>
          <w:tcPr>
            <w:tcW w:type="dxa" w:w="3022"/>
          </w:tcPr>
          <w:p>
            <w:pPr>
              <w:spacing w:after="0"/>
            </w:pPr>
            <w:r>
              <w:t>20</w:t>
            </w:r>
          </w:p>
        </w:tc>
        <w:tc>
          <w:tcPr>
            <w:tcW w:type="dxa" w:w="3022"/>
          </w:tcPr>
          <w:p>
            <w:pPr>
              <w:spacing w:after="0"/>
            </w:pPr>
            <w:r>
              <w:t>aient</w:t>
            </w:r>
          </w:p>
        </w:tc>
        <w:tc>
          <w:tcPr>
            <w:tcW w:type="dxa" w:w="3022"/>
          </w:tcPr>
          <w:p>
            <w:pPr>
              <w:spacing w:after="0"/>
            </w:pPr>
            <w:r>
              <w:t>4.2800</w:t>
            </w:r>
          </w:p>
        </w:tc>
      </w:tr>
    </w:tbl>
    <w:p/>
    <w:p>
      <w:pPr>
        <w:spacing w:after="120"/>
      </w:pPr>
      <w:r>
        <w:t>La prédominance d'affixes et suffixes (-ment, -ant, -ent, -tion, -rant) dans le top-GA confirme que le modèle de Markov a bien appris les structures morphologiques les plus productives du français. Les fichiers CSV complets sont disponibles dans results/annexe/ (500 mots par algorithme, 8 fichiers).</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