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b/>
          <w:color w:val="1F7064"/>
          <w:sz w:val="22"/>
        </w:rPr>
        <w:t>CARNET DE NOTIONS</w:t>
      </w:r>
    </w:p>
    <w:p>
      <w:pPr>
        <w:spacing w:after="60"/>
        <w:jc w:val="center"/>
      </w:pPr>
      <w:r>
        <w:rPr>
          <w:rFonts w:ascii="Aptos Display" w:hAnsi="Aptos Display"/>
          <w:b/>
          <w:color w:val="183A37"/>
          <w:sz w:val="50"/>
        </w:rPr>
        <w:t>Comprendre l’intelligence artificielle</w:t>
      </w:r>
    </w:p>
    <w:p>
      <w:pPr>
        <w:spacing w:after="280"/>
        <w:jc w:val="center"/>
      </w:pPr>
      <w:r>
        <w:rPr>
          <w:i/>
          <w:color w:val="697777"/>
          <w:sz w:val="22"/>
        </w:rPr>
        <w:t>Les mots essentiels expliqués simplement</w:t>
      </w:r>
    </w:p>
    <w:p>
      <w:pPr>
        <w:spacing w:after="240"/>
        <w:jc w:val="both"/>
      </w:pPr>
      <w:r>
        <w:t>L’intelligence artificielle regroupe plusieurs techniques qui permettent aux ordinateurs d’analyser des informations, d’apprendre à partir d’exemples et de produire des résultats. Voici les notions principales à connaître.</w:t>
      </w:r>
    </w:p>
    <w:p>
      <w:pPr>
        <w:spacing w:before="160" w:after="60"/>
      </w:pPr>
      <w:r>
        <w:rPr>
          <w:b/>
          <w:color w:val="1F7064"/>
          <w:sz w:val="20"/>
        </w:rPr>
        <w:t xml:space="preserve">01   </w:t>
      </w:r>
      <w:r>
        <w:rPr>
          <w:b/>
          <w:color w:val="183A37"/>
          <w:sz w:val="26"/>
        </w:rPr>
        <w:t>Intelligence artificielle (IA)</w:t>
      </w:r>
    </w:p>
    <w:p>
      <w:pPr>
        <w:spacing w:after="60"/>
        <w:ind w:left="461"/>
        <w:jc w:val="both"/>
      </w:pPr>
      <w:r>
        <w:t>Ensemble de méthodes qui permettent à un ordinateur d’accomplir des tâches comme reconnaître des images, comprendre des questions ou aider à prendre une décision.</w:t>
      </w:r>
    </w:p>
    <w:p>
      <w:pPr>
        <w:spacing w:after="80"/>
        <w:ind w:left="461"/>
      </w:pPr>
      <w:r>
        <w:rPr>
          <w:b/>
          <w:color w:val="1F7064"/>
        </w:rPr>
        <w:t xml:space="preserve">À retenir — </w:t>
      </w:r>
      <w:r>
        <w:rPr>
          <w:i/>
          <w:color w:val="5A656A"/>
          <w:sz w:val="19"/>
        </w:rPr>
        <w:t>un assistant virtuel qui répond à une question.</w:t>
      </w:r>
    </w:p>
    <w:p>
      <w:pPr>
        <w:spacing w:before="160" w:after="60"/>
      </w:pPr>
      <w:r>
        <w:rPr>
          <w:b/>
          <w:color w:val="1F7064"/>
          <w:sz w:val="20"/>
        </w:rPr>
        <w:t xml:space="preserve">02   </w:t>
      </w:r>
      <w:r>
        <w:rPr>
          <w:b/>
          <w:color w:val="183A37"/>
          <w:sz w:val="26"/>
        </w:rPr>
        <w:t>Machine Learning</w:t>
      </w:r>
    </w:p>
    <w:p>
      <w:pPr>
        <w:spacing w:after="60"/>
        <w:ind w:left="461"/>
        <w:jc w:val="both"/>
      </w:pPr>
      <w:r>
        <w:t>Le Machine Learning, ou apprentissage automatique, permet à un programme de repérer des modèles dans des données plutôt que de suivre uniquement des règles écrites à l’avance.</w:t>
      </w:r>
    </w:p>
    <w:p>
      <w:pPr>
        <w:spacing w:after="80"/>
        <w:ind w:left="461"/>
      </w:pPr>
      <w:r>
        <w:rPr>
          <w:b/>
          <w:color w:val="1F7064"/>
        </w:rPr>
        <w:t xml:space="preserve">À retenir — </w:t>
      </w:r>
      <w:r>
        <w:rPr>
          <w:i/>
          <w:color w:val="5A656A"/>
          <w:sz w:val="19"/>
        </w:rPr>
        <w:t>un filtre qui apprend à distinguer les courriels indésirables.</w:t>
      </w:r>
    </w:p>
    <w:p>
      <w:pPr>
        <w:spacing w:before="160" w:after="60"/>
      </w:pPr>
      <w:r>
        <w:rPr>
          <w:b/>
          <w:color w:val="1F7064"/>
          <w:sz w:val="20"/>
        </w:rPr>
        <w:t xml:space="preserve">03   </w:t>
      </w:r>
      <w:r>
        <w:rPr>
          <w:b/>
          <w:color w:val="183A37"/>
          <w:sz w:val="26"/>
        </w:rPr>
        <w:t>Deep Learning</w:t>
      </w:r>
    </w:p>
    <w:p>
      <w:pPr>
        <w:spacing w:after="60"/>
        <w:ind w:left="461"/>
        <w:jc w:val="both"/>
      </w:pPr>
      <w:r>
        <w:t>Le Deep Learning est une forme de Machine Learning fondée sur des réseaux de neurones comportant plusieurs couches. Il est particulièrement utile pour traiter des données complexes.</w:t>
      </w:r>
    </w:p>
    <w:p>
      <w:pPr>
        <w:spacing w:after="80"/>
        <w:ind w:left="461"/>
      </w:pPr>
      <w:r>
        <w:rPr>
          <w:b/>
          <w:color w:val="1F7064"/>
        </w:rPr>
        <w:t xml:space="preserve">À retenir — </w:t>
      </w:r>
      <w:r>
        <w:rPr>
          <w:i/>
          <w:color w:val="5A656A"/>
          <w:sz w:val="19"/>
        </w:rPr>
        <w:t>un système qui reconnaît des objets dans une photo.</w:t>
      </w:r>
    </w:p>
    <w:p>
      <w:pPr>
        <w:spacing w:before="160" w:after="60"/>
      </w:pPr>
      <w:r>
        <w:rPr>
          <w:b/>
          <w:color w:val="1F7064"/>
          <w:sz w:val="20"/>
        </w:rPr>
        <w:t xml:space="preserve">04   </w:t>
      </w:r>
      <w:r>
        <w:rPr>
          <w:b/>
          <w:color w:val="183A37"/>
          <w:sz w:val="26"/>
        </w:rPr>
        <w:t>IA générative</w:t>
      </w:r>
    </w:p>
    <w:p>
      <w:pPr>
        <w:spacing w:after="60"/>
        <w:ind w:left="461"/>
        <w:jc w:val="both"/>
      </w:pPr>
      <w:r>
        <w:t>Cette IA crée un contenu nouveau à partir d’une consigne et de ce qu’elle a appris pendant son entraînement. Elle peut produire du texte, des images, de la musique ou du code.</w:t>
      </w:r>
    </w:p>
    <w:p>
      <w:pPr>
        <w:spacing w:after="80"/>
        <w:ind w:left="461"/>
      </w:pPr>
      <w:r>
        <w:rPr>
          <w:b/>
          <w:color w:val="1F7064"/>
        </w:rPr>
        <w:t xml:space="preserve">À retenir — </w:t>
      </w:r>
      <w:r>
        <w:rPr>
          <w:i/>
          <w:color w:val="5A656A"/>
          <w:sz w:val="19"/>
        </w:rPr>
        <w:t>générer le premier brouillon d’un texte.</w:t>
      </w:r>
    </w:p>
    <w:p>
      <w:pPr>
        <w:spacing w:before="160" w:after="60"/>
      </w:pPr>
      <w:r>
        <w:rPr>
          <w:b/>
          <w:color w:val="1F7064"/>
          <w:sz w:val="20"/>
        </w:rPr>
        <w:t xml:space="preserve">05   </w:t>
      </w:r>
      <w:r>
        <w:rPr>
          <w:b/>
          <w:color w:val="183A37"/>
          <w:sz w:val="26"/>
        </w:rPr>
        <w:t>LLM — Large Language Model</w:t>
      </w:r>
    </w:p>
    <w:p>
      <w:pPr>
        <w:spacing w:after="60"/>
        <w:ind w:left="461"/>
        <w:jc w:val="both"/>
      </w:pPr>
      <w:r>
        <w:t>Un grand modèle de langage est entraîné sur de très nombreux textes pour repérer les relations entre les mots et générer des réponses en langage naturel.</w:t>
      </w:r>
    </w:p>
    <w:p>
      <w:pPr>
        <w:spacing w:after="80"/>
        <w:ind w:left="461"/>
      </w:pPr>
      <w:r>
        <w:rPr>
          <w:b/>
          <w:color w:val="1F7064"/>
        </w:rPr>
        <w:t xml:space="preserve">À retenir — </w:t>
      </w:r>
      <w:r>
        <w:rPr>
          <w:i/>
          <w:color w:val="5A656A"/>
          <w:sz w:val="19"/>
        </w:rPr>
        <w:t>résumer un document ou expliquer une notion de cours.</w:t>
      </w:r>
    </w:p>
    <w:p>
      <w:pPr>
        <w:spacing w:before="160" w:after="60"/>
      </w:pPr>
      <w:r>
        <w:rPr>
          <w:b/>
          <w:color w:val="1F7064"/>
          <w:sz w:val="20"/>
        </w:rPr>
        <w:t xml:space="preserve">06   </w:t>
      </w:r>
      <w:r>
        <w:rPr>
          <w:b/>
          <w:color w:val="183A37"/>
          <w:sz w:val="26"/>
        </w:rPr>
        <w:t>Prompt</w:t>
      </w:r>
    </w:p>
    <w:p>
      <w:pPr>
        <w:spacing w:after="60"/>
        <w:ind w:left="461"/>
        <w:jc w:val="both"/>
      </w:pPr>
      <w:r>
        <w:t>Le prompt est le message donné à l’IA pour lui préciser la tâche à réaliser. Une demande claire, avec un objectif et des contraintes, aide souvent à obtenir une réponse plus adaptée.</w:t>
      </w:r>
    </w:p>
    <w:p>
      <w:pPr>
        <w:spacing w:after="80"/>
        <w:ind w:left="461"/>
      </w:pPr>
      <w:r>
        <w:rPr>
          <w:b/>
          <w:color w:val="1F7064"/>
        </w:rPr>
        <w:t xml:space="preserve">À retenir — </w:t>
      </w:r>
      <w:r>
        <w:rPr>
          <w:i/>
          <w:color w:val="5A656A"/>
          <w:sz w:val="19"/>
        </w:rPr>
        <w:t>« Explique la loi d’Ohm avec deux exercices corrigés. »</w:t>
      </w:r>
    </w:p>
    <w:p>
      <w:pPr>
        <w:spacing w:before="160" w:after="60"/>
      </w:pPr>
      <w:r>
        <w:rPr>
          <w:b/>
          <w:color w:val="1F7064"/>
          <w:sz w:val="20"/>
        </w:rPr>
        <w:t xml:space="preserve">07   </w:t>
      </w:r>
      <w:r>
        <w:rPr>
          <w:b/>
          <w:color w:val="183A37"/>
          <w:sz w:val="26"/>
        </w:rPr>
        <w:t>Hallucination</w:t>
      </w:r>
    </w:p>
    <w:p>
      <w:pPr>
        <w:spacing w:after="60"/>
        <w:ind w:left="461"/>
        <w:jc w:val="both"/>
      </w:pPr>
      <w:r>
        <w:t>Une hallucination se produit lorsqu’une IA donne une information fausse, inventée ou insuffisamment vérifiée tout en la présentant de manière convaincante.</w:t>
      </w:r>
    </w:p>
    <w:p>
      <w:pPr>
        <w:spacing w:after="80"/>
        <w:ind w:left="461"/>
      </w:pPr>
      <w:r>
        <w:rPr>
          <w:b/>
          <w:color w:val="1F7064"/>
        </w:rPr>
        <w:t xml:space="preserve">À retenir — </w:t>
      </w:r>
      <w:r>
        <w:rPr>
          <w:i/>
          <w:color w:val="5A656A"/>
          <w:sz w:val="19"/>
        </w:rPr>
        <w:t>citer un article scientifique qui n’existe pas.</w:t>
      </w:r>
    </w:p>
    <w:p>
      <w:pPr>
        <w:spacing w:before="160" w:after="60"/>
      </w:pPr>
      <w:r>
        <w:rPr>
          <w:b/>
          <w:color w:val="1F7064"/>
          <w:sz w:val="20"/>
        </w:rPr>
        <w:t xml:space="preserve">08   </w:t>
      </w:r>
      <w:r>
        <w:rPr>
          <w:b/>
          <w:color w:val="183A37"/>
          <w:sz w:val="26"/>
        </w:rPr>
        <w:t>DOI — Digital Object Identifier</w:t>
      </w:r>
    </w:p>
    <w:p>
      <w:pPr>
        <w:spacing w:after="60"/>
        <w:ind w:left="461"/>
        <w:jc w:val="both"/>
      </w:pPr>
      <w:r>
        <w:t>Le DOI est un identifiant stable associé à une publication ou à une ressource numérique. Il facilite sa recherche, même si l’adresse web change.</w:t>
      </w:r>
    </w:p>
    <w:p>
      <w:pPr>
        <w:spacing w:after="80"/>
        <w:ind w:left="461"/>
      </w:pPr>
      <w:r>
        <w:rPr>
          <w:b/>
          <w:color w:val="1F7064"/>
        </w:rPr>
        <w:t xml:space="preserve">À retenir — </w:t>
      </w:r>
      <w:r>
        <w:rPr>
          <w:i/>
          <w:color w:val="5A656A"/>
          <w:sz w:val="19"/>
        </w:rPr>
        <w:t>un DOI permet de retrouver un article scientifique.</w:t>
      </w:r>
    </w:p>
    <w:p>
      <w:pPr>
        <w:spacing w:before="160" w:after="60"/>
      </w:pPr>
      <w:r>
        <w:rPr>
          <w:b/>
          <w:color w:val="1F7064"/>
          <w:sz w:val="20"/>
        </w:rPr>
        <w:t xml:space="preserve">09   </w:t>
      </w:r>
      <w:r>
        <w:rPr>
          <w:b/>
          <w:color w:val="183A37"/>
          <w:sz w:val="26"/>
        </w:rPr>
        <w:t>Biais</w:t>
      </w:r>
    </w:p>
    <w:p>
      <w:pPr>
        <w:spacing w:after="60"/>
        <w:ind w:left="461"/>
        <w:jc w:val="both"/>
      </w:pPr>
      <w:r>
        <w:t>Un biais est une tendance qui peut déformer les résultats d’un système. Il peut provenir des données utilisées, de la conception du modèle ou de la manière dont il est employé.</w:t>
      </w:r>
    </w:p>
    <w:p>
      <w:pPr>
        <w:spacing w:after="80"/>
        <w:ind w:left="461"/>
      </w:pPr>
      <w:r>
        <w:rPr>
          <w:b/>
          <w:color w:val="1F7064"/>
        </w:rPr>
        <w:t xml:space="preserve">À retenir — </w:t>
      </w:r>
      <w:r>
        <w:rPr>
          <w:i/>
          <w:color w:val="5A656A"/>
          <w:sz w:val="19"/>
        </w:rPr>
        <w:t>un outil qui fonctionne moins bien pour un groupe parce qu’il était peu représenté dans les données.</w:t>
      </w:r>
    </w:p>
    <w:p>
      <w:pPr>
        <w:spacing w:before="160" w:after="60"/>
      </w:pPr>
      <w:r>
        <w:rPr>
          <w:b/>
          <w:color w:val="1F7064"/>
          <w:sz w:val="20"/>
        </w:rPr>
        <w:t xml:space="preserve">10   </w:t>
      </w:r>
      <w:r>
        <w:rPr>
          <w:b/>
          <w:color w:val="183A37"/>
          <w:sz w:val="26"/>
        </w:rPr>
        <w:t>Prédiction</w:t>
      </w:r>
    </w:p>
    <w:p>
      <w:pPr>
        <w:spacing w:after="60"/>
        <w:ind w:left="461"/>
        <w:jc w:val="both"/>
      </w:pPr>
      <w:r>
        <w:t>Une prédiction est une estimation de ce qui pourrait se produire ou de la valeur qu’une donnée pourrait prendre. Elle comporte généralement une part d’incertitude.</w:t>
      </w:r>
    </w:p>
    <w:p>
      <w:pPr>
        <w:spacing w:after="80"/>
        <w:ind w:left="461"/>
      </w:pPr>
      <w:r>
        <w:rPr>
          <w:b/>
          <w:color w:val="1F7064"/>
        </w:rPr>
        <w:t xml:space="preserve">À retenir — </w:t>
      </w:r>
      <w:r>
        <w:rPr>
          <w:i/>
          <w:color w:val="5A656A"/>
          <w:sz w:val="19"/>
        </w:rPr>
        <w:t>estimer la demande d’un produit le mois prochain.</w:t>
      </w:r>
    </w:p>
    <w:p>
      <w:pPr>
        <w:spacing w:before="160" w:after="60"/>
      </w:pPr>
      <w:r>
        <w:rPr>
          <w:b/>
          <w:color w:val="1F7064"/>
          <w:sz w:val="20"/>
        </w:rPr>
        <w:t xml:space="preserve">11   </w:t>
      </w:r>
      <w:r>
        <w:rPr>
          <w:b/>
          <w:color w:val="183A37"/>
          <w:sz w:val="26"/>
        </w:rPr>
        <w:t>Classification</w:t>
      </w:r>
    </w:p>
    <w:p>
      <w:pPr>
        <w:spacing w:after="60"/>
        <w:ind w:left="461"/>
        <w:jc w:val="both"/>
      </w:pPr>
      <w:r>
        <w:t>La classification consiste à ranger une donnée dans une catégorie définie à l’avance, en se basant sur certaines caractéristiques.</w:t>
      </w:r>
    </w:p>
    <w:p>
      <w:pPr>
        <w:spacing w:after="80"/>
        <w:ind w:left="461"/>
      </w:pPr>
      <w:r>
        <w:rPr>
          <w:b/>
          <w:color w:val="1F7064"/>
        </w:rPr>
        <w:t xml:space="preserve">À retenir — </w:t>
      </w:r>
      <w:r>
        <w:rPr>
          <w:i/>
          <w:color w:val="5A656A"/>
          <w:sz w:val="19"/>
        </w:rPr>
        <w:t>classer un message comme « indésirable » ou « normal ».</w:t>
      </w:r>
    </w:p>
    <w:p>
      <w:pPr>
        <w:spacing w:before="240" w:after="100"/>
      </w:pPr>
      <w:r>
        <w:rPr>
          <w:b/>
          <w:color w:val="183A37"/>
          <w:sz w:val="32"/>
        </w:rPr>
        <w:t>L’essentiel à retenir</w:t>
      </w:r>
    </w:p>
    <w:p>
      <w:pPr>
        <w:jc w:val="both"/>
      </w:pPr>
      <w:r>
        <w:t>L’IA peut être utile pour apprendre, créer et analyser des informations, mais elle n’est pas infaillible. Il faut vérifier les faits importants, consulter des sources fiables et utiliser les réponses avec esprit critique.</w:t>
      </w:r>
    </w:p>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color w:val="1F7064"/>
        <w:sz w:val="16"/>
      </w:rPr>
      <w:t>PORTFOLIO • INTELLIGENCE ARTIFICIELLE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039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