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74902" w14:textId="77777777" w:rsidR="004209E2" w:rsidRDefault="004209E2" w:rsidP="002F21FE">
      <w:pPr>
        <w:pStyle w:val="cvgsua"/>
        <w:spacing w:line="570" w:lineRule="atLeast"/>
        <w:rPr>
          <w:b/>
          <w:bCs/>
          <w:sz w:val="32"/>
          <w:szCs w:val="32"/>
        </w:rPr>
      </w:pPr>
    </w:p>
    <w:p w14:paraId="3E23CD7D" w14:textId="77777777" w:rsidR="004209E2" w:rsidRDefault="004209E2" w:rsidP="002F21FE">
      <w:pPr>
        <w:pStyle w:val="cvgsua"/>
        <w:spacing w:line="570" w:lineRule="atLeast"/>
        <w:rPr>
          <w:b/>
          <w:bCs/>
          <w:sz w:val="32"/>
          <w:szCs w:val="32"/>
        </w:rPr>
      </w:pPr>
    </w:p>
    <w:p w14:paraId="532227E7" w14:textId="77777777" w:rsidR="004209E2" w:rsidRDefault="004209E2" w:rsidP="002F21FE">
      <w:pPr>
        <w:pStyle w:val="cvgsua"/>
        <w:spacing w:line="570" w:lineRule="atLeast"/>
        <w:rPr>
          <w:b/>
          <w:bCs/>
          <w:sz w:val="32"/>
          <w:szCs w:val="32"/>
        </w:rPr>
      </w:pPr>
    </w:p>
    <w:p w14:paraId="1BEA46F2" w14:textId="77777777" w:rsidR="004209E2" w:rsidRDefault="004209E2" w:rsidP="002F21FE">
      <w:pPr>
        <w:pStyle w:val="cvgsua"/>
        <w:spacing w:line="570" w:lineRule="atLeast"/>
        <w:rPr>
          <w:b/>
          <w:bCs/>
          <w:sz w:val="32"/>
          <w:szCs w:val="32"/>
        </w:rPr>
      </w:pPr>
    </w:p>
    <w:p w14:paraId="5CDDAB9A" w14:textId="77777777" w:rsidR="004209E2" w:rsidRDefault="004209E2" w:rsidP="002F21FE">
      <w:pPr>
        <w:pStyle w:val="cvgsua"/>
        <w:spacing w:line="570" w:lineRule="atLeast"/>
        <w:rPr>
          <w:b/>
          <w:bCs/>
          <w:sz w:val="32"/>
          <w:szCs w:val="32"/>
        </w:rPr>
      </w:pPr>
    </w:p>
    <w:p w14:paraId="71F854F7" w14:textId="77777777" w:rsidR="004209E2" w:rsidRDefault="004209E2" w:rsidP="002F21FE">
      <w:pPr>
        <w:pStyle w:val="cvgsua"/>
        <w:spacing w:line="570" w:lineRule="atLeast"/>
        <w:rPr>
          <w:b/>
          <w:bCs/>
          <w:sz w:val="32"/>
          <w:szCs w:val="32"/>
        </w:rPr>
      </w:pPr>
    </w:p>
    <w:p w14:paraId="6602769F" w14:textId="2D4C2F6F" w:rsidR="004209E2" w:rsidRPr="004209E2" w:rsidRDefault="004209E2" w:rsidP="004209E2">
      <w:pPr>
        <w:pStyle w:val="cvgsua"/>
        <w:spacing w:line="570" w:lineRule="atLeast"/>
        <w:jc w:val="center"/>
        <w:rPr>
          <w:b/>
          <w:bCs/>
          <w:sz w:val="144"/>
          <w:szCs w:val="144"/>
        </w:rPr>
      </w:pPr>
      <w:r w:rsidRPr="004209E2">
        <w:rPr>
          <w:b/>
          <w:bCs/>
          <w:sz w:val="144"/>
          <w:szCs w:val="144"/>
        </w:rPr>
        <w:t>NATUROPIA</w:t>
      </w:r>
    </w:p>
    <w:p w14:paraId="602816F7" w14:textId="77777777" w:rsidR="004209E2" w:rsidRDefault="004209E2" w:rsidP="002F21FE">
      <w:pPr>
        <w:pStyle w:val="cvgsua"/>
        <w:spacing w:line="570" w:lineRule="atLeast"/>
        <w:rPr>
          <w:b/>
          <w:bCs/>
          <w:sz w:val="32"/>
          <w:szCs w:val="32"/>
        </w:rPr>
      </w:pPr>
    </w:p>
    <w:p w14:paraId="6529DD2F" w14:textId="77777777" w:rsidR="004209E2" w:rsidRDefault="004209E2" w:rsidP="002F21FE">
      <w:pPr>
        <w:pStyle w:val="cvgsua"/>
        <w:spacing w:line="570" w:lineRule="atLeast"/>
        <w:rPr>
          <w:b/>
          <w:bCs/>
          <w:sz w:val="32"/>
          <w:szCs w:val="32"/>
        </w:rPr>
      </w:pPr>
    </w:p>
    <w:p w14:paraId="1F9C6C6C" w14:textId="77777777" w:rsidR="004209E2" w:rsidRDefault="004209E2" w:rsidP="002F21FE">
      <w:pPr>
        <w:pStyle w:val="cvgsua"/>
        <w:spacing w:line="570" w:lineRule="atLeast"/>
        <w:rPr>
          <w:b/>
          <w:bCs/>
          <w:sz w:val="32"/>
          <w:szCs w:val="32"/>
        </w:rPr>
      </w:pPr>
    </w:p>
    <w:p w14:paraId="218AE919" w14:textId="77777777" w:rsidR="004209E2" w:rsidRDefault="004209E2" w:rsidP="002F21FE">
      <w:pPr>
        <w:pStyle w:val="cvgsua"/>
        <w:spacing w:line="570" w:lineRule="atLeast"/>
        <w:rPr>
          <w:b/>
          <w:bCs/>
          <w:sz w:val="32"/>
          <w:szCs w:val="32"/>
        </w:rPr>
      </w:pPr>
    </w:p>
    <w:p w14:paraId="20B8259A" w14:textId="77777777" w:rsidR="004209E2" w:rsidRDefault="004209E2" w:rsidP="002F21FE">
      <w:pPr>
        <w:pStyle w:val="cvgsua"/>
        <w:spacing w:line="570" w:lineRule="atLeast"/>
        <w:rPr>
          <w:b/>
          <w:bCs/>
          <w:sz w:val="32"/>
          <w:szCs w:val="32"/>
        </w:rPr>
      </w:pPr>
    </w:p>
    <w:p w14:paraId="053BDC88" w14:textId="77777777" w:rsidR="004209E2" w:rsidRDefault="004209E2" w:rsidP="004209E2">
      <w:pPr>
        <w:pStyle w:val="cvgsua"/>
        <w:spacing w:line="570" w:lineRule="atLeast"/>
        <w:jc w:val="center"/>
        <w:rPr>
          <w:b/>
          <w:bCs/>
          <w:sz w:val="32"/>
          <w:szCs w:val="32"/>
        </w:rPr>
      </w:pPr>
    </w:p>
    <w:p w14:paraId="5090F008" w14:textId="77777777" w:rsidR="004209E2" w:rsidRDefault="004209E2" w:rsidP="002F21FE">
      <w:pPr>
        <w:pStyle w:val="cvgsua"/>
        <w:spacing w:line="570" w:lineRule="atLeast"/>
        <w:rPr>
          <w:b/>
          <w:bCs/>
          <w:sz w:val="32"/>
          <w:szCs w:val="32"/>
        </w:rPr>
      </w:pPr>
    </w:p>
    <w:p w14:paraId="59332F9C" w14:textId="77777777" w:rsidR="004209E2" w:rsidRDefault="004209E2" w:rsidP="002F21FE">
      <w:pPr>
        <w:pStyle w:val="cvgsua"/>
        <w:spacing w:line="570" w:lineRule="atLeast"/>
        <w:rPr>
          <w:b/>
          <w:bCs/>
          <w:sz w:val="32"/>
          <w:szCs w:val="32"/>
        </w:rPr>
      </w:pPr>
    </w:p>
    <w:p w14:paraId="3ABA386B" w14:textId="77777777" w:rsidR="004209E2" w:rsidRDefault="004209E2" w:rsidP="002F21FE">
      <w:pPr>
        <w:pStyle w:val="cvgsua"/>
        <w:spacing w:line="570" w:lineRule="atLeast"/>
        <w:rPr>
          <w:b/>
          <w:bCs/>
          <w:sz w:val="32"/>
          <w:szCs w:val="32"/>
        </w:rPr>
      </w:pPr>
    </w:p>
    <w:p w14:paraId="1E3EA41A" w14:textId="77777777" w:rsidR="004209E2" w:rsidRDefault="004209E2" w:rsidP="002F21FE">
      <w:pPr>
        <w:pStyle w:val="cvgsua"/>
        <w:spacing w:line="570" w:lineRule="atLeast"/>
        <w:rPr>
          <w:b/>
          <w:bCs/>
          <w:sz w:val="32"/>
          <w:szCs w:val="32"/>
        </w:rPr>
      </w:pPr>
    </w:p>
    <w:p w14:paraId="428B5A14" w14:textId="77777777" w:rsidR="004209E2" w:rsidRDefault="004209E2" w:rsidP="002F21FE">
      <w:pPr>
        <w:pStyle w:val="cvgsua"/>
        <w:spacing w:line="570" w:lineRule="atLeast"/>
        <w:rPr>
          <w:b/>
          <w:bCs/>
          <w:sz w:val="32"/>
          <w:szCs w:val="32"/>
        </w:rPr>
      </w:pPr>
    </w:p>
    <w:p w14:paraId="01331A77" w14:textId="77777777" w:rsidR="004209E2" w:rsidRDefault="002F21FE" w:rsidP="002F21FE">
      <w:pPr>
        <w:pStyle w:val="cvgsua"/>
        <w:spacing w:line="570" w:lineRule="atLeast"/>
        <w:rPr>
          <w:b/>
          <w:bCs/>
          <w:sz w:val="32"/>
          <w:szCs w:val="32"/>
        </w:rPr>
      </w:pPr>
      <w:r>
        <w:rPr>
          <w:b/>
          <w:bCs/>
          <w:sz w:val="32"/>
          <w:szCs w:val="32"/>
        </w:rPr>
        <w:lastRenderedPageBreak/>
        <w:t xml:space="preserve">Idea </w:t>
      </w:r>
      <w:proofErr w:type="gramStart"/>
      <w:r>
        <w:rPr>
          <w:b/>
          <w:bCs/>
          <w:sz w:val="32"/>
          <w:szCs w:val="32"/>
        </w:rPr>
        <w:t>Description :</w:t>
      </w:r>
      <w:proofErr w:type="gramEnd"/>
    </w:p>
    <w:p w14:paraId="15C2A752" w14:textId="20DE0A05" w:rsidR="002F21FE" w:rsidRDefault="002F21FE" w:rsidP="002F21FE">
      <w:pPr>
        <w:pStyle w:val="cvgsua"/>
        <w:spacing w:line="570" w:lineRule="atLeast"/>
        <w:rPr>
          <w:rStyle w:val="agcmg"/>
          <w:rFonts w:eastAsiaTheme="majorEastAsia"/>
          <w:spacing w:val="-7"/>
        </w:rPr>
      </w:pPr>
      <w:bookmarkStart w:id="0" w:name="_GoBack"/>
      <w:bookmarkEnd w:id="0"/>
      <w:r>
        <w:rPr>
          <w:b/>
          <w:bCs/>
          <w:sz w:val="32"/>
          <w:szCs w:val="32"/>
        </w:rPr>
        <w:t xml:space="preserve"> </w:t>
      </w:r>
      <w:proofErr w:type="spellStart"/>
      <w:r>
        <w:rPr>
          <w:rStyle w:val="agcmg"/>
          <w:rFonts w:eastAsiaTheme="majorEastAsia"/>
          <w:spacing w:val="-7"/>
        </w:rPr>
        <w:t>EcoHub</w:t>
      </w:r>
      <w:proofErr w:type="spellEnd"/>
      <w:r>
        <w:rPr>
          <w:rStyle w:val="agcmg"/>
          <w:rFonts w:eastAsiaTheme="majorEastAsia"/>
          <w:spacing w:val="-7"/>
        </w:rPr>
        <w:t xml:space="preserve"> is an integrated technological platform designed to holistically address the United Nations' Sustainable Development Goals (SDGs). We move beyond siloed solutions by synergizing three core pillars: </w:t>
      </w:r>
    </w:p>
    <w:p w14:paraId="6799B9A5" w14:textId="77777777" w:rsidR="002F21FE" w:rsidRDefault="002F21FE" w:rsidP="002F21FE">
      <w:pPr>
        <w:pStyle w:val="cvgsua"/>
        <w:spacing w:line="570" w:lineRule="atLeast"/>
        <w:rPr>
          <w:spacing w:val="-7"/>
        </w:rPr>
      </w:pPr>
      <w:r>
        <w:rPr>
          <w:rStyle w:val="agcmg"/>
          <w:rFonts w:eastAsiaTheme="majorEastAsia"/>
          <w:spacing w:val="-7"/>
        </w:rPr>
        <w:t xml:space="preserve">1- The Environmental </w:t>
      </w:r>
      <w:proofErr w:type="gramStart"/>
      <w:r>
        <w:rPr>
          <w:rStyle w:val="agcmg"/>
          <w:rFonts w:eastAsiaTheme="majorEastAsia"/>
          <w:spacing w:val="-7"/>
        </w:rPr>
        <w:t>Pillar :</w:t>
      </w:r>
      <w:proofErr w:type="gramEnd"/>
      <w:r>
        <w:rPr>
          <w:rStyle w:val="agcmg"/>
          <w:rFonts w:eastAsiaTheme="majorEastAsia"/>
          <w:spacing w:val="-7"/>
        </w:rPr>
        <w:t xml:space="preserve"> </w:t>
      </w:r>
      <w:r>
        <w:rPr>
          <w:rFonts w:ascii="Segoe UI" w:hAnsi="Segoe UI" w:cs="Segoe UI"/>
          <w:color w:val="404040"/>
          <w:shd w:val="clear" w:color="auto" w:fill="FFFFFF"/>
        </w:rPr>
        <w:t xml:space="preserve">Utilizing AI and IoT, we offer intelligent systems for managing green spaces (via plant disease diagnosis and </w:t>
      </w:r>
      <w:proofErr w:type="spellStart"/>
      <w:r>
        <w:rPr>
          <w:rFonts w:ascii="Segoe UI" w:hAnsi="Segoe UI" w:cs="Segoe UI"/>
          <w:color w:val="404040"/>
          <w:shd w:val="clear" w:color="auto" w:fill="FFFFFF"/>
        </w:rPr>
        <w:t>reforestration</w:t>
      </w:r>
      <w:proofErr w:type="spellEnd"/>
      <w:r>
        <w:rPr>
          <w:rFonts w:ascii="Segoe UI" w:hAnsi="Segoe UI" w:cs="Segoe UI"/>
          <w:color w:val="404040"/>
          <w:shd w:val="clear" w:color="auto" w:fill="FFFFFF"/>
        </w:rPr>
        <w:t xml:space="preserve"> guidance), safeguarding water resources (through smart quality monitoring and leak detection), and ensuring clean air (with real-time pollution tracking and carbon emission analysis).</w:t>
      </w:r>
    </w:p>
    <w:p w14:paraId="0F73EC60" w14:textId="77777777" w:rsidR="002F21FE" w:rsidRDefault="002F21FE" w:rsidP="002F21FE">
      <w:pPr>
        <w:pStyle w:val="cvgsua"/>
        <w:spacing w:line="570" w:lineRule="atLeast"/>
        <w:rPr>
          <w:spacing w:val="-7"/>
        </w:rPr>
      </w:pPr>
      <w:r>
        <w:rPr>
          <w:rStyle w:val="agcmg"/>
          <w:rFonts w:eastAsiaTheme="majorEastAsia"/>
          <w:spacing w:val="-7"/>
        </w:rPr>
        <w:t xml:space="preserve">2-The Economic </w:t>
      </w:r>
      <w:proofErr w:type="gramStart"/>
      <w:r>
        <w:rPr>
          <w:rStyle w:val="agcmg"/>
          <w:rFonts w:eastAsiaTheme="majorEastAsia"/>
          <w:spacing w:val="-7"/>
        </w:rPr>
        <w:t>Pillar :</w:t>
      </w:r>
      <w:proofErr w:type="gramEnd"/>
      <w:r>
        <w:rPr>
          <w:rStyle w:val="agcmg"/>
          <w:rFonts w:eastAsiaTheme="majorEastAsia"/>
          <w:spacing w:val="-7"/>
        </w:rPr>
        <w:t xml:space="preserve"> </w:t>
      </w:r>
      <w:r>
        <w:rPr>
          <w:rFonts w:ascii="Segoe UI" w:hAnsi="Segoe UI" w:cs="Segoe UI"/>
          <w:color w:val="404040"/>
          <w:shd w:val="clear" w:color="auto" w:fill="FFFFFF"/>
        </w:rPr>
        <w:t>We foster the </w:t>
      </w:r>
      <w:r>
        <w:rPr>
          <w:rStyle w:val="Strong"/>
          <w:rFonts w:ascii="Segoe UI" w:hAnsi="Segoe UI" w:cs="Segoe UI"/>
          <w:color w:val="404040"/>
          <w:shd w:val="clear" w:color="auto" w:fill="FFFFFF"/>
        </w:rPr>
        <w:t>Green Economy</w:t>
      </w:r>
      <w:r>
        <w:rPr>
          <w:rFonts w:ascii="Segoe UI" w:hAnsi="Segoe UI" w:cs="Segoe UI"/>
          <w:color w:val="404040"/>
          <w:shd w:val="clear" w:color="auto" w:fill="FFFFFF"/>
        </w:rPr>
        <w:t> by providing businesses, startups, and governments with the tools for a sustainable transition. Our platform offers carbon footprint analytics, access to green investment opportunities, and a marketplace for sustainable goods and services, proving that ecological responsibility and economic growth are mutually achievable.</w:t>
      </w:r>
    </w:p>
    <w:p w14:paraId="6D3FD4E5" w14:textId="77777777" w:rsidR="002F21FE" w:rsidRPr="004C54C5" w:rsidRDefault="002F21FE" w:rsidP="002F21FE">
      <w:pPr>
        <w:pStyle w:val="cvgsua"/>
        <w:spacing w:line="570" w:lineRule="atLeast"/>
        <w:rPr>
          <w:rFonts w:ascii="Segoe UI" w:hAnsi="Segoe UI" w:cs="Segoe UI"/>
          <w:color w:val="404040"/>
          <w:shd w:val="clear" w:color="auto" w:fill="FFFFFF"/>
        </w:rPr>
      </w:pPr>
      <w:r>
        <w:rPr>
          <w:rStyle w:val="agcmg"/>
          <w:rFonts w:eastAsiaTheme="majorEastAsia"/>
          <w:spacing w:val="-7"/>
        </w:rPr>
        <w:t xml:space="preserve">3-The Social </w:t>
      </w:r>
      <w:proofErr w:type="gramStart"/>
      <w:r>
        <w:rPr>
          <w:rStyle w:val="agcmg"/>
          <w:rFonts w:eastAsiaTheme="majorEastAsia"/>
          <w:spacing w:val="-7"/>
        </w:rPr>
        <w:t>Pillar :</w:t>
      </w:r>
      <w:proofErr w:type="gramEnd"/>
      <w:r>
        <w:rPr>
          <w:rStyle w:val="agcmg"/>
          <w:rFonts w:eastAsiaTheme="majorEastAsia"/>
          <w:spacing w:val="-7"/>
        </w:rPr>
        <w:t xml:space="preserve"> </w:t>
      </w:r>
      <w:r>
        <w:rPr>
          <w:rFonts w:ascii="Segoe UI" w:hAnsi="Segoe UI" w:cs="Segoe UI"/>
          <w:color w:val="404040"/>
          <w:shd w:val="clear" w:color="auto" w:fill="FFFFFF"/>
        </w:rPr>
        <w:t xml:space="preserve">At the heart of </w:t>
      </w:r>
      <w:proofErr w:type="spellStart"/>
      <w:r>
        <w:rPr>
          <w:rFonts w:ascii="Segoe UI" w:hAnsi="Segoe UI" w:cs="Segoe UI"/>
          <w:color w:val="404040"/>
          <w:shd w:val="clear" w:color="auto" w:fill="FFFFFF"/>
        </w:rPr>
        <w:t>EcoHub</w:t>
      </w:r>
      <w:proofErr w:type="spellEnd"/>
      <w:r>
        <w:rPr>
          <w:rFonts w:ascii="Segoe UI" w:hAnsi="Segoe UI" w:cs="Segoe UI"/>
          <w:color w:val="404040"/>
          <w:shd w:val="clear" w:color="auto" w:fill="FFFFFF"/>
        </w:rPr>
        <w:t xml:space="preserve"> is our community, </w:t>
      </w:r>
      <w:r>
        <w:rPr>
          <w:rStyle w:val="Strong"/>
          <w:rFonts w:ascii="Segoe UI" w:hAnsi="Segoe UI" w:cs="Segoe UI"/>
          <w:color w:val="404040"/>
          <w:shd w:val="clear" w:color="auto" w:fill="FFFFFF"/>
        </w:rPr>
        <w:t>The Green Society</w:t>
      </w:r>
      <w:r>
        <w:rPr>
          <w:rFonts w:ascii="Segoe UI" w:hAnsi="Segoe UI" w:cs="Segoe UI"/>
          <w:color w:val="404040"/>
          <w:shd w:val="clear" w:color="auto" w:fill="FFFFFF"/>
        </w:rPr>
        <w:t>. Through our innovative social networking app, we promote "Green Communication" – positive, constructive interactions rewarded through a unique trust score. This system uses NLP to encourage ethical content, fostering a digital environment that reflects the health and positivity of the sustainable world we're building together.</w:t>
      </w:r>
    </w:p>
    <w:p w14:paraId="44D753F8" w14:textId="77777777" w:rsidR="002F21FE" w:rsidRPr="004C54C5" w:rsidRDefault="002F21FE" w:rsidP="002F21FE">
      <w:pPr>
        <w:shd w:val="clear" w:color="auto" w:fill="FFFFFF"/>
        <w:spacing w:before="274" w:after="206" w:line="240" w:lineRule="auto"/>
        <w:outlineLvl w:val="2"/>
        <w:rPr>
          <w:rFonts w:ascii="Segoe UI" w:eastAsia="Times New Roman" w:hAnsi="Segoe UI" w:cs="Segoe UI"/>
          <w:color w:val="404040"/>
          <w:sz w:val="27"/>
          <w:szCs w:val="27"/>
        </w:rPr>
      </w:pPr>
      <w:r w:rsidRPr="004C54C5">
        <w:rPr>
          <w:rFonts w:ascii="Segoe UI" w:eastAsia="Times New Roman" w:hAnsi="Segoe UI" w:cs="Segoe UI"/>
          <w:b/>
          <w:bCs/>
          <w:color w:val="404040"/>
          <w:sz w:val="27"/>
          <w:szCs w:val="27"/>
        </w:rPr>
        <w:t xml:space="preserve">How Users Will Interact with the </w:t>
      </w:r>
      <w:proofErr w:type="spellStart"/>
      <w:r w:rsidRPr="004C54C5">
        <w:rPr>
          <w:rFonts w:ascii="Segoe UI" w:eastAsia="Times New Roman" w:hAnsi="Segoe UI" w:cs="Segoe UI"/>
          <w:b/>
          <w:bCs/>
          <w:color w:val="404040"/>
          <w:sz w:val="27"/>
          <w:szCs w:val="27"/>
        </w:rPr>
        <w:t>EcoHub</w:t>
      </w:r>
      <w:proofErr w:type="spellEnd"/>
      <w:r w:rsidRPr="004C54C5">
        <w:rPr>
          <w:rFonts w:ascii="Segoe UI" w:eastAsia="Times New Roman" w:hAnsi="Segoe UI" w:cs="Segoe UI"/>
          <w:b/>
          <w:bCs/>
          <w:color w:val="404040"/>
          <w:sz w:val="27"/>
          <w:szCs w:val="27"/>
        </w:rPr>
        <w:t xml:space="preserve"> Solutio</w:t>
      </w:r>
      <w:r>
        <w:rPr>
          <w:rFonts w:ascii="Segoe UI" w:eastAsia="Times New Roman" w:hAnsi="Segoe UI" w:cs="Segoe UI"/>
          <w:b/>
          <w:bCs/>
          <w:color w:val="404040"/>
          <w:sz w:val="27"/>
          <w:szCs w:val="27"/>
        </w:rPr>
        <w:t>n</w:t>
      </w:r>
    </w:p>
    <w:p w14:paraId="13BD37D3" w14:textId="77777777" w:rsidR="002F21FE" w:rsidRDefault="002F21FE" w:rsidP="002F21FE">
      <w:pPr>
        <w:shd w:val="clear" w:color="auto" w:fill="FFFFFF"/>
        <w:spacing w:before="206" w:after="206" w:line="429" w:lineRule="atLeast"/>
        <w:rPr>
          <w:rFonts w:ascii="Segoe UI" w:eastAsia="Times New Roman" w:hAnsi="Segoe UI" w:cs="Segoe UI"/>
          <w:color w:val="404040"/>
          <w:sz w:val="24"/>
          <w:szCs w:val="24"/>
        </w:rPr>
      </w:pPr>
      <w:r w:rsidRPr="004C54C5">
        <w:rPr>
          <w:rFonts w:ascii="Segoe UI" w:eastAsia="Times New Roman" w:hAnsi="Segoe UI" w:cs="Segoe UI"/>
          <w:color w:val="404040"/>
          <w:sz w:val="24"/>
          <w:szCs w:val="24"/>
        </w:rPr>
        <w:t xml:space="preserve">The </w:t>
      </w:r>
      <w:proofErr w:type="spellStart"/>
      <w:r w:rsidRPr="004C54C5">
        <w:rPr>
          <w:rFonts w:ascii="Segoe UI" w:eastAsia="Times New Roman" w:hAnsi="Segoe UI" w:cs="Segoe UI"/>
          <w:color w:val="404040"/>
          <w:sz w:val="24"/>
          <w:szCs w:val="24"/>
        </w:rPr>
        <w:t>EcoHub</w:t>
      </w:r>
      <w:proofErr w:type="spellEnd"/>
      <w:r w:rsidRPr="004C54C5">
        <w:rPr>
          <w:rFonts w:ascii="Segoe UI" w:eastAsia="Times New Roman" w:hAnsi="Segoe UI" w:cs="Segoe UI"/>
          <w:color w:val="404040"/>
          <w:sz w:val="24"/>
          <w:szCs w:val="24"/>
        </w:rPr>
        <w:t xml:space="preserve"> platform is designed to be intuitive and engaging for all its users. Here is a breakdown of how each user group will utilize its features:</w:t>
      </w:r>
    </w:p>
    <w:p w14:paraId="5D134E40" w14:textId="77777777" w:rsidR="002F21FE" w:rsidRDefault="002F21FE" w:rsidP="002F21FE">
      <w:pPr>
        <w:shd w:val="clear" w:color="auto" w:fill="FFFFFF"/>
        <w:spacing w:before="206" w:after="206" w:line="429" w:lineRule="atLeast"/>
        <w:rPr>
          <w:rFonts w:ascii="Segoe UI" w:eastAsia="Times New Roman" w:hAnsi="Segoe UI" w:cs="Segoe UI"/>
          <w:color w:val="404040"/>
          <w:sz w:val="24"/>
          <w:szCs w:val="24"/>
        </w:rPr>
      </w:pPr>
    </w:p>
    <w:p w14:paraId="48ADDAB8"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 xml:space="preserve">1. For </w:t>
      </w:r>
      <w:proofErr w:type="gramStart"/>
      <w:r w:rsidRPr="004C54C5">
        <w:rPr>
          <w:rStyle w:val="Strong"/>
          <w:rFonts w:ascii="Segoe UI" w:hAnsi="Segoe UI" w:cs="Segoe UI"/>
          <w:color w:val="404040"/>
        </w:rPr>
        <w:t>The</w:t>
      </w:r>
      <w:proofErr w:type="gramEnd"/>
      <w:r w:rsidRPr="004C54C5">
        <w:rPr>
          <w:rStyle w:val="Strong"/>
          <w:rFonts w:ascii="Segoe UI" w:hAnsi="Segoe UI" w:cs="Segoe UI"/>
          <w:color w:val="404040"/>
        </w:rPr>
        <w:t xml:space="preserve"> Citizen / Individual User:</w:t>
      </w:r>
    </w:p>
    <w:p w14:paraId="50ACAD25" w14:textId="77777777" w:rsidR="002F21FE" w:rsidRDefault="002F21FE" w:rsidP="002F21FE">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 primary interaction is through the </w:t>
      </w:r>
      <w:proofErr w:type="spellStart"/>
      <w:r>
        <w:rPr>
          <w:rStyle w:val="Strong"/>
          <w:rFonts w:ascii="Segoe UI" w:hAnsi="Segoe UI" w:cs="Segoe UI"/>
          <w:color w:val="404040"/>
        </w:rPr>
        <w:t>EcoHub</w:t>
      </w:r>
      <w:proofErr w:type="spellEnd"/>
      <w:r>
        <w:rPr>
          <w:rStyle w:val="Strong"/>
          <w:rFonts w:ascii="Segoe UI" w:hAnsi="Segoe UI" w:cs="Segoe UI"/>
          <w:color w:val="404040"/>
        </w:rPr>
        <w:t xml:space="preserve"> Mobile App</w:t>
      </w:r>
      <w:r>
        <w:rPr>
          <w:rFonts w:ascii="Segoe UI" w:hAnsi="Segoe UI" w:cs="Segoe UI"/>
          <w:color w:val="404040"/>
        </w:rPr>
        <w:t>.</w:t>
      </w:r>
    </w:p>
    <w:p w14:paraId="0B7B384A" w14:textId="77777777" w:rsidR="002F21FE" w:rsidRDefault="002F21FE" w:rsidP="002F21FE">
      <w:pPr>
        <w:pStyle w:val="ds-markdown-paragraph"/>
        <w:numPr>
          <w:ilvl w:val="0"/>
          <w:numId w:val="1"/>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Environmental Monitoring &amp; Learning:</w:t>
      </w:r>
    </w:p>
    <w:p w14:paraId="112B2C2D" w14:textId="77777777" w:rsidR="002F21FE" w:rsidRDefault="002F21FE" w:rsidP="002F21FE">
      <w:pPr>
        <w:pStyle w:val="ds-markdown-paragraph"/>
        <w:numPr>
          <w:ilvl w:val="1"/>
          <w:numId w:val="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Plant Health:</w:t>
      </w:r>
      <w:r>
        <w:rPr>
          <w:rFonts w:ascii="Segoe UI" w:hAnsi="Segoe UI" w:cs="Segoe UI"/>
          <w:color w:val="404040"/>
        </w:rPr>
        <w:t xml:space="preserve"> A user notices a diseased plant in their garden. They open the </w:t>
      </w:r>
      <w:proofErr w:type="spellStart"/>
      <w:r>
        <w:rPr>
          <w:rFonts w:ascii="Segoe UI" w:hAnsi="Segoe UI" w:cs="Segoe UI"/>
          <w:color w:val="404040"/>
        </w:rPr>
        <w:t>EcoHub</w:t>
      </w:r>
      <w:proofErr w:type="spellEnd"/>
      <w:r>
        <w:rPr>
          <w:rFonts w:ascii="Segoe UI" w:hAnsi="Segoe UI" w:cs="Segoe UI"/>
          <w:color w:val="404040"/>
        </w:rPr>
        <w:t xml:space="preserve"> app, use the </w:t>
      </w:r>
      <w:r>
        <w:rPr>
          <w:rStyle w:val="Strong"/>
          <w:rFonts w:ascii="Segoe UI" w:hAnsi="Segoe UI" w:cs="Segoe UI"/>
          <w:color w:val="404040"/>
        </w:rPr>
        <w:t>"Plant Diagnose"</w:t>
      </w:r>
      <w:r>
        <w:rPr>
          <w:rFonts w:ascii="Segoe UI" w:hAnsi="Segoe UI" w:cs="Segoe UI"/>
          <w:color w:val="404040"/>
        </w:rPr>
        <w:t> feature to take a picture, and the AI model instantly identifies the disease and suggests an organic treatment.</w:t>
      </w:r>
    </w:p>
    <w:p w14:paraId="404A8427" w14:textId="77777777" w:rsidR="002F21FE" w:rsidRDefault="002F21FE" w:rsidP="002F21FE">
      <w:pPr>
        <w:pStyle w:val="ds-markdown-paragraph"/>
        <w:numPr>
          <w:ilvl w:val="1"/>
          <w:numId w:val="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lastRenderedPageBreak/>
        <w:t>Air Quality:</w:t>
      </w:r>
      <w:r>
        <w:rPr>
          <w:rFonts w:ascii="Segoe UI" w:hAnsi="Segoe UI" w:cs="Segoe UI"/>
          <w:color w:val="404040"/>
        </w:rPr>
        <w:t> Before a morning run, the user checks the </w:t>
      </w:r>
      <w:r>
        <w:rPr>
          <w:rStyle w:val="Strong"/>
          <w:rFonts w:ascii="Segoe UI" w:hAnsi="Segoe UI" w:cs="Segoe UI"/>
          <w:color w:val="404040"/>
        </w:rPr>
        <w:t>"Air Quality Map"</w:t>
      </w:r>
      <w:r>
        <w:rPr>
          <w:rFonts w:ascii="Segoe UI" w:hAnsi="Segoe UI" w:cs="Segoe UI"/>
          <w:color w:val="404040"/>
        </w:rPr>
        <w:t> on the app, which shows real-time pollution data from city sensors. The app suggests the cleanest-air route for their jog.</w:t>
      </w:r>
    </w:p>
    <w:p w14:paraId="05BCA2CA" w14:textId="77777777" w:rsidR="002F21FE" w:rsidRDefault="002F21FE" w:rsidP="002F21FE">
      <w:pPr>
        <w:pStyle w:val="ds-markdown-paragraph"/>
        <w:numPr>
          <w:ilvl w:val="1"/>
          <w:numId w:val="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Water Conservation:</w:t>
      </w:r>
      <w:r>
        <w:rPr>
          <w:rFonts w:ascii="Segoe UI" w:hAnsi="Segoe UI" w:cs="Segoe UI"/>
          <w:color w:val="404040"/>
        </w:rPr>
        <w:t> The user receives a </w:t>
      </w:r>
      <w:r>
        <w:rPr>
          <w:rStyle w:val="Strong"/>
          <w:rFonts w:ascii="Segoe UI" w:hAnsi="Segoe UI" w:cs="Segoe UI"/>
          <w:color w:val="404040"/>
        </w:rPr>
        <w:t>push notification</w:t>
      </w:r>
      <w:r>
        <w:rPr>
          <w:rFonts w:ascii="Segoe UI" w:hAnsi="Segoe UI" w:cs="Segoe UI"/>
          <w:color w:val="404040"/>
        </w:rPr>
        <w:t> from the app: </w:t>
      </w:r>
      <w:r>
        <w:rPr>
          <w:rStyle w:val="Emphasis"/>
          <w:rFonts w:ascii="Segoe UI" w:hAnsi="Segoe UI" w:cs="Segoe UI"/>
          <w:color w:val="404040"/>
        </w:rPr>
        <w:t>"High water usage detected in your area. Check for leaks!"</w:t>
      </w:r>
      <w:r>
        <w:rPr>
          <w:rFonts w:ascii="Segoe UI" w:hAnsi="Segoe UI" w:cs="Segoe UI"/>
          <w:color w:val="404040"/>
        </w:rPr>
        <w:t> with a link to a simple DIY guide.</w:t>
      </w:r>
    </w:p>
    <w:p w14:paraId="30BDD1F6" w14:textId="77777777" w:rsidR="002F21FE" w:rsidRDefault="002F21FE" w:rsidP="002F21FE">
      <w:pPr>
        <w:pStyle w:val="ds-markdown-paragraph"/>
        <w:numPr>
          <w:ilvl w:val="0"/>
          <w:numId w:val="1"/>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The Social Green Network (</w:t>
      </w:r>
      <w:proofErr w:type="spellStart"/>
      <w:r>
        <w:rPr>
          <w:rStyle w:val="Strong"/>
          <w:rFonts w:ascii="Segoe UI" w:hAnsi="Segoe UI" w:cs="Segoe UI"/>
          <w:color w:val="404040"/>
        </w:rPr>
        <w:t>EcoSocial</w:t>
      </w:r>
      <w:proofErr w:type="spellEnd"/>
      <w:r>
        <w:rPr>
          <w:rStyle w:val="Strong"/>
          <w:rFonts w:ascii="Segoe UI" w:hAnsi="Segoe UI" w:cs="Segoe UI"/>
          <w:color w:val="404040"/>
        </w:rPr>
        <w:t>):</w:t>
      </w:r>
    </w:p>
    <w:p w14:paraId="7D2C9524" w14:textId="77777777" w:rsidR="002F21FE" w:rsidRDefault="002F21FE" w:rsidP="002F21FE">
      <w:pPr>
        <w:pStyle w:val="ds-markdown-paragraph"/>
        <w:numPr>
          <w:ilvl w:val="1"/>
          <w:numId w:val="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Posting &amp; Earning Points:</w:t>
      </w:r>
      <w:r>
        <w:rPr>
          <w:rFonts w:ascii="Segoe UI" w:hAnsi="Segoe UI" w:cs="Segoe UI"/>
          <w:color w:val="404040"/>
        </w:rPr>
        <w:t xml:space="preserve"> A user posts a picture of their homemade compost bin on their </w:t>
      </w:r>
      <w:proofErr w:type="spellStart"/>
      <w:r>
        <w:rPr>
          <w:rFonts w:ascii="Segoe UI" w:hAnsi="Segoe UI" w:cs="Segoe UI"/>
          <w:color w:val="404040"/>
        </w:rPr>
        <w:t>EcoSocial</w:t>
      </w:r>
      <w:proofErr w:type="spellEnd"/>
      <w:r>
        <w:rPr>
          <w:rFonts w:ascii="Segoe UI" w:hAnsi="Segoe UI" w:cs="Segoe UI"/>
          <w:color w:val="404040"/>
        </w:rPr>
        <w:t xml:space="preserve"> feed. The NLP algorithm analyzes the post as positive and educational. The user's </w:t>
      </w:r>
      <w:r>
        <w:rPr>
          <w:rStyle w:val="Strong"/>
          <w:rFonts w:ascii="Segoe UI" w:hAnsi="Segoe UI" w:cs="Segoe UI"/>
          <w:color w:val="404040"/>
        </w:rPr>
        <w:t>"Green Score"</w:t>
      </w:r>
      <w:r>
        <w:rPr>
          <w:rFonts w:ascii="Segoe UI" w:hAnsi="Segoe UI" w:cs="Segoe UI"/>
          <w:color w:val="404040"/>
        </w:rPr>
        <w:t> increases, unlocking a new badge.</w:t>
      </w:r>
    </w:p>
    <w:p w14:paraId="326290EC" w14:textId="77777777" w:rsidR="002F21FE" w:rsidRDefault="002F21FE" w:rsidP="002F21FE">
      <w:pPr>
        <w:pStyle w:val="ds-markdown-paragraph"/>
        <w:numPr>
          <w:ilvl w:val="1"/>
          <w:numId w:val="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Community Engagement:</w:t>
      </w:r>
      <w:r>
        <w:rPr>
          <w:rFonts w:ascii="Segoe UI" w:hAnsi="Segoe UI" w:cs="Segoe UI"/>
          <w:color w:val="404040"/>
        </w:rPr>
        <w:t> They join a local </w:t>
      </w:r>
      <w:r>
        <w:rPr>
          <w:rStyle w:val="Strong"/>
          <w:rFonts w:ascii="Segoe UI" w:hAnsi="Segoe UI" w:cs="Segoe UI"/>
          <w:color w:val="404040"/>
        </w:rPr>
        <w:t>"Reforestation Challenge"</w:t>
      </w:r>
      <w:r>
        <w:rPr>
          <w:rFonts w:ascii="Segoe UI" w:hAnsi="Segoe UI" w:cs="Segoe UI"/>
          <w:color w:val="404040"/>
        </w:rPr>
        <w:t xml:space="preserve"> posted by </w:t>
      </w:r>
      <w:proofErr w:type="spellStart"/>
      <w:proofErr w:type="gramStart"/>
      <w:r>
        <w:rPr>
          <w:rFonts w:ascii="Segoe UI" w:hAnsi="Segoe UI" w:cs="Segoe UI"/>
          <w:color w:val="404040"/>
        </w:rPr>
        <w:t>a</w:t>
      </w:r>
      <w:proofErr w:type="spellEnd"/>
      <w:proofErr w:type="gramEnd"/>
      <w:r>
        <w:rPr>
          <w:rFonts w:ascii="Segoe UI" w:hAnsi="Segoe UI" w:cs="Segoe UI"/>
          <w:color w:val="404040"/>
        </w:rPr>
        <w:t xml:space="preserve"> environmental group on the app's events page and sign up to volunteer for the weekend planting event.</w:t>
      </w:r>
    </w:p>
    <w:p w14:paraId="0A5E778B" w14:textId="77777777" w:rsidR="002F21FE" w:rsidRDefault="002F21FE" w:rsidP="002F21FE">
      <w:pPr>
        <w:pStyle w:val="ds-markdown-paragraph"/>
        <w:numPr>
          <w:ilvl w:val="1"/>
          <w:numId w:val="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Rewards:</w:t>
      </w:r>
      <w:r>
        <w:rPr>
          <w:rFonts w:ascii="Segoe UI" w:hAnsi="Segoe UI" w:cs="Segoe UI"/>
          <w:color w:val="404040"/>
        </w:rPr>
        <w:t> With their high Green Score, they gain free access to a premium "Urban Gardening" webinar and get a discount code for sustainable products from a partner company.</w:t>
      </w:r>
    </w:p>
    <w:p w14:paraId="651CBFBF"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 xml:space="preserve">2. For </w:t>
      </w:r>
      <w:proofErr w:type="gramStart"/>
      <w:r w:rsidRPr="004C54C5">
        <w:rPr>
          <w:rStyle w:val="Strong"/>
          <w:rFonts w:ascii="Segoe UI" w:hAnsi="Segoe UI" w:cs="Segoe UI"/>
          <w:color w:val="404040"/>
        </w:rPr>
        <w:t>The</w:t>
      </w:r>
      <w:proofErr w:type="gramEnd"/>
      <w:r w:rsidRPr="004C54C5">
        <w:rPr>
          <w:rStyle w:val="Strong"/>
          <w:rFonts w:ascii="Segoe UI" w:hAnsi="Segoe UI" w:cs="Segoe UI"/>
          <w:color w:val="404040"/>
        </w:rPr>
        <w:t xml:space="preserve"> Farmer / Small Business Owner:</w:t>
      </w:r>
    </w:p>
    <w:p w14:paraId="1AF501B1" w14:textId="77777777" w:rsidR="002F21FE" w:rsidRDefault="002F21FE" w:rsidP="002F21FE">
      <w:pPr>
        <w:pStyle w:val="ds-markdown-paragraph"/>
        <w:numPr>
          <w:ilvl w:val="0"/>
          <w:numId w:val="2"/>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Resource Management:</w:t>
      </w:r>
      <w:r>
        <w:rPr>
          <w:rFonts w:ascii="Segoe UI" w:hAnsi="Segoe UI" w:cs="Segoe UI"/>
          <w:color w:val="404040"/>
        </w:rPr>
        <w:t> A farmer uses the </w:t>
      </w:r>
      <w:r>
        <w:rPr>
          <w:rStyle w:val="Strong"/>
          <w:rFonts w:ascii="Segoe UI" w:hAnsi="Segoe UI" w:cs="Segoe UI"/>
          <w:color w:val="404040"/>
        </w:rPr>
        <w:t>"Smart Irrigation"</w:t>
      </w:r>
      <w:r>
        <w:rPr>
          <w:rFonts w:ascii="Segoe UI" w:hAnsi="Segoe UI" w:cs="Segoe UI"/>
          <w:color w:val="404040"/>
        </w:rPr>
        <w:t> module. The app, connected to soil moisture sensors in their field, sends them an alert: </w:t>
      </w:r>
      <w:r>
        <w:rPr>
          <w:rStyle w:val="Emphasis"/>
          <w:rFonts w:ascii="Segoe UI" w:hAnsi="Segoe UI" w:cs="Segoe UI"/>
          <w:color w:val="404040"/>
        </w:rPr>
        <w:t>"Watering not needed for Sector B. Sufficient moisture levels detected. Projected savings: 5,000 liters."</w:t>
      </w:r>
    </w:p>
    <w:p w14:paraId="444EAE14" w14:textId="77777777" w:rsidR="002F21FE" w:rsidRDefault="002F21FE" w:rsidP="002F21FE">
      <w:pPr>
        <w:pStyle w:val="ds-markdown-paragraph"/>
        <w:numPr>
          <w:ilvl w:val="0"/>
          <w:numId w:val="2"/>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Crop Management:</w:t>
      </w:r>
      <w:r>
        <w:rPr>
          <w:rFonts w:ascii="Segoe UI" w:hAnsi="Segoe UI" w:cs="Segoe UI"/>
          <w:color w:val="404040"/>
        </w:rPr>
        <w:t> They regularly scan crops with the app to proactively identify and treat pests before they can spread, reducing crop loss and the need for harmful pesticides.</w:t>
      </w:r>
    </w:p>
    <w:p w14:paraId="197919BF" w14:textId="77777777" w:rsidR="002F21FE" w:rsidRDefault="002F21FE" w:rsidP="002F21FE">
      <w:pPr>
        <w:pStyle w:val="ds-markdown-paragraph"/>
        <w:numPr>
          <w:ilvl w:val="0"/>
          <w:numId w:val="2"/>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Market Access:</w:t>
      </w:r>
      <w:r>
        <w:rPr>
          <w:rFonts w:ascii="Segoe UI" w:hAnsi="Segoe UI" w:cs="Segoe UI"/>
          <w:color w:val="404040"/>
        </w:rPr>
        <w:t xml:space="preserve"> They list their organically farmed produce on the </w:t>
      </w:r>
      <w:proofErr w:type="spellStart"/>
      <w:r>
        <w:rPr>
          <w:rFonts w:ascii="Segoe UI" w:hAnsi="Segoe UI" w:cs="Segoe UI"/>
          <w:color w:val="404040"/>
        </w:rPr>
        <w:t>EcoHub</w:t>
      </w:r>
      <w:proofErr w:type="spellEnd"/>
      <w:r>
        <w:rPr>
          <w:rFonts w:ascii="Segoe UI" w:hAnsi="Segoe UI" w:cs="Segoe UI"/>
          <w:color w:val="404040"/>
        </w:rPr>
        <w:t> </w:t>
      </w:r>
      <w:r>
        <w:rPr>
          <w:rStyle w:val="Strong"/>
          <w:rFonts w:ascii="Segoe UI" w:hAnsi="Segoe UI" w:cs="Segoe UI"/>
          <w:color w:val="404040"/>
        </w:rPr>
        <w:t>"Green Marketplace"</w:t>
      </w:r>
      <w:r>
        <w:rPr>
          <w:rFonts w:ascii="Segoe UI" w:hAnsi="Segoe UI" w:cs="Segoe UI"/>
          <w:color w:val="404040"/>
        </w:rPr>
        <w:t>, connecting directly with conscious consumers and restaurants.</w:t>
      </w:r>
    </w:p>
    <w:p w14:paraId="55DD7E1D"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 xml:space="preserve">3. For </w:t>
      </w:r>
      <w:proofErr w:type="gramStart"/>
      <w:r w:rsidRPr="004C54C5">
        <w:rPr>
          <w:rStyle w:val="Strong"/>
          <w:rFonts w:ascii="Segoe UI" w:hAnsi="Segoe UI" w:cs="Segoe UI"/>
          <w:color w:val="404040"/>
        </w:rPr>
        <w:t>The</w:t>
      </w:r>
      <w:proofErr w:type="gramEnd"/>
      <w:r w:rsidRPr="004C54C5">
        <w:rPr>
          <w:rStyle w:val="Strong"/>
          <w:rFonts w:ascii="Segoe UI" w:hAnsi="Segoe UI" w:cs="Segoe UI"/>
          <w:color w:val="404040"/>
        </w:rPr>
        <w:t xml:space="preserve"> Corporate User / Business:</w:t>
      </w:r>
    </w:p>
    <w:p w14:paraId="2D3C148C" w14:textId="77777777" w:rsidR="002F21FE" w:rsidRDefault="002F21FE" w:rsidP="002F21FE">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They interact with the </w:t>
      </w:r>
      <w:r>
        <w:rPr>
          <w:rStyle w:val="Strong"/>
          <w:rFonts w:ascii="Segoe UI" w:hAnsi="Segoe UI" w:cs="Segoe UI"/>
          <w:color w:val="404040"/>
        </w:rPr>
        <w:t>web-based "Green Economy Dashboard"</w:t>
      </w:r>
      <w:r>
        <w:rPr>
          <w:rFonts w:ascii="Segoe UI" w:hAnsi="Segoe UI" w:cs="Segoe UI"/>
          <w:color w:val="404040"/>
        </w:rPr>
        <w:t>.</w:t>
      </w:r>
    </w:p>
    <w:p w14:paraId="74ED1BEB" w14:textId="77777777" w:rsidR="002F21FE" w:rsidRDefault="002F21FE" w:rsidP="002F21FE">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Sustainability Analytics:</w:t>
      </w:r>
      <w:r>
        <w:rPr>
          <w:rFonts w:ascii="Segoe UI" w:hAnsi="Segoe UI" w:cs="Segoe UI"/>
          <w:color w:val="404040"/>
        </w:rPr>
        <w:t> A factory manager logs into the dashboard to see the plant's </w:t>
      </w:r>
      <w:r>
        <w:rPr>
          <w:rStyle w:val="Strong"/>
          <w:rFonts w:ascii="Segoe UI" w:hAnsi="Segoe UI" w:cs="Segoe UI"/>
          <w:color w:val="404040"/>
        </w:rPr>
        <w:t>carbon footprint analytics</w:t>
      </w:r>
      <w:r>
        <w:rPr>
          <w:rFonts w:ascii="Segoe UI" w:hAnsi="Segoe UI" w:cs="Segoe UI"/>
          <w:color w:val="404040"/>
        </w:rPr>
        <w:t> for the month. The platform highlights that energy consumption from cooling systems is the primary contributor.</w:t>
      </w:r>
    </w:p>
    <w:p w14:paraId="4754F723" w14:textId="77777777" w:rsidR="002F21FE" w:rsidRDefault="002F21FE" w:rsidP="002F21FE">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Actionable Insights:</w:t>
      </w:r>
      <w:r>
        <w:rPr>
          <w:rFonts w:ascii="Segoe UI" w:hAnsi="Segoe UI" w:cs="Segoe UI"/>
          <w:color w:val="404040"/>
        </w:rPr>
        <w:t> The platform's AI suggests specific actions: "Retrofitting with AI-controlled coolers could reduce your energy use by 15% and water consumption by 20%. Here are three vetted suppliers."</w:t>
      </w:r>
    </w:p>
    <w:p w14:paraId="2199E1CB" w14:textId="77777777" w:rsidR="002F21FE" w:rsidRDefault="002F21FE" w:rsidP="002F21FE">
      <w:pPr>
        <w:pStyle w:val="ds-markdown-paragraph"/>
        <w:numPr>
          <w:ilvl w:val="0"/>
          <w:numId w:val="3"/>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Reporting &amp; CSR:</w:t>
      </w:r>
      <w:r>
        <w:rPr>
          <w:rFonts w:ascii="Segoe UI" w:hAnsi="Segoe UI" w:cs="Segoe UI"/>
          <w:color w:val="404040"/>
        </w:rPr>
        <w:t> The PR team uses the dashboard to automatically generate their annual </w:t>
      </w:r>
      <w:r>
        <w:rPr>
          <w:rStyle w:val="Strong"/>
          <w:rFonts w:ascii="Segoe UI" w:hAnsi="Segoe UI" w:cs="Segoe UI"/>
          <w:color w:val="404040"/>
        </w:rPr>
        <w:t>Corporate Social Responsibility (CSR) report</w:t>
      </w:r>
      <w:r>
        <w:rPr>
          <w:rFonts w:ascii="Segoe UI" w:hAnsi="Segoe UI" w:cs="Segoe UI"/>
          <w:color w:val="404040"/>
        </w:rPr>
        <w:t>, showcasing their improved sustainability metrics to stakeholders and customers.</w:t>
      </w:r>
    </w:p>
    <w:p w14:paraId="2777E7B0"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 xml:space="preserve">4. For </w:t>
      </w:r>
      <w:proofErr w:type="gramStart"/>
      <w:r w:rsidRPr="004C54C5">
        <w:rPr>
          <w:rStyle w:val="Strong"/>
          <w:rFonts w:ascii="Segoe UI" w:hAnsi="Segoe UI" w:cs="Segoe UI"/>
          <w:color w:val="404040"/>
        </w:rPr>
        <w:t>The</w:t>
      </w:r>
      <w:proofErr w:type="gramEnd"/>
      <w:r w:rsidRPr="004C54C5">
        <w:rPr>
          <w:rStyle w:val="Strong"/>
          <w:rFonts w:ascii="Segoe UI" w:hAnsi="Segoe UI" w:cs="Segoe UI"/>
          <w:color w:val="404040"/>
        </w:rPr>
        <w:t xml:space="preserve"> Government / Municipal Authority:</w:t>
      </w:r>
    </w:p>
    <w:p w14:paraId="3E001498" w14:textId="77777777" w:rsidR="002F21FE" w:rsidRDefault="002F21FE" w:rsidP="002F21FE">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They use the advanced </w:t>
      </w:r>
      <w:r>
        <w:rPr>
          <w:rStyle w:val="Strong"/>
          <w:rFonts w:ascii="Segoe UI" w:hAnsi="Segoe UI" w:cs="Segoe UI"/>
          <w:color w:val="404040"/>
        </w:rPr>
        <w:t>"City Analytics Dashboard"</w:t>
      </w:r>
      <w:r>
        <w:rPr>
          <w:rFonts w:ascii="Segoe UI" w:hAnsi="Segoe UI" w:cs="Segoe UI"/>
          <w:color w:val="404040"/>
        </w:rPr>
        <w:t>.</w:t>
      </w:r>
    </w:p>
    <w:p w14:paraId="2422D3E7" w14:textId="77777777" w:rsidR="002F21FE" w:rsidRDefault="002F21FE" w:rsidP="002F21FE">
      <w:pPr>
        <w:pStyle w:val="ds-markdown-paragraph"/>
        <w:numPr>
          <w:ilvl w:val="0"/>
          <w:numId w:val="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lastRenderedPageBreak/>
        <w:t>Macro-monitoring:</w:t>
      </w:r>
      <w:r>
        <w:rPr>
          <w:rFonts w:ascii="Segoe UI" w:hAnsi="Segoe UI" w:cs="Segoe UI"/>
          <w:color w:val="404040"/>
        </w:rPr>
        <w:t> A city planner views a live map of the entire city, overlaying data on </w:t>
      </w:r>
      <w:r>
        <w:rPr>
          <w:rStyle w:val="Strong"/>
          <w:rFonts w:ascii="Segoe UI" w:hAnsi="Segoe UI" w:cs="Segoe UI"/>
          <w:color w:val="404040"/>
        </w:rPr>
        <w:t>air quality, water usage, and green cover</w:t>
      </w:r>
      <w:r>
        <w:rPr>
          <w:rFonts w:ascii="Segoe UI" w:hAnsi="Segoe UI" w:cs="Segoe UI"/>
          <w:color w:val="404040"/>
        </w:rPr>
        <w:t>.</w:t>
      </w:r>
    </w:p>
    <w:p w14:paraId="6727FFBC" w14:textId="77777777" w:rsidR="002F21FE" w:rsidRDefault="002F21FE" w:rsidP="002F21FE">
      <w:pPr>
        <w:pStyle w:val="ds-markdown-paragraph"/>
        <w:numPr>
          <w:ilvl w:val="0"/>
          <w:numId w:val="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Predictive Planning &amp; Disaster Prevention:</w:t>
      </w:r>
      <w:r>
        <w:rPr>
          <w:rFonts w:ascii="Segoe UI" w:hAnsi="Segoe UI" w:cs="Segoe UI"/>
          <w:color w:val="404040"/>
        </w:rPr>
        <w:t> The system sends an </w:t>
      </w:r>
      <w:r>
        <w:rPr>
          <w:rStyle w:val="Strong"/>
          <w:rFonts w:ascii="Segoe UI" w:hAnsi="Segoe UI" w:cs="Segoe UI"/>
          <w:color w:val="404040"/>
        </w:rPr>
        <w:t>early warning</w:t>
      </w:r>
      <w:r>
        <w:rPr>
          <w:rFonts w:ascii="Segoe UI" w:hAnsi="Segoe UI" w:cs="Segoe UI"/>
          <w:color w:val="404040"/>
        </w:rPr>
        <w:t>: </w:t>
      </w:r>
      <w:r>
        <w:rPr>
          <w:rStyle w:val="Emphasis"/>
          <w:rFonts w:ascii="Segoe UI" w:hAnsi="Segoe UI" w:cs="Segoe UI"/>
          <w:color w:val="404040"/>
        </w:rPr>
        <w:t>"The river water level is rising rapidly in District X. AI models predict a 70% chance of localized flooding in 48 hours. Recommend issuing public alerts and deploying resources."</w:t>
      </w:r>
    </w:p>
    <w:p w14:paraId="048ABFB1" w14:textId="77777777" w:rsidR="002F21FE" w:rsidRDefault="002F21FE" w:rsidP="002F21FE">
      <w:pPr>
        <w:pStyle w:val="ds-markdown-paragraph"/>
        <w:numPr>
          <w:ilvl w:val="0"/>
          <w:numId w:val="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Policy &amp; Investment Decisions:</w:t>
      </w:r>
      <w:r>
        <w:rPr>
          <w:rFonts w:ascii="Segoe UI" w:hAnsi="Segoe UI" w:cs="Segoe UI"/>
          <w:color w:val="404040"/>
        </w:rPr>
        <w:t> The data reveals a neighborhood with critically low green space and high air pollution. This objective data helps them prioritize and justify investment in a new park and electric public transit for that area.</w:t>
      </w:r>
    </w:p>
    <w:p w14:paraId="59E8AE75" w14:textId="77777777" w:rsidR="002F21FE" w:rsidRDefault="002F21FE" w:rsidP="002F21FE">
      <w:pPr>
        <w:pStyle w:val="ds-markdown-paragraph"/>
        <w:shd w:val="clear" w:color="auto" w:fill="FFFFFF"/>
        <w:spacing w:before="206" w:beforeAutospacing="0" w:line="429" w:lineRule="atLeast"/>
        <w:rPr>
          <w:rFonts w:ascii="Segoe UI" w:hAnsi="Segoe UI" w:cs="Segoe UI"/>
          <w:color w:val="404040"/>
        </w:rPr>
      </w:pPr>
      <w:r>
        <w:rPr>
          <w:rFonts w:ascii="Segoe UI" w:hAnsi="Segoe UI" w:cs="Segoe UI"/>
          <w:color w:val="404040"/>
        </w:rPr>
        <w:t xml:space="preserve">In essence, using </w:t>
      </w:r>
      <w:proofErr w:type="spellStart"/>
      <w:r>
        <w:rPr>
          <w:rFonts w:ascii="Segoe UI" w:hAnsi="Segoe UI" w:cs="Segoe UI"/>
          <w:color w:val="404040"/>
        </w:rPr>
        <w:t>EcoHub</w:t>
      </w:r>
      <w:proofErr w:type="spellEnd"/>
      <w:r>
        <w:rPr>
          <w:rFonts w:ascii="Segoe UI" w:hAnsi="Segoe UI" w:cs="Segoe UI"/>
          <w:color w:val="404040"/>
        </w:rPr>
        <w:t xml:space="preserve"> is a seamless experience. For most users, it's an engaging app on their phone that helps them live more sustainably and connect with a like-minded community. For professionals and governments, it's a powerful decision-making tool that transforms raw environmental data into actionable intelligence, driving meaningful change from the individual level to the systemic level.</w:t>
      </w:r>
    </w:p>
    <w:p w14:paraId="4E79B171" w14:textId="77777777" w:rsidR="002F21FE" w:rsidRDefault="002F21FE" w:rsidP="002F21FE">
      <w:pPr>
        <w:shd w:val="clear" w:color="auto" w:fill="FFFFFF"/>
        <w:spacing w:before="206" w:after="206" w:line="429" w:lineRule="atLeast"/>
        <w:rPr>
          <w:rFonts w:ascii="Segoe UI" w:eastAsia="Times New Roman" w:hAnsi="Segoe UI" w:cs="Segoe UI"/>
          <w:color w:val="404040"/>
          <w:sz w:val="24"/>
          <w:szCs w:val="24"/>
        </w:rPr>
      </w:pPr>
    </w:p>
    <w:p w14:paraId="2D992E51" w14:textId="77777777" w:rsidR="002F21FE" w:rsidRDefault="002F21FE" w:rsidP="002F21FE">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color w:val="404040"/>
        </w:rPr>
        <w:t xml:space="preserve">Technologies Powering the </w:t>
      </w:r>
      <w:proofErr w:type="spellStart"/>
      <w:r>
        <w:rPr>
          <w:rStyle w:val="Strong"/>
          <w:rFonts w:ascii="Segoe UI" w:hAnsi="Segoe UI" w:cs="Segoe UI"/>
          <w:color w:val="404040"/>
        </w:rPr>
        <w:t>EcoHub</w:t>
      </w:r>
      <w:proofErr w:type="spellEnd"/>
      <w:r>
        <w:rPr>
          <w:rStyle w:val="Strong"/>
          <w:rFonts w:ascii="Segoe UI" w:hAnsi="Segoe UI" w:cs="Segoe UI"/>
          <w:color w:val="404040"/>
        </w:rPr>
        <w:t xml:space="preserve"> Project</w:t>
      </w:r>
    </w:p>
    <w:p w14:paraId="6892B356" w14:textId="77777777" w:rsidR="002F21FE" w:rsidRDefault="002F21FE" w:rsidP="002F21FE">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 xml:space="preserve">The </w:t>
      </w:r>
      <w:proofErr w:type="spellStart"/>
      <w:r>
        <w:rPr>
          <w:rFonts w:ascii="Segoe UI" w:hAnsi="Segoe UI" w:cs="Segoe UI"/>
          <w:color w:val="404040"/>
        </w:rPr>
        <w:t>EcoHub</w:t>
      </w:r>
      <w:proofErr w:type="spellEnd"/>
      <w:r>
        <w:rPr>
          <w:rFonts w:ascii="Segoe UI" w:hAnsi="Segoe UI" w:cs="Segoe UI"/>
          <w:color w:val="404040"/>
        </w:rPr>
        <w:t xml:space="preserve"> platform is a sophisticated blend of several modern technologies, each chosen to address a specific part of the solution. Here’s a breakdown:</w:t>
      </w:r>
    </w:p>
    <w:p w14:paraId="5EF6E93E"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1. Internet of Things (IoT) &amp; Sensors</w:t>
      </w:r>
    </w:p>
    <w:p w14:paraId="415EEB28" w14:textId="77777777" w:rsidR="002F21FE" w:rsidRDefault="002F21FE" w:rsidP="002F21FE">
      <w:pPr>
        <w:pStyle w:val="ds-markdown-paragraph"/>
        <w:numPr>
          <w:ilvl w:val="0"/>
          <w:numId w:val="5"/>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To collect real-time, accurate physical world data. This is the "eyes and ears" of the platform.</w:t>
      </w:r>
    </w:p>
    <w:p w14:paraId="71702C21" w14:textId="77777777" w:rsidR="002F21FE" w:rsidRDefault="002F21FE" w:rsidP="002F21FE">
      <w:pPr>
        <w:pStyle w:val="ds-markdown-paragraph"/>
        <w:numPr>
          <w:ilvl w:val="0"/>
          <w:numId w:val="5"/>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Implementation:</w:t>
      </w:r>
    </w:p>
    <w:p w14:paraId="7759DC94" w14:textId="77777777" w:rsidR="002F21FE" w:rsidRDefault="002F21FE" w:rsidP="002F21FE">
      <w:pPr>
        <w:pStyle w:val="ds-markdown-paragraph"/>
        <w:numPr>
          <w:ilvl w:val="1"/>
          <w:numId w:val="5"/>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Air Quality Sensors:</w:t>
      </w:r>
      <w:r>
        <w:rPr>
          <w:rFonts w:ascii="Segoe UI" w:hAnsi="Segoe UI" w:cs="Segoe UI"/>
          <w:color w:val="404040"/>
        </w:rPr>
        <w:t> Deployed across cities to measure pollutants (PM2.5, PM10, NO2, O3, CO2 levels).</w:t>
      </w:r>
    </w:p>
    <w:p w14:paraId="4D701DDD" w14:textId="77777777" w:rsidR="002F21FE" w:rsidRDefault="002F21FE" w:rsidP="002F21FE">
      <w:pPr>
        <w:pStyle w:val="ds-markdown-paragraph"/>
        <w:numPr>
          <w:ilvl w:val="1"/>
          <w:numId w:val="5"/>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Water Flow &amp; Pressure Sensors:</w:t>
      </w:r>
      <w:r>
        <w:rPr>
          <w:rFonts w:ascii="Segoe UI" w:hAnsi="Segoe UI" w:cs="Segoe UI"/>
          <w:color w:val="404040"/>
        </w:rPr>
        <w:t> Installed in water infrastructure pipelines to detect leaks and abnormal usage patterns.</w:t>
      </w:r>
    </w:p>
    <w:p w14:paraId="61368A1D" w14:textId="77777777" w:rsidR="002F21FE" w:rsidRDefault="002F21FE" w:rsidP="002F21FE">
      <w:pPr>
        <w:pStyle w:val="ds-markdown-paragraph"/>
        <w:numPr>
          <w:ilvl w:val="1"/>
          <w:numId w:val="5"/>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Soil Moisture Sensors:</w:t>
      </w:r>
      <w:r>
        <w:rPr>
          <w:rFonts w:ascii="Segoe UI" w:hAnsi="Segoe UI" w:cs="Segoe UI"/>
          <w:color w:val="404040"/>
        </w:rPr>
        <w:t> Placed in agricultural fields and urban green spaces to monitor water content and health.</w:t>
      </w:r>
    </w:p>
    <w:p w14:paraId="045D6AC8" w14:textId="77777777" w:rsidR="002F21FE" w:rsidRDefault="002F21FE" w:rsidP="002F21FE">
      <w:pPr>
        <w:pStyle w:val="ds-markdown-paragraph"/>
        <w:numPr>
          <w:ilvl w:val="1"/>
          <w:numId w:val="5"/>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How it works:</w:t>
      </w:r>
      <w:r>
        <w:rPr>
          <w:rFonts w:ascii="Segoe UI" w:hAnsi="Segoe UI" w:cs="Segoe UI"/>
          <w:color w:val="404040"/>
        </w:rPr>
        <w:t> These sensors wirelessly transmit their data to a central cloud gateway for processing.</w:t>
      </w:r>
    </w:p>
    <w:p w14:paraId="0ED631E2"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2. Artificial Intelligence (AI) &amp; Machine Learning (ML)</w:t>
      </w:r>
    </w:p>
    <w:p w14:paraId="4A44598F" w14:textId="77777777" w:rsidR="002F21FE" w:rsidRDefault="002F21FE" w:rsidP="002F21FE">
      <w:pPr>
        <w:pStyle w:val="ds-markdown-paragraph"/>
        <w:numPr>
          <w:ilvl w:val="0"/>
          <w:numId w:val="6"/>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To add intelligence, make predictions, and automate decision-making from the collected data. This is the "brain" of the platform.</w:t>
      </w:r>
    </w:p>
    <w:p w14:paraId="3B2C8E1A" w14:textId="77777777" w:rsidR="002F21FE" w:rsidRDefault="002F21FE" w:rsidP="002F21FE">
      <w:pPr>
        <w:pStyle w:val="ds-markdown-paragraph"/>
        <w:numPr>
          <w:ilvl w:val="0"/>
          <w:numId w:val="6"/>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Implementation:</w:t>
      </w:r>
    </w:p>
    <w:p w14:paraId="37545C67" w14:textId="77777777" w:rsidR="002F21FE" w:rsidRDefault="002F21FE" w:rsidP="002F21FE">
      <w:pPr>
        <w:pStyle w:val="ds-markdown-paragraph"/>
        <w:numPr>
          <w:ilvl w:val="1"/>
          <w:numId w:val="6"/>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Computer Vision Models:</w:t>
      </w:r>
      <w:r>
        <w:rPr>
          <w:rFonts w:ascii="Segoe UI" w:hAnsi="Segoe UI" w:cs="Segoe UI"/>
          <w:color w:val="404040"/>
        </w:rPr>
        <w:t> Used for </w:t>
      </w:r>
      <w:r>
        <w:rPr>
          <w:rStyle w:val="Strong"/>
          <w:rFonts w:ascii="Segoe UI" w:hAnsi="Segoe UI" w:cs="Segoe UI"/>
          <w:color w:val="404040"/>
        </w:rPr>
        <w:t>plant disease diagnosis</w:t>
      </w:r>
      <w:r>
        <w:rPr>
          <w:rFonts w:ascii="Segoe UI" w:hAnsi="Segoe UI" w:cs="Segoe UI"/>
          <w:color w:val="404040"/>
        </w:rPr>
        <w:t>. A model (e.g., a Convolutional Neural Network - CNN) is trained on thousands of images of healthy and diseased plants to identify issues from a user's uploaded photo.</w:t>
      </w:r>
    </w:p>
    <w:p w14:paraId="3A69B6E8" w14:textId="77777777" w:rsidR="002F21FE" w:rsidRDefault="002F21FE" w:rsidP="002F21FE">
      <w:pPr>
        <w:pStyle w:val="ds-markdown-paragraph"/>
        <w:numPr>
          <w:ilvl w:val="1"/>
          <w:numId w:val="6"/>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lastRenderedPageBreak/>
        <w:t>Predictive Analytics Models:</w:t>
      </w:r>
      <w:r>
        <w:rPr>
          <w:rFonts w:ascii="Segoe UI" w:hAnsi="Segoe UI" w:cs="Segoe UI"/>
          <w:color w:val="404040"/>
        </w:rPr>
        <w:t> Used for </w:t>
      </w:r>
      <w:r>
        <w:rPr>
          <w:rStyle w:val="Strong"/>
          <w:rFonts w:ascii="Segoe UI" w:hAnsi="Segoe UI" w:cs="Segoe UI"/>
          <w:color w:val="404040"/>
        </w:rPr>
        <w:t>flood and drought forecasting</w:t>
      </w:r>
      <w:r>
        <w:rPr>
          <w:rFonts w:ascii="Segoe UI" w:hAnsi="Segoe UI" w:cs="Segoe UI"/>
          <w:color w:val="404040"/>
        </w:rPr>
        <w:t>. Time-series algorithms (e.g., LSTMs - Long Short-Term Memory networks) analyze historical and real-time weather, water level, and soil data to predict future events.</w:t>
      </w:r>
    </w:p>
    <w:p w14:paraId="049AB3CF" w14:textId="77777777" w:rsidR="002F21FE" w:rsidRDefault="002F21FE" w:rsidP="002F21FE">
      <w:pPr>
        <w:pStyle w:val="ds-markdown-paragraph"/>
        <w:numPr>
          <w:ilvl w:val="1"/>
          <w:numId w:val="6"/>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Anomaly Detection Algorithms:</w:t>
      </w:r>
      <w:r>
        <w:rPr>
          <w:rFonts w:ascii="Segoe UI" w:hAnsi="Segoe UI" w:cs="Segoe UI"/>
          <w:color w:val="404040"/>
        </w:rPr>
        <w:t> Used for </w:t>
      </w:r>
      <w:r>
        <w:rPr>
          <w:rStyle w:val="Strong"/>
          <w:rFonts w:ascii="Segoe UI" w:hAnsi="Segoe UI" w:cs="Segoe UI"/>
          <w:color w:val="404040"/>
        </w:rPr>
        <w:t>leak detection</w:t>
      </w:r>
      <w:r>
        <w:rPr>
          <w:rFonts w:ascii="Segoe UI" w:hAnsi="Segoe UI" w:cs="Segoe UI"/>
          <w:color w:val="404040"/>
        </w:rPr>
        <w:t>. The ML model learns normal water usage patterns and can instantly flag unusual consumption that suggests a leak.</w:t>
      </w:r>
    </w:p>
    <w:p w14:paraId="3DF0B14A" w14:textId="77777777" w:rsidR="002F21FE" w:rsidRDefault="002F21FE" w:rsidP="002F21FE">
      <w:pPr>
        <w:pStyle w:val="ds-markdown-paragraph"/>
        <w:numPr>
          <w:ilvl w:val="1"/>
          <w:numId w:val="6"/>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Optimization Algorithms:</w:t>
      </w:r>
      <w:r>
        <w:rPr>
          <w:rFonts w:ascii="Segoe UI" w:hAnsi="Segoe UI" w:cs="Segoe UI"/>
          <w:color w:val="404040"/>
        </w:rPr>
        <w:t> Used for </w:t>
      </w:r>
      <w:r>
        <w:rPr>
          <w:rStyle w:val="Strong"/>
          <w:rFonts w:ascii="Segoe UI" w:hAnsi="Segoe UI" w:cs="Segoe UI"/>
          <w:color w:val="404040"/>
        </w:rPr>
        <w:t>smart irrigation</w:t>
      </w:r>
      <w:r>
        <w:rPr>
          <w:rFonts w:ascii="Segoe UI" w:hAnsi="Segoe UI" w:cs="Segoe UI"/>
          <w:color w:val="404040"/>
        </w:rPr>
        <w:t>. The system processes data from soil sensors and weather forecasts to calculate the precise amount of water needed, minimizing waste.</w:t>
      </w:r>
    </w:p>
    <w:p w14:paraId="55CE3A59"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3. Natural Language Processing (NLP)</w:t>
      </w:r>
    </w:p>
    <w:p w14:paraId="63A159B2" w14:textId="77777777" w:rsidR="002F21FE" w:rsidRDefault="002F21FE" w:rsidP="002F21FE">
      <w:pPr>
        <w:pStyle w:val="ds-markdown-paragraph"/>
        <w:numPr>
          <w:ilvl w:val="0"/>
          <w:numId w:val="7"/>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xml:space="preserve"> To understand, interpret, and generate human language within the </w:t>
      </w:r>
      <w:proofErr w:type="spellStart"/>
      <w:r>
        <w:rPr>
          <w:rFonts w:ascii="Segoe UI" w:hAnsi="Segoe UI" w:cs="Segoe UI"/>
          <w:color w:val="404040"/>
        </w:rPr>
        <w:t>EcoSocial</w:t>
      </w:r>
      <w:proofErr w:type="spellEnd"/>
      <w:r>
        <w:rPr>
          <w:rFonts w:ascii="Segoe UI" w:hAnsi="Segoe UI" w:cs="Segoe UI"/>
          <w:color w:val="404040"/>
        </w:rPr>
        <w:t xml:space="preserve"> community feature.</w:t>
      </w:r>
    </w:p>
    <w:p w14:paraId="3FFAFB0C" w14:textId="77777777" w:rsidR="002F21FE" w:rsidRDefault="002F21FE" w:rsidP="002F21FE">
      <w:pPr>
        <w:pStyle w:val="ds-markdown-paragraph"/>
        <w:numPr>
          <w:ilvl w:val="0"/>
          <w:numId w:val="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Implementation:</w:t>
      </w:r>
    </w:p>
    <w:p w14:paraId="1A7DDF17" w14:textId="77777777" w:rsidR="002F21FE" w:rsidRDefault="002F21FE" w:rsidP="002F21FE">
      <w:pPr>
        <w:pStyle w:val="ds-markdown-paragraph"/>
        <w:numPr>
          <w:ilvl w:val="1"/>
          <w:numId w:val="7"/>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Sentiment Analysis &amp; Toxicity Detection:</w:t>
      </w:r>
      <w:r>
        <w:rPr>
          <w:rFonts w:ascii="Segoe UI" w:hAnsi="Segoe UI" w:cs="Segoe UI"/>
          <w:color w:val="404040"/>
        </w:rPr>
        <w:t> NLP models (e.g., BERT-based classifiers) scan user-generated posts and comments to automatically flag hate speech, misinformation, or negative content. This powers the </w:t>
      </w:r>
      <w:r>
        <w:rPr>
          <w:rStyle w:val="Strong"/>
          <w:rFonts w:ascii="Segoe UI" w:hAnsi="Segoe UI" w:cs="Segoe UI"/>
          <w:color w:val="404040"/>
        </w:rPr>
        <w:t>Green Score</w:t>
      </w:r>
      <w:r>
        <w:rPr>
          <w:rFonts w:ascii="Segoe UI" w:hAnsi="Segoe UI" w:cs="Segoe UI"/>
          <w:color w:val="404040"/>
        </w:rPr>
        <w:t> system.</w:t>
      </w:r>
    </w:p>
    <w:p w14:paraId="69E44620" w14:textId="77777777" w:rsidR="002F21FE" w:rsidRDefault="002F21FE" w:rsidP="002F21FE">
      <w:pPr>
        <w:pStyle w:val="ds-markdown-paragraph"/>
        <w:numPr>
          <w:ilvl w:val="1"/>
          <w:numId w:val="7"/>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Content Moderation &amp; Suggestion:</w:t>
      </w:r>
      <w:r>
        <w:rPr>
          <w:rFonts w:ascii="Segoe UI" w:hAnsi="Segoe UI" w:cs="Segoe UI"/>
          <w:color w:val="404040"/>
        </w:rPr>
        <w:t> For content flagged as mildly negative (below 50%), the system could use </w:t>
      </w:r>
      <w:r>
        <w:rPr>
          <w:rStyle w:val="Strong"/>
          <w:rFonts w:ascii="Segoe UI" w:hAnsi="Segoe UI" w:cs="Segoe UI"/>
          <w:color w:val="404040"/>
        </w:rPr>
        <w:t>text generation models</w:t>
      </w:r>
      <w:r>
        <w:rPr>
          <w:rFonts w:ascii="Segoe UI" w:hAnsi="Segoe UI" w:cs="Segoe UI"/>
          <w:color w:val="404040"/>
        </w:rPr>
        <w:t> to suggest more constructive phrasing to the user.</w:t>
      </w:r>
    </w:p>
    <w:p w14:paraId="7563327B"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4. Cloud Computing</w:t>
      </w:r>
    </w:p>
    <w:p w14:paraId="7994985C" w14:textId="77777777" w:rsidR="002F21FE" w:rsidRDefault="002F21FE" w:rsidP="002F21FE">
      <w:pPr>
        <w:pStyle w:val="ds-markdown-paragraph"/>
        <w:numPr>
          <w:ilvl w:val="0"/>
          <w:numId w:val="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To provide the scalable, secure, and powerful backend infrastructure that hosts all the services and data.</w:t>
      </w:r>
    </w:p>
    <w:p w14:paraId="54A5EF0B" w14:textId="77777777" w:rsidR="002F21FE" w:rsidRDefault="002F21FE" w:rsidP="002F21FE">
      <w:pPr>
        <w:pStyle w:val="ds-markdown-paragraph"/>
        <w:numPr>
          <w:ilvl w:val="0"/>
          <w:numId w:val="8"/>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Implementation:</w:t>
      </w:r>
    </w:p>
    <w:p w14:paraId="7CD048F1" w14:textId="77777777" w:rsidR="002F21FE" w:rsidRDefault="002F21FE" w:rsidP="002F21FE">
      <w:pPr>
        <w:pStyle w:val="ds-markdown-paragraph"/>
        <w:numPr>
          <w:ilvl w:val="1"/>
          <w:numId w:val="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Cloud Providers:</w:t>
      </w:r>
      <w:r>
        <w:rPr>
          <w:rFonts w:ascii="Segoe UI" w:hAnsi="Segoe UI" w:cs="Segoe UI"/>
          <w:color w:val="404040"/>
        </w:rPr>
        <w:t> Services like </w:t>
      </w:r>
      <w:r>
        <w:rPr>
          <w:rStyle w:val="Strong"/>
          <w:rFonts w:ascii="Segoe UI" w:hAnsi="Segoe UI" w:cs="Segoe UI"/>
          <w:color w:val="404040"/>
        </w:rPr>
        <w:t>Amazon Web Services (AWS)</w:t>
      </w:r>
      <w:r>
        <w:rPr>
          <w:rFonts w:ascii="Segoe UI" w:hAnsi="Segoe UI" w:cs="Segoe UI"/>
          <w:color w:val="404040"/>
        </w:rPr>
        <w:t>, </w:t>
      </w:r>
      <w:r>
        <w:rPr>
          <w:rStyle w:val="Strong"/>
          <w:rFonts w:ascii="Segoe UI" w:hAnsi="Segoe UI" w:cs="Segoe UI"/>
          <w:color w:val="404040"/>
        </w:rPr>
        <w:t>Google Cloud Platform (GCP)</w:t>
      </w:r>
      <w:r>
        <w:rPr>
          <w:rFonts w:ascii="Segoe UI" w:hAnsi="Segoe UI" w:cs="Segoe UI"/>
          <w:color w:val="404040"/>
        </w:rPr>
        <w:t>, or </w:t>
      </w:r>
      <w:r>
        <w:rPr>
          <w:rStyle w:val="Strong"/>
          <w:rFonts w:ascii="Segoe UI" w:hAnsi="Segoe UI" w:cs="Segoe UI"/>
          <w:color w:val="404040"/>
        </w:rPr>
        <w:t>Microsoft Azure</w:t>
      </w:r>
      <w:r>
        <w:rPr>
          <w:rFonts w:ascii="Segoe UI" w:hAnsi="Segoe UI" w:cs="Segoe UI"/>
          <w:color w:val="404040"/>
        </w:rPr>
        <w:t>.</w:t>
      </w:r>
    </w:p>
    <w:p w14:paraId="5D8B3E7C" w14:textId="77777777" w:rsidR="002F21FE" w:rsidRDefault="002F21FE" w:rsidP="002F21FE">
      <w:pPr>
        <w:pStyle w:val="ds-markdown-paragraph"/>
        <w:numPr>
          <w:ilvl w:val="1"/>
          <w:numId w:val="8"/>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Functions:</w:t>
      </w:r>
    </w:p>
    <w:p w14:paraId="41E8FB7B" w14:textId="77777777" w:rsidR="002F21FE" w:rsidRDefault="002F21FE" w:rsidP="002F21FE">
      <w:pPr>
        <w:pStyle w:val="ds-markdown-paragraph"/>
        <w:numPr>
          <w:ilvl w:val="2"/>
          <w:numId w:val="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Data Storage:</w:t>
      </w:r>
      <w:r>
        <w:rPr>
          <w:rFonts w:ascii="Segoe UI" w:hAnsi="Segoe UI" w:cs="Segoe UI"/>
          <w:color w:val="404040"/>
        </w:rPr>
        <w:t> Massive databases (e.g., SQL for user data, Time-Series databases for sensor data) store all information.</w:t>
      </w:r>
    </w:p>
    <w:p w14:paraId="22046EC2" w14:textId="77777777" w:rsidR="002F21FE" w:rsidRDefault="002F21FE" w:rsidP="002F21FE">
      <w:pPr>
        <w:pStyle w:val="ds-markdown-paragraph"/>
        <w:numPr>
          <w:ilvl w:val="2"/>
          <w:numId w:val="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Data Processing:</w:t>
      </w:r>
      <w:r>
        <w:rPr>
          <w:rFonts w:ascii="Segoe UI" w:hAnsi="Segoe UI" w:cs="Segoe UI"/>
          <w:color w:val="404040"/>
        </w:rPr>
        <w:t> Powerful servers run the complex AI/ML models and data analytics.</w:t>
      </w:r>
    </w:p>
    <w:p w14:paraId="1F19D07C" w14:textId="77777777" w:rsidR="002F21FE" w:rsidRDefault="002F21FE" w:rsidP="002F21FE">
      <w:pPr>
        <w:pStyle w:val="ds-markdown-paragraph"/>
        <w:numPr>
          <w:ilvl w:val="2"/>
          <w:numId w:val="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Scalability:</w:t>
      </w:r>
      <w:r>
        <w:rPr>
          <w:rFonts w:ascii="Segoe UI" w:hAnsi="Segoe UI" w:cs="Segoe UI"/>
          <w:color w:val="404040"/>
        </w:rPr>
        <w:t> The cloud allows the platform to seamlessly handle more users and sensors without performance issues.</w:t>
      </w:r>
    </w:p>
    <w:p w14:paraId="3C5FEDE1" w14:textId="77777777" w:rsidR="002F21FE" w:rsidRPr="004C54C5" w:rsidRDefault="002F21FE" w:rsidP="002F21FE">
      <w:pPr>
        <w:pStyle w:val="Heading4"/>
        <w:shd w:val="clear" w:color="auto" w:fill="FFFFFF"/>
        <w:spacing w:before="274" w:after="206" w:line="429" w:lineRule="atLeast"/>
        <w:rPr>
          <w:rFonts w:ascii="Segoe UI" w:hAnsi="Segoe UI" w:cs="Segoe UI"/>
          <w:color w:val="404040"/>
        </w:rPr>
      </w:pPr>
      <w:r w:rsidRPr="004C54C5">
        <w:rPr>
          <w:rStyle w:val="Strong"/>
          <w:rFonts w:ascii="Segoe UI" w:hAnsi="Segoe UI" w:cs="Segoe UI"/>
          <w:color w:val="404040"/>
        </w:rPr>
        <w:t>5. Mobile &amp; Web Development Frameworks</w:t>
      </w:r>
    </w:p>
    <w:p w14:paraId="4735997E" w14:textId="77777777" w:rsidR="002F21FE" w:rsidRDefault="002F21FE" w:rsidP="002F21FE">
      <w:pPr>
        <w:pStyle w:val="ds-markdown-paragraph"/>
        <w:numPr>
          <w:ilvl w:val="0"/>
          <w:numId w:val="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To create the user-facing applications that are intuitive, responsive, and reliable.</w:t>
      </w:r>
    </w:p>
    <w:p w14:paraId="6E4E5EEC" w14:textId="77777777" w:rsidR="002F21FE" w:rsidRDefault="002F21FE" w:rsidP="002F21FE">
      <w:pPr>
        <w:pStyle w:val="ds-markdown-paragraph"/>
        <w:numPr>
          <w:ilvl w:val="0"/>
          <w:numId w:val="9"/>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Implementation:</w:t>
      </w:r>
    </w:p>
    <w:p w14:paraId="4F9C7001" w14:textId="77777777" w:rsidR="002F21FE" w:rsidRDefault="002F21FE" w:rsidP="002F21FE">
      <w:pPr>
        <w:pStyle w:val="ds-markdown-paragraph"/>
        <w:numPr>
          <w:ilvl w:val="1"/>
          <w:numId w:val="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Mobile App:</w:t>
      </w:r>
      <w:r>
        <w:rPr>
          <w:rFonts w:ascii="Segoe UI" w:hAnsi="Segoe UI" w:cs="Segoe UI"/>
          <w:color w:val="404040"/>
        </w:rPr>
        <w:t> Developed using a cross-platform framework like </w:t>
      </w:r>
      <w:r>
        <w:rPr>
          <w:rStyle w:val="Strong"/>
          <w:rFonts w:ascii="Segoe UI" w:hAnsi="Segoe UI" w:cs="Segoe UI"/>
          <w:color w:val="404040"/>
        </w:rPr>
        <w:t>Flutter</w:t>
      </w:r>
      <w:r>
        <w:rPr>
          <w:rFonts w:ascii="Segoe UI" w:hAnsi="Segoe UI" w:cs="Segoe UI"/>
          <w:color w:val="404040"/>
        </w:rPr>
        <w:t> or </w:t>
      </w:r>
      <w:r>
        <w:rPr>
          <w:rStyle w:val="Strong"/>
          <w:rFonts w:ascii="Segoe UI" w:hAnsi="Segoe UI" w:cs="Segoe UI"/>
          <w:color w:val="404040"/>
        </w:rPr>
        <w:t>React Native</w:t>
      </w:r>
      <w:r>
        <w:rPr>
          <w:rFonts w:ascii="Segoe UI" w:hAnsi="Segoe UI" w:cs="Segoe UI"/>
          <w:color w:val="404040"/>
        </w:rPr>
        <w:t xml:space="preserve"> to build the </w:t>
      </w:r>
      <w:proofErr w:type="spellStart"/>
      <w:r>
        <w:rPr>
          <w:rFonts w:ascii="Segoe UI" w:hAnsi="Segoe UI" w:cs="Segoe UI"/>
          <w:color w:val="404040"/>
        </w:rPr>
        <w:t>EcoHub</w:t>
      </w:r>
      <w:proofErr w:type="spellEnd"/>
      <w:r>
        <w:rPr>
          <w:rFonts w:ascii="Segoe UI" w:hAnsi="Segoe UI" w:cs="Segoe UI"/>
          <w:color w:val="404040"/>
        </w:rPr>
        <w:t xml:space="preserve"> app for both iOS and Android from a single codebase.</w:t>
      </w:r>
    </w:p>
    <w:p w14:paraId="3F81C256" w14:textId="77777777" w:rsidR="002F21FE" w:rsidRDefault="002F21FE" w:rsidP="002F21FE">
      <w:pPr>
        <w:pStyle w:val="ds-markdown-paragraph"/>
        <w:numPr>
          <w:ilvl w:val="1"/>
          <w:numId w:val="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lastRenderedPageBreak/>
        <w:t>Web Dashboard:</w:t>
      </w:r>
      <w:r>
        <w:rPr>
          <w:rFonts w:ascii="Segoe UI" w:hAnsi="Segoe UI" w:cs="Segoe UI"/>
          <w:color w:val="404040"/>
        </w:rPr>
        <w:t> Built using modern frameworks like </w:t>
      </w:r>
      <w:r>
        <w:rPr>
          <w:rStyle w:val="Strong"/>
          <w:rFonts w:ascii="Segoe UI" w:hAnsi="Segoe UI" w:cs="Segoe UI"/>
          <w:color w:val="404040"/>
        </w:rPr>
        <w:t>React.js</w:t>
      </w:r>
      <w:r>
        <w:rPr>
          <w:rFonts w:ascii="Segoe UI" w:hAnsi="Segoe UI" w:cs="Segoe UI"/>
          <w:color w:val="404040"/>
        </w:rPr>
        <w:t> or </w:t>
      </w:r>
      <w:r>
        <w:rPr>
          <w:rStyle w:val="Strong"/>
          <w:rFonts w:ascii="Segoe UI" w:hAnsi="Segoe UI" w:cs="Segoe UI"/>
          <w:color w:val="404040"/>
        </w:rPr>
        <w:t>Vue.js</w:t>
      </w:r>
      <w:r>
        <w:rPr>
          <w:rFonts w:ascii="Segoe UI" w:hAnsi="Segoe UI" w:cs="Segoe UI"/>
          <w:color w:val="404040"/>
        </w:rPr>
        <w:t> to create the dynamic, interactive dashboards for businesses and city officials.</w:t>
      </w:r>
    </w:p>
    <w:p w14:paraId="70092D43" w14:textId="77777777" w:rsidR="002F21FE" w:rsidRPr="00C531E5" w:rsidRDefault="002F21FE" w:rsidP="002F21FE">
      <w:pPr>
        <w:pStyle w:val="Heading4"/>
        <w:shd w:val="clear" w:color="auto" w:fill="FFFFFF"/>
        <w:spacing w:before="274" w:after="206" w:line="429" w:lineRule="atLeast"/>
        <w:rPr>
          <w:rFonts w:ascii="Segoe UI" w:hAnsi="Segoe UI" w:cs="Segoe UI"/>
          <w:color w:val="404040"/>
        </w:rPr>
      </w:pPr>
      <w:r w:rsidRPr="00C531E5">
        <w:rPr>
          <w:rStyle w:val="Strong"/>
          <w:rFonts w:ascii="Segoe UI" w:hAnsi="Segoe UI" w:cs="Segoe UI"/>
          <w:color w:val="404040"/>
        </w:rPr>
        <w:t>6. Data Visualization &amp; GIS (Geographic Information Systems)</w:t>
      </w:r>
    </w:p>
    <w:p w14:paraId="2B1A633E" w14:textId="77777777" w:rsidR="002F21FE" w:rsidRDefault="002F21FE" w:rsidP="002F21FE">
      <w:pPr>
        <w:pStyle w:val="ds-markdown-paragraph"/>
        <w:numPr>
          <w:ilvl w:val="0"/>
          <w:numId w:val="10"/>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To present complex data in an understandable, visual, and actionable format, often on a map.</w:t>
      </w:r>
    </w:p>
    <w:p w14:paraId="2E5E1DC3" w14:textId="77777777" w:rsidR="002F21FE" w:rsidRDefault="002F21FE" w:rsidP="002F21FE">
      <w:pPr>
        <w:pStyle w:val="ds-markdown-paragraph"/>
        <w:numPr>
          <w:ilvl w:val="0"/>
          <w:numId w:val="10"/>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Implementation:</w:t>
      </w:r>
    </w:p>
    <w:p w14:paraId="6BA88C51" w14:textId="77777777" w:rsidR="002F21FE" w:rsidRDefault="002F21FE" w:rsidP="002F21FE">
      <w:pPr>
        <w:pStyle w:val="ds-markdown-paragraph"/>
        <w:numPr>
          <w:ilvl w:val="1"/>
          <w:numId w:val="10"/>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Libraries:</w:t>
      </w:r>
      <w:r>
        <w:rPr>
          <w:rFonts w:ascii="Segoe UI" w:hAnsi="Segoe UI" w:cs="Segoe UI"/>
          <w:color w:val="404040"/>
        </w:rPr>
        <w:t> Tools like </w:t>
      </w:r>
      <w:proofErr w:type="spellStart"/>
      <w:r>
        <w:rPr>
          <w:rStyle w:val="Strong"/>
          <w:rFonts w:ascii="Segoe UI" w:hAnsi="Segoe UI" w:cs="Segoe UI"/>
          <w:color w:val="404040"/>
        </w:rPr>
        <w:t>Mapbox</w:t>
      </w:r>
      <w:proofErr w:type="spellEnd"/>
      <w:r>
        <w:rPr>
          <w:rFonts w:ascii="Segoe UI" w:hAnsi="Segoe UI" w:cs="Segoe UI"/>
          <w:color w:val="404040"/>
        </w:rPr>
        <w:t>, </w:t>
      </w:r>
      <w:r>
        <w:rPr>
          <w:rStyle w:val="Strong"/>
          <w:rFonts w:ascii="Segoe UI" w:hAnsi="Segoe UI" w:cs="Segoe UI"/>
          <w:color w:val="404040"/>
        </w:rPr>
        <w:t>Google Maps API</w:t>
      </w:r>
      <w:r>
        <w:rPr>
          <w:rFonts w:ascii="Segoe UI" w:hAnsi="Segoe UI" w:cs="Segoe UI"/>
          <w:color w:val="404040"/>
        </w:rPr>
        <w:t>, or </w:t>
      </w:r>
      <w:r>
        <w:rPr>
          <w:rStyle w:val="Strong"/>
          <w:rFonts w:ascii="Segoe UI" w:hAnsi="Segoe UI" w:cs="Segoe UI"/>
          <w:color w:val="404040"/>
        </w:rPr>
        <w:t>D3.js</w:t>
      </w:r>
      <w:r>
        <w:rPr>
          <w:rFonts w:ascii="Segoe UI" w:hAnsi="Segoe UI" w:cs="Segoe UI"/>
          <w:color w:val="404040"/>
        </w:rPr>
        <w:t> are used to create the interactive maps that show air quality index, water leak locations, green space density, and flood risk zones.</w:t>
      </w:r>
    </w:p>
    <w:p w14:paraId="3C1BEE65" w14:textId="77777777" w:rsidR="002F21FE" w:rsidRDefault="002F21FE" w:rsidP="002F21FE">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color w:val="404040"/>
        </w:rPr>
        <w:t>How the Technologies Work Together:</w:t>
      </w:r>
    </w:p>
    <w:p w14:paraId="169572FC" w14:textId="77777777" w:rsidR="002F21FE" w:rsidRDefault="002F21FE" w:rsidP="002F21FE">
      <w:pPr>
        <w:pStyle w:val="ds-markdown-paragraph"/>
        <w:numPr>
          <w:ilvl w:val="0"/>
          <w:numId w:val="1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Data Collection:</w:t>
      </w:r>
      <w:r>
        <w:rPr>
          <w:rFonts w:ascii="Segoe UI" w:hAnsi="Segoe UI" w:cs="Segoe UI"/>
          <w:color w:val="404040"/>
        </w:rPr>
        <w:t> </w:t>
      </w:r>
      <w:r>
        <w:rPr>
          <w:rStyle w:val="Strong"/>
          <w:rFonts w:ascii="Segoe UI" w:hAnsi="Segoe UI" w:cs="Segoe UI"/>
          <w:color w:val="404040"/>
        </w:rPr>
        <w:t>IoT Sensors</w:t>
      </w:r>
      <w:r>
        <w:rPr>
          <w:rFonts w:ascii="Segoe UI" w:hAnsi="Segoe UI" w:cs="Segoe UI"/>
          <w:color w:val="404040"/>
        </w:rPr>
        <w:t> in the field collect raw data (e.g., air pollution reading).</w:t>
      </w:r>
    </w:p>
    <w:p w14:paraId="7E68DC4C" w14:textId="77777777" w:rsidR="002F21FE" w:rsidRDefault="002F21FE" w:rsidP="002F21FE">
      <w:pPr>
        <w:pStyle w:val="ds-markdown-paragraph"/>
        <w:numPr>
          <w:ilvl w:val="0"/>
          <w:numId w:val="1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Data Transmission:</w:t>
      </w:r>
      <w:r>
        <w:rPr>
          <w:rFonts w:ascii="Segoe UI" w:hAnsi="Segoe UI" w:cs="Segoe UI"/>
          <w:color w:val="404040"/>
        </w:rPr>
        <w:t> This data is sent securely via the internet to the </w:t>
      </w:r>
      <w:r>
        <w:rPr>
          <w:rStyle w:val="Strong"/>
          <w:rFonts w:ascii="Segoe UI" w:hAnsi="Segoe UI" w:cs="Segoe UI"/>
          <w:color w:val="404040"/>
        </w:rPr>
        <w:t>Cloud</w:t>
      </w:r>
      <w:r>
        <w:rPr>
          <w:rFonts w:ascii="Segoe UI" w:hAnsi="Segoe UI" w:cs="Segoe UI"/>
          <w:color w:val="404040"/>
        </w:rPr>
        <w:t>.</w:t>
      </w:r>
    </w:p>
    <w:p w14:paraId="17D85D00" w14:textId="77777777" w:rsidR="002F21FE" w:rsidRDefault="002F21FE" w:rsidP="002F21FE">
      <w:pPr>
        <w:pStyle w:val="ds-markdown-paragraph"/>
        <w:numPr>
          <w:ilvl w:val="0"/>
          <w:numId w:val="1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Data Processing &amp; Analysis:</w:t>
      </w:r>
      <w:r>
        <w:rPr>
          <w:rFonts w:ascii="Segoe UI" w:hAnsi="Segoe UI" w:cs="Segoe UI"/>
          <w:color w:val="404040"/>
        </w:rPr>
        <w:t> In the cloud, </w:t>
      </w:r>
      <w:r>
        <w:rPr>
          <w:rStyle w:val="Strong"/>
          <w:rFonts w:ascii="Segoe UI" w:hAnsi="Segoe UI" w:cs="Segoe UI"/>
          <w:color w:val="404040"/>
        </w:rPr>
        <w:t>AI/ML models</w:t>
      </w:r>
      <w:r>
        <w:rPr>
          <w:rFonts w:ascii="Segoe UI" w:hAnsi="Segoe UI" w:cs="Segoe UI"/>
          <w:color w:val="404040"/>
        </w:rPr>
        <w:t> process this data (e.g., to predict a pollution trend).</w:t>
      </w:r>
    </w:p>
    <w:p w14:paraId="6274998C" w14:textId="77777777" w:rsidR="002F21FE" w:rsidRDefault="002F21FE" w:rsidP="002F21FE">
      <w:pPr>
        <w:pStyle w:val="ds-markdown-paragraph"/>
        <w:numPr>
          <w:ilvl w:val="0"/>
          <w:numId w:val="1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Insight Delivery:</w:t>
      </w:r>
      <w:r>
        <w:rPr>
          <w:rFonts w:ascii="Segoe UI" w:hAnsi="Segoe UI" w:cs="Segoe UI"/>
          <w:color w:val="404040"/>
        </w:rPr>
        <w:t> The results are sent to the </w:t>
      </w:r>
      <w:r>
        <w:rPr>
          <w:rStyle w:val="Strong"/>
          <w:rFonts w:ascii="Segoe UI" w:hAnsi="Segoe UI" w:cs="Segoe UI"/>
          <w:color w:val="404040"/>
        </w:rPr>
        <w:t>Web</w:t>
      </w:r>
      <w:r>
        <w:rPr>
          <w:rFonts w:ascii="Segoe UI" w:hAnsi="Segoe UI" w:cs="Segoe UI"/>
          <w:color w:val="404040"/>
        </w:rPr>
        <w:t> and </w:t>
      </w:r>
      <w:r>
        <w:rPr>
          <w:rStyle w:val="Strong"/>
          <w:rFonts w:ascii="Segoe UI" w:hAnsi="Segoe UI" w:cs="Segoe UI"/>
          <w:color w:val="404040"/>
        </w:rPr>
        <w:t>Mobile</w:t>
      </w:r>
      <w:r>
        <w:rPr>
          <w:rFonts w:ascii="Segoe UI" w:hAnsi="Segoe UI" w:cs="Segoe UI"/>
          <w:color w:val="404040"/>
        </w:rPr>
        <w:t> applications.</w:t>
      </w:r>
    </w:p>
    <w:p w14:paraId="2E3373D1" w14:textId="77777777" w:rsidR="002F21FE" w:rsidRDefault="002F21FE" w:rsidP="002F21FE">
      <w:pPr>
        <w:pStyle w:val="ds-markdown-paragraph"/>
        <w:numPr>
          <w:ilvl w:val="0"/>
          <w:numId w:val="1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User Interaction &amp; Visualization:</w:t>
      </w:r>
      <w:r>
        <w:rPr>
          <w:rFonts w:ascii="Segoe UI" w:hAnsi="Segoe UI" w:cs="Segoe UI"/>
          <w:color w:val="404040"/>
        </w:rPr>
        <w:t xml:space="preserve"> A user opens the </w:t>
      </w:r>
      <w:proofErr w:type="spellStart"/>
      <w:r>
        <w:rPr>
          <w:rFonts w:ascii="Segoe UI" w:hAnsi="Segoe UI" w:cs="Segoe UI"/>
          <w:color w:val="404040"/>
        </w:rPr>
        <w:t>EcoHub</w:t>
      </w:r>
      <w:proofErr w:type="spellEnd"/>
      <w:r>
        <w:rPr>
          <w:rFonts w:ascii="Segoe UI" w:hAnsi="Segoe UI" w:cs="Segoe UI"/>
          <w:color w:val="404040"/>
        </w:rPr>
        <w:t xml:space="preserve"> app. The </w:t>
      </w:r>
      <w:r>
        <w:rPr>
          <w:rStyle w:val="Strong"/>
          <w:rFonts w:ascii="Segoe UI" w:hAnsi="Segoe UI" w:cs="Segoe UI"/>
          <w:color w:val="404040"/>
        </w:rPr>
        <w:t>data visualization</w:t>
      </w:r>
      <w:r>
        <w:rPr>
          <w:rFonts w:ascii="Segoe UI" w:hAnsi="Segoe UI" w:cs="Segoe UI"/>
          <w:color w:val="404040"/>
        </w:rPr>
        <w:t> tools display the processed data as an easy-to-understand map or graph.</w:t>
      </w:r>
    </w:p>
    <w:p w14:paraId="06EED83E" w14:textId="77777777" w:rsidR="002F21FE" w:rsidRDefault="002F21FE" w:rsidP="002F21FE">
      <w:pPr>
        <w:pStyle w:val="ds-markdown-paragraph"/>
        <w:numPr>
          <w:ilvl w:val="0"/>
          <w:numId w:val="1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Community Management:</w:t>
      </w:r>
      <w:r>
        <w:rPr>
          <w:rFonts w:ascii="Segoe UI" w:hAnsi="Segoe UI" w:cs="Segoe UI"/>
          <w:color w:val="404040"/>
        </w:rPr>
        <w:t xml:space="preserve"> On the </w:t>
      </w:r>
      <w:proofErr w:type="spellStart"/>
      <w:r>
        <w:rPr>
          <w:rFonts w:ascii="Segoe UI" w:hAnsi="Segoe UI" w:cs="Segoe UI"/>
          <w:color w:val="404040"/>
        </w:rPr>
        <w:t>EcoSocial</w:t>
      </w:r>
      <w:proofErr w:type="spellEnd"/>
      <w:r>
        <w:rPr>
          <w:rFonts w:ascii="Segoe UI" w:hAnsi="Segoe UI" w:cs="Segoe UI"/>
          <w:color w:val="404040"/>
        </w:rPr>
        <w:t xml:space="preserve"> feed, </w:t>
      </w:r>
      <w:r>
        <w:rPr>
          <w:rStyle w:val="Strong"/>
          <w:rFonts w:ascii="Segoe UI" w:hAnsi="Segoe UI" w:cs="Segoe UI"/>
          <w:color w:val="404040"/>
        </w:rPr>
        <w:t>NLP</w:t>
      </w:r>
      <w:r>
        <w:rPr>
          <w:rFonts w:ascii="Segoe UI" w:hAnsi="Segoe UI" w:cs="Segoe UI"/>
          <w:color w:val="404040"/>
        </w:rPr>
        <w:t> models continuously analyze text to maintain a positive environment.</w:t>
      </w:r>
    </w:p>
    <w:p w14:paraId="13EA88A9" w14:textId="77777777" w:rsidR="002F21FE" w:rsidRDefault="002F21FE" w:rsidP="002F21FE">
      <w:pPr>
        <w:pStyle w:val="ds-markdown-paragraph"/>
        <w:shd w:val="clear" w:color="auto" w:fill="FFFFFF"/>
        <w:spacing w:before="206" w:beforeAutospacing="0" w:line="429" w:lineRule="atLeast"/>
        <w:rPr>
          <w:rFonts w:ascii="Segoe UI" w:hAnsi="Segoe UI" w:cs="Segoe UI"/>
          <w:color w:val="404040"/>
        </w:rPr>
      </w:pPr>
      <w:r>
        <w:rPr>
          <w:rFonts w:ascii="Segoe UI" w:hAnsi="Segoe UI" w:cs="Segoe UI"/>
          <w:color w:val="404040"/>
        </w:rPr>
        <w:t>This integrated tech stack transforms raw environmental data into actionable intelligence for everyone, from the individual citizen to the government policymaker.</w:t>
      </w:r>
    </w:p>
    <w:p w14:paraId="27896F79" w14:textId="77777777" w:rsidR="002F21FE" w:rsidRDefault="002F21FE" w:rsidP="002F21FE">
      <w:pPr>
        <w:pStyle w:val="ds-markdown-paragraph"/>
        <w:shd w:val="clear" w:color="auto" w:fill="FFFFFF"/>
        <w:spacing w:before="0" w:beforeAutospacing="0" w:line="429" w:lineRule="atLeast"/>
        <w:rPr>
          <w:rFonts w:ascii="Segoe UI" w:hAnsi="Segoe UI" w:cs="Segoe UI"/>
          <w:color w:val="404040"/>
        </w:rPr>
      </w:pPr>
      <w:r>
        <w:rPr>
          <w:noProof/>
        </w:rPr>
        <mc:AlternateContent>
          <mc:Choice Requires="wps">
            <w:drawing>
              <wp:inline distT="0" distB="0" distL="0" distR="0" wp14:anchorId="0D7ADD57" wp14:editId="3D8A02DC">
                <wp:extent cx="304800" cy="304800"/>
                <wp:effectExtent l="0" t="0" r="0" b="0"/>
                <wp:docPr id="3" name="Rectangle 3" descr="https://lh3.googleusercontent.com/gg-dl/AJfQ9KR1_kzrJk4Kb62wccsy7hHZxG5Q5rI_1_UqIQtLwywU_V-GFzG6chHN2xEFLCBfQIl95uMWZxLAIFcMok-1JxaWZ9uovQzAHpdJjEAzRuSYo0LXCVF-xB9hWcftP8rh-uKC_PPTQdxwmNUyYkx5LpOt4hFvt7fAG6Pg0_gkH6fndUXx=s10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A2631" id="Rectangle 3" o:spid="_x0000_s1026" alt="https://lh3.googleusercontent.com/gg-dl/AJfQ9KR1_kzrJk4Kb62wccsy7hHZxG5Q5rI_1_UqIQtLwywU_V-GFzG6chHN2xEFLCBfQIl95uMWZxLAIFcMok-1JxaWZ9uovQzAHpdJjEAzRuSYo0LXCVF-xB9hWcftP8rh-uKC_PPTQdxwmNUyYkx5LpOt4hFvt7fAG6Pg0_gkH6fndUXx=s10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r+Lcn8DAACiBgAADgAAAAAAAAAAAAAAAAAuAgAAZHJzL2Uyb0RvYy54&#10;bWxQSwECLQAUAAYACAAAACEATKDpLNgAAAADAQAADwAAAAAAAAAAAAAAAADZBQAAZHJzL2Rvd25y&#10;ZXYueG1sUEsFBgAAAAAEAAQA8wAAAN4GAAAAAA==&#10;" filled="f" stroked="f">
                <o:lock v:ext="edit" aspectratio="t"/>
                <w10:anchorlock/>
              </v:rect>
            </w:pict>
          </mc:Fallback>
        </mc:AlternateContent>
      </w:r>
      <w:r w:rsidRPr="00C531E5">
        <w:t xml:space="preserve"> </w:t>
      </w:r>
      <w:r>
        <w:rPr>
          <w:noProof/>
        </w:rPr>
        <mc:AlternateContent>
          <mc:Choice Requires="wps">
            <w:drawing>
              <wp:inline distT="0" distB="0" distL="0" distR="0" wp14:anchorId="729C8ADC" wp14:editId="7A880B0F">
                <wp:extent cx="304800" cy="304800"/>
                <wp:effectExtent l="0" t="0" r="0" b="0"/>
                <wp:docPr id="4" name="Rectangle 4" descr="https://lh3.googleusercontent.com/gg-dl/AJfQ9KR1_kzrJk4Kb62wccsy7hHZxG5Q5rI_1_UqIQtLwywU_V-GFzG6chHN2xEFLCBfQIl95uMWZxLAIFcMok-1JxaWZ9uovQzAHpdJjEAzRuSYo0LXCVF-xB9hWcftP8rh-uKC_PPTQdxwmNUyYkx5LpOt4hFvt7fAG6Pg0_gkH6fndUXx=s10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6F54A" id="Rectangle 4" o:spid="_x0000_s1026" alt="https://lh3.googleusercontent.com/gg-dl/AJfQ9KR1_kzrJk4Kb62wccsy7hHZxG5Q5rI_1_UqIQtLwywU_V-GFzG6chHN2xEFLCBfQIl95uMWZxLAIFcMok-1JxaWZ9uovQzAHpdJjEAzRuSYo0LXCVF-xB9hWcftP8rh-uKC_PPTQdxwmNUyYkx5LpOt4hFvt7fAG6Pg0_gkH6fndUXx=s10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Rdb3pfgMAAKIGAAAOAAAAAAAAAAAAAAAAAC4CAABkcnMvZTJvRG9jLnht&#10;bFBLAQItABQABgAIAAAAIQBMoOks2AAAAAMBAAAPAAAAAAAAAAAAAAAAANgFAABkcnMvZG93bnJl&#10;di54bWxQSwUGAAAAAAQABADzAAAA3QYAAAAA&#10;" filled="f" stroked="f">
                <o:lock v:ext="edit" aspectratio="t"/>
                <w10:anchorlock/>
              </v:rect>
            </w:pict>
          </mc:Fallback>
        </mc:AlternateContent>
      </w:r>
    </w:p>
    <w:p w14:paraId="5E8631A6" w14:textId="77777777" w:rsidR="002F21FE" w:rsidRDefault="002F21FE" w:rsidP="002F21FE">
      <w:pPr>
        <w:rPr>
          <w:rFonts w:ascii="Segoe UI" w:eastAsia="Times New Roman" w:hAnsi="Segoe UI" w:cs="Segoe UI"/>
          <w:color w:val="404040"/>
          <w:sz w:val="24"/>
          <w:szCs w:val="24"/>
        </w:rPr>
      </w:pPr>
    </w:p>
    <w:p w14:paraId="5D2B8C16" w14:textId="77777777" w:rsidR="002F21FE" w:rsidRPr="00FA53A6" w:rsidRDefault="002F21FE" w:rsidP="002F21FE">
      <w:pPr>
        <w:rPr>
          <w:b/>
          <w:bCs/>
          <w:sz w:val="32"/>
          <w:szCs w:val="32"/>
        </w:rPr>
      </w:pPr>
      <w:r>
        <w:rPr>
          <w:rFonts w:ascii="Segoe UI" w:hAnsi="Segoe UI" w:cs="Segoe UI"/>
          <w:color w:val="404040"/>
        </w:rPr>
        <w:t>We have a proposed idea focused on sustainable development with three main pillars: environment, economy, and society.</w:t>
      </w:r>
    </w:p>
    <w:p w14:paraId="6AAA1F93" w14:textId="77777777" w:rsidR="002F21FE" w:rsidRDefault="002F21FE" w:rsidP="002F21FE">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color w:val="404040"/>
        </w:rPr>
        <w:t>First Pillar: Environment</w:t>
      </w:r>
    </w:p>
    <w:p w14:paraId="1B8A46B6" w14:textId="77777777" w:rsidR="002F21FE" w:rsidRDefault="002F21FE" w:rsidP="002F21FE">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 environmental pillar consists of three core components:</w:t>
      </w:r>
    </w:p>
    <w:p w14:paraId="22C774B5" w14:textId="77777777" w:rsidR="002F21FE" w:rsidRDefault="002F21FE" w:rsidP="002F21FE">
      <w:pPr>
        <w:pStyle w:val="ds-markdown-paragraph"/>
        <w:numPr>
          <w:ilvl w:val="0"/>
          <w:numId w:val="1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Greenery and Plant Life</w:t>
      </w:r>
    </w:p>
    <w:p w14:paraId="58D50D42"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Developing advanced AI systems to classify plants based on regions with vegetation scarcity and abundance.</w:t>
      </w:r>
    </w:p>
    <w:p w14:paraId="006A7E16"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Conducting environmental analyses to compare these regions and encouraging afforestation in areas with limited greenery to match the richness of greener zones.</w:t>
      </w:r>
    </w:p>
    <w:p w14:paraId="1073D50E"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lastRenderedPageBreak/>
        <w:t>Creating machine learning models to detect plant diseases, predict treatments, and promote sustainable agricultural practices.</w:t>
      </w:r>
    </w:p>
    <w:p w14:paraId="46C1435E" w14:textId="77777777" w:rsidR="002F21FE" w:rsidRDefault="002F21FE" w:rsidP="002F21FE">
      <w:pPr>
        <w:pStyle w:val="ds-markdown-paragraph"/>
        <w:numPr>
          <w:ilvl w:val="0"/>
          <w:numId w:val="1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Water Resource Management</w:t>
      </w:r>
    </w:p>
    <w:p w14:paraId="7F4244D9"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Implementing systems to monitor water usage in buildings and factories, detecting leaks, and ensuring water quality in residential and commercial areas.</w:t>
      </w:r>
    </w:p>
    <w:p w14:paraId="2C583D4F"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Deploying advanced machine learning tools to identify water-scarce regions, provide early drought warnings, and propose actionable solutions.</w:t>
      </w:r>
    </w:p>
    <w:p w14:paraId="5034B892"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Monitoring water-abundant areas to predict floods proactively, enabling preventive measures to mitigate disaster risks.</w:t>
      </w:r>
    </w:p>
    <w:p w14:paraId="11998DB6" w14:textId="77777777" w:rsidR="002F21FE" w:rsidRDefault="002F21FE" w:rsidP="002F21FE">
      <w:pPr>
        <w:pStyle w:val="ds-markdown-paragraph"/>
        <w:numPr>
          <w:ilvl w:val="0"/>
          <w:numId w:val="1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Air Quality Control</w:t>
      </w:r>
    </w:p>
    <w:p w14:paraId="4ADE3C55"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Establishing systems to monitor air quality, measure pollutants, and analyze the balance between carbon dioxide and oxygen levels.</w:t>
      </w:r>
    </w:p>
    <w:p w14:paraId="4ABD7214" w14:textId="77777777" w:rsidR="002F21FE" w:rsidRDefault="002F21FE" w:rsidP="002F21FE">
      <w:pPr>
        <w:pStyle w:val="ds-markdown-paragraph"/>
        <w:numPr>
          <w:ilvl w:val="1"/>
          <w:numId w:val="1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Providing actionable insights to combat air pollution and promote cleaner atmospheric conditions.</w:t>
      </w:r>
    </w:p>
    <w:p w14:paraId="60CE4401" w14:textId="77777777" w:rsidR="002F21FE" w:rsidRDefault="002F21FE" w:rsidP="002F21FE">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color w:val="404040"/>
        </w:rPr>
        <w:t>Second Pillar: Economy</w:t>
      </w:r>
    </w:p>
    <w:p w14:paraId="6413B2ED" w14:textId="77777777" w:rsidR="002F21FE" w:rsidRDefault="002F21FE" w:rsidP="002F21FE">
      <w:pPr>
        <w:pStyle w:val="ds-markdown-paragraph"/>
        <w:numPr>
          <w:ilvl w:val="0"/>
          <w:numId w:val="1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Promoting the </w:t>
      </w:r>
      <w:r>
        <w:rPr>
          <w:rStyle w:val="Strong"/>
          <w:rFonts w:ascii="Segoe UI" w:hAnsi="Segoe UI" w:cs="Segoe UI"/>
          <w:color w:val="404040"/>
        </w:rPr>
        <w:t>Green Economy</w:t>
      </w:r>
      <w:r>
        <w:rPr>
          <w:rFonts w:ascii="Segoe UI" w:hAnsi="Segoe UI" w:cs="Segoe UI"/>
          <w:color w:val="404040"/>
        </w:rPr>
        <w:t>, where economic growth aligns with environmental sustainability.</w:t>
      </w:r>
    </w:p>
    <w:p w14:paraId="62C422C2" w14:textId="77777777" w:rsidR="002F21FE" w:rsidRDefault="002F21FE" w:rsidP="002F21FE">
      <w:pPr>
        <w:pStyle w:val="ds-markdown-paragraph"/>
        <w:numPr>
          <w:ilvl w:val="0"/>
          <w:numId w:val="1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Encouraging individuals, communities, startups, corporations, and governments to adopt green practices across sectors such as agriculture, industry, trade, tourism, and technology.</w:t>
      </w:r>
    </w:p>
    <w:p w14:paraId="19766590" w14:textId="77777777" w:rsidR="002F21FE" w:rsidRDefault="002F21FE" w:rsidP="002F21FE">
      <w:pPr>
        <w:pStyle w:val="ds-markdown-paragraph"/>
        <w:numPr>
          <w:ilvl w:val="0"/>
          <w:numId w:val="1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Supporting initiatives that prioritize eco-friendly innovation and sustainable resource management.</w:t>
      </w:r>
    </w:p>
    <w:p w14:paraId="6E230D2B" w14:textId="77777777" w:rsidR="002F21FE" w:rsidRDefault="002F21FE" w:rsidP="002F21FE">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color w:val="404040"/>
        </w:rPr>
        <w:t>Third Pillar: Society</w:t>
      </w:r>
    </w:p>
    <w:p w14:paraId="51BD0BE1" w14:textId="77777777" w:rsidR="002F21FE" w:rsidRDefault="002F21FE" w:rsidP="002F21FE">
      <w:pPr>
        <w:pStyle w:val="ds-markdown-paragraph"/>
        <w:numPr>
          <w:ilvl w:val="0"/>
          <w:numId w:val="1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Introducing the concept of a </w:t>
      </w:r>
      <w:r>
        <w:rPr>
          <w:rStyle w:val="Strong"/>
          <w:rFonts w:ascii="Segoe UI" w:hAnsi="Segoe UI" w:cs="Segoe UI"/>
          <w:color w:val="404040"/>
        </w:rPr>
        <w:t>Green Society</w:t>
      </w:r>
      <w:r>
        <w:rPr>
          <w:rFonts w:ascii="Segoe UI" w:hAnsi="Segoe UI" w:cs="Segoe UI"/>
          <w:color w:val="404040"/>
        </w:rPr>
        <w:t>, symbolizing social growth and harmonious, constructive relationships.</w:t>
      </w:r>
    </w:p>
    <w:p w14:paraId="5C7D87E2" w14:textId="77777777" w:rsidR="002F21FE" w:rsidRDefault="002F21FE" w:rsidP="002F21FE">
      <w:pPr>
        <w:pStyle w:val="ds-markdown-paragraph"/>
        <w:numPr>
          <w:ilvl w:val="0"/>
          <w:numId w:val="14"/>
        </w:numPr>
        <w:shd w:val="clear" w:color="auto" w:fill="FFFFFF"/>
        <w:spacing w:before="0" w:beforeAutospacing="0" w:after="60" w:afterAutospacing="0" w:line="429" w:lineRule="atLeast"/>
        <w:ind w:left="0"/>
        <w:rPr>
          <w:rFonts w:ascii="Segoe UI" w:hAnsi="Segoe UI" w:cs="Segoe UI"/>
          <w:color w:val="404040"/>
        </w:rPr>
      </w:pPr>
      <w:r>
        <w:rPr>
          <w:rFonts w:ascii="Segoe UI" w:hAnsi="Segoe UI" w:cs="Segoe UI"/>
          <w:color w:val="404040"/>
        </w:rPr>
        <w:t>Developing a social networking app that promotes </w:t>
      </w:r>
      <w:r>
        <w:rPr>
          <w:rStyle w:val="Strong"/>
          <w:rFonts w:ascii="Segoe UI" w:hAnsi="Segoe UI" w:cs="Segoe UI"/>
          <w:color w:val="404040"/>
        </w:rPr>
        <w:t>Green Communication</w:t>
      </w:r>
      <w:r>
        <w:rPr>
          <w:rFonts w:ascii="Segoe UI" w:hAnsi="Segoe UI" w:cs="Segoe UI"/>
          <w:color w:val="404040"/>
        </w:rPr>
        <w:t>—positive and meaningful interactions.</w:t>
      </w:r>
    </w:p>
    <w:p w14:paraId="56D2DE70" w14:textId="77777777" w:rsidR="002F21FE" w:rsidRDefault="002F21FE" w:rsidP="002F21FE">
      <w:pPr>
        <w:pStyle w:val="ds-markdown-paragraph"/>
        <w:numPr>
          <w:ilvl w:val="1"/>
          <w:numId w:val="1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Each user will have a </w:t>
      </w:r>
      <w:r>
        <w:rPr>
          <w:rStyle w:val="Strong"/>
          <w:rFonts w:ascii="Segoe UI" w:hAnsi="Segoe UI" w:cs="Segoe UI"/>
          <w:color w:val="404040"/>
        </w:rPr>
        <w:t>Green Score</w:t>
      </w:r>
      <w:r>
        <w:rPr>
          <w:rFonts w:ascii="Segoe UI" w:hAnsi="Segoe UI" w:cs="Segoe UI"/>
          <w:color w:val="404040"/>
        </w:rPr>
        <w:t> (0-100), reflecting the quality of their engagement. A higher score (closer to 100) turns their profile green, symbolizing positive contributions.</w:t>
      </w:r>
    </w:p>
    <w:p w14:paraId="72AC59C2" w14:textId="77777777" w:rsidR="002F21FE" w:rsidRDefault="002F21FE" w:rsidP="002F21FE">
      <w:pPr>
        <w:pStyle w:val="ds-markdown-paragraph"/>
        <w:numPr>
          <w:ilvl w:val="1"/>
          <w:numId w:val="14"/>
        </w:numPr>
        <w:shd w:val="clear" w:color="auto" w:fill="FFFFFF"/>
        <w:spacing w:before="0" w:beforeAutospacing="0" w:after="60" w:afterAutospacing="0" w:line="429" w:lineRule="atLeast"/>
        <w:ind w:left="0"/>
        <w:rPr>
          <w:rFonts w:ascii="Segoe UI" w:hAnsi="Segoe UI" w:cs="Segoe UI"/>
          <w:color w:val="404040"/>
        </w:rPr>
      </w:pPr>
      <w:r>
        <w:rPr>
          <w:rFonts w:ascii="Segoe UI" w:hAnsi="Segoe UI" w:cs="Segoe UI"/>
          <w:color w:val="404040"/>
        </w:rPr>
        <w:t>The score is calculated using Natural Language Processing (NLP) models to evaluate user behavior and content.</w:t>
      </w:r>
    </w:p>
    <w:p w14:paraId="58FC56F8" w14:textId="77777777" w:rsidR="002F21FE" w:rsidRDefault="002F21FE" w:rsidP="002F21FE">
      <w:pPr>
        <w:pStyle w:val="ds-markdown-paragraph"/>
        <w:numPr>
          <w:ilvl w:val="2"/>
          <w:numId w:val="1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If content is deemed inappropriate (below 50% acceptability), the system suggests rephrasing it constructively, and the user can choose to repost or discard the revised version.</w:t>
      </w:r>
    </w:p>
    <w:p w14:paraId="63A14CB8" w14:textId="77777777" w:rsidR="002F21FE" w:rsidRDefault="002F21FE" w:rsidP="002F21FE">
      <w:pPr>
        <w:pStyle w:val="ds-markdown-paragraph"/>
        <w:numPr>
          <w:ilvl w:val="2"/>
          <w:numId w:val="1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Highly inappropriate content (above 50% unacceptability) is removed, and users with low scores may face restricted access or penalties.</w:t>
      </w:r>
    </w:p>
    <w:p w14:paraId="3E092CE0" w14:textId="77777777" w:rsidR="002F21FE" w:rsidRDefault="002F21FE" w:rsidP="002F21FE">
      <w:pPr>
        <w:pStyle w:val="ds-markdown-paragraph"/>
        <w:numPr>
          <w:ilvl w:val="2"/>
          <w:numId w:val="1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Users with high scores receive rewards such as exclusive access to premium features, early releases, discounts, and promotional offers.</w:t>
      </w:r>
    </w:p>
    <w:p w14:paraId="010B54C9" w14:textId="77777777" w:rsidR="002F21FE" w:rsidRDefault="002F21FE" w:rsidP="002F21FE">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color w:val="404040"/>
        </w:rPr>
        <w:t>Overall Vision</w:t>
      </w:r>
    </w:p>
    <w:p w14:paraId="2AC05A78" w14:textId="77777777" w:rsidR="002F21FE" w:rsidRDefault="002F21FE" w:rsidP="002F21FE">
      <w:pPr>
        <w:pStyle w:val="ds-markdown-paragraph"/>
        <w:shd w:val="clear" w:color="auto" w:fill="FFFFFF"/>
        <w:spacing w:before="206" w:beforeAutospacing="0" w:line="429" w:lineRule="atLeast"/>
        <w:rPr>
          <w:rFonts w:ascii="Segoe UI" w:hAnsi="Segoe UI" w:cs="Segoe UI"/>
          <w:color w:val="404040"/>
        </w:rPr>
      </w:pPr>
      <w:r>
        <w:rPr>
          <w:rFonts w:ascii="Segoe UI" w:hAnsi="Segoe UI" w:cs="Segoe UI"/>
          <w:color w:val="404040"/>
        </w:rPr>
        <w:lastRenderedPageBreak/>
        <w:t>This integrated approach aims to address each sustainable development goal individually while combining solutions into a unified platform. By leveraging technology, encouraging green practices, and fostering a positive digital community, we strive to create a comprehensive system that fulfills all pillars of sustainability—environmental, economic, and social.</w:t>
      </w:r>
    </w:p>
    <w:p w14:paraId="305B70F5" w14:textId="77777777" w:rsidR="002F21FE" w:rsidRPr="00956AFA" w:rsidRDefault="002F21FE" w:rsidP="002F21FE">
      <w:pPr>
        <w:rPr>
          <w:b/>
          <w:bCs/>
          <w:sz w:val="32"/>
          <w:szCs w:val="32"/>
        </w:rPr>
      </w:pPr>
    </w:p>
    <w:p w14:paraId="267ACB57" w14:textId="28C6FCA8" w:rsidR="00202E81" w:rsidRDefault="00202E81"/>
    <w:p w14:paraId="72D17450" w14:textId="7BDCD5F3" w:rsidR="00A573B0" w:rsidRDefault="00A573B0" w:rsidP="00A573B0">
      <w:pPr>
        <w:spacing w:line="440" w:lineRule="exact"/>
        <w:ind w:right="1444"/>
        <w:rPr>
          <w:rFonts w:ascii="Times New Roman" w:hAnsi="Times New Roman" w:cs="Times New Roman"/>
          <w:sz w:val="36"/>
          <w:szCs w:val="36"/>
        </w:rPr>
      </w:pPr>
      <w:proofErr w:type="spellStart"/>
      <w:r>
        <w:rPr>
          <w:rFonts w:ascii="Arial" w:hAnsi="Arial" w:cs="Arial"/>
          <w:b/>
          <w:bCs/>
          <w:color w:val="000000"/>
          <w:spacing w:val="-1"/>
          <w:sz w:val="36"/>
          <w:szCs w:val="36"/>
        </w:rPr>
        <w:t>Global_Trees_Enriched_Partial_Organized</w:t>
      </w:r>
      <w:proofErr w:type="spellEnd"/>
      <w:r>
        <w:rPr>
          <w:rFonts w:ascii="Arial" w:hAnsi="Arial" w:cs="Arial"/>
          <w:b/>
          <w:bCs/>
          <w:color w:val="000000"/>
          <w:spacing w:val="-1"/>
          <w:sz w:val="36"/>
          <w:szCs w:val="36"/>
        </w:rPr>
        <w:t xml:space="preserve"> </w:t>
      </w:r>
      <w:r>
        <w:rPr>
          <w:rFonts w:ascii="Arial" w:hAnsi="Arial" w:cs="Arial"/>
          <w:b/>
          <w:bCs/>
          <w:color w:val="000000"/>
          <w:spacing w:val="-1"/>
          <w:sz w:val="36"/>
          <w:szCs w:val="36"/>
        </w:rPr>
        <w:t>–</w:t>
      </w:r>
      <w:r>
        <w:rPr>
          <w:rFonts w:ascii="Times New Roman" w:hAnsi="Times New Roman" w:cs="Times New Roman"/>
          <w:sz w:val="36"/>
          <w:szCs w:val="36"/>
        </w:rPr>
        <w:t xml:space="preserve"> </w:t>
      </w:r>
    </w:p>
    <w:p w14:paraId="735F8A96" w14:textId="1E16FC15" w:rsidR="00A573B0" w:rsidRDefault="00A573B0" w:rsidP="00A573B0">
      <w:pPr>
        <w:spacing w:line="440" w:lineRule="exact"/>
        <w:ind w:right="1444"/>
        <w:rPr>
          <w:rFonts w:ascii="Times New Roman" w:hAnsi="Times New Roman" w:cs="Times New Roman"/>
          <w:color w:val="010302"/>
        </w:rPr>
      </w:pPr>
      <w:r>
        <w:rPr>
          <w:rFonts w:ascii="Arial" w:hAnsi="Arial" w:cs="Arial"/>
          <w:b/>
          <w:bCs/>
          <w:color w:val="000000"/>
          <w:sz w:val="36"/>
          <w:szCs w:val="36"/>
        </w:rPr>
        <w:t>Analysis Report</w:t>
      </w:r>
      <w:r>
        <w:rPr>
          <w:rFonts w:ascii="Times New Roman" w:hAnsi="Times New Roman" w:cs="Times New Roman"/>
          <w:sz w:val="36"/>
          <w:szCs w:val="36"/>
        </w:rPr>
        <w:t xml:space="preserve"> </w:t>
      </w:r>
    </w:p>
    <w:p w14:paraId="33548EAF" w14:textId="77777777" w:rsidR="00A573B0" w:rsidRDefault="00A573B0" w:rsidP="00A573B0">
      <w:pPr>
        <w:spacing w:after="262"/>
        <w:rPr>
          <w:rFonts w:ascii="Times New Roman" w:hAnsi="Times New Roman"/>
          <w:color w:val="000000" w:themeColor="text1"/>
          <w:sz w:val="24"/>
          <w:szCs w:val="24"/>
        </w:rPr>
      </w:pPr>
    </w:p>
    <w:p w14:paraId="4DF2A285" w14:textId="77777777" w:rsidR="00A573B0" w:rsidRDefault="00A573B0" w:rsidP="00A573B0">
      <w:pPr>
        <w:spacing w:line="240" w:lineRule="exact"/>
        <w:ind w:left="1040" w:right="990"/>
        <w:rPr>
          <w:rFonts w:ascii="Times New Roman" w:hAnsi="Times New Roman" w:cs="Times New Roman"/>
          <w:color w:val="010302"/>
        </w:rPr>
      </w:pPr>
      <w:r>
        <w:rPr>
          <w:rFonts w:ascii="Arial" w:hAnsi="Arial" w:cs="Arial"/>
          <w:b/>
          <w:bCs/>
          <w:color w:val="000000"/>
          <w:sz w:val="20"/>
          <w:szCs w:val="20"/>
        </w:rPr>
        <w:t>Dataset Overview:</w:t>
      </w:r>
      <w:r>
        <w:rPr>
          <w:rFonts w:ascii="Times New Roman" w:hAnsi="Times New Roman" w:cs="Times New Roman"/>
          <w:sz w:val="20"/>
          <w:szCs w:val="20"/>
        </w:rPr>
        <w:t xml:space="preserve"> </w:t>
      </w:r>
      <w:r>
        <w:br w:type="textWrapping" w:clear="all"/>
      </w:r>
      <w:r>
        <w:rPr>
          <w:rFonts w:ascii="Arial" w:hAnsi="Arial" w:cs="Arial"/>
          <w:color w:val="000000"/>
          <w:sz w:val="20"/>
          <w:szCs w:val="20"/>
        </w:rPr>
        <w:t>- Rows: ~5000</w:t>
      </w:r>
      <w:r>
        <w:rPr>
          <w:rFonts w:ascii="Times New Roman" w:hAnsi="Times New Roman" w:cs="Times New Roman"/>
          <w:sz w:val="20"/>
          <w:szCs w:val="20"/>
        </w:rPr>
        <w:t xml:space="preserve"> </w:t>
      </w:r>
    </w:p>
    <w:p w14:paraId="7051A513" w14:textId="77777777" w:rsidR="00A573B0" w:rsidRDefault="00A573B0" w:rsidP="00A573B0">
      <w:pPr>
        <w:spacing w:before="40" w:line="185" w:lineRule="exact"/>
        <w:ind w:left="1040"/>
        <w:rPr>
          <w:rFonts w:ascii="Times New Roman" w:hAnsi="Times New Roman" w:cs="Times New Roman"/>
          <w:color w:val="010302"/>
        </w:rPr>
      </w:pPr>
      <w:r>
        <w:rPr>
          <w:rFonts w:ascii="Arial" w:hAnsi="Arial" w:cs="Arial"/>
          <w:color w:val="000000"/>
          <w:sz w:val="20"/>
          <w:szCs w:val="20"/>
        </w:rPr>
        <w:t>- Columns: 10+</w:t>
      </w:r>
      <w:r>
        <w:rPr>
          <w:rFonts w:ascii="Times New Roman" w:hAnsi="Times New Roman" w:cs="Times New Roman"/>
          <w:sz w:val="20"/>
          <w:szCs w:val="20"/>
        </w:rPr>
        <w:t xml:space="preserve"> </w:t>
      </w:r>
    </w:p>
    <w:p w14:paraId="0736C52A" w14:textId="77777777" w:rsidR="00A573B0" w:rsidRDefault="00A573B0" w:rsidP="00A573B0">
      <w:pPr>
        <w:spacing w:line="240" w:lineRule="exact"/>
        <w:ind w:left="1040" w:right="990"/>
        <w:rPr>
          <w:rFonts w:ascii="Times New Roman" w:hAnsi="Times New Roman" w:cs="Times New Roman"/>
          <w:color w:val="010302"/>
        </w:rPr>
      </w:pPr>
      <w:r>
        <w:rPr>
          <w:rFonts w:ascii="Arial" w:hAnsi="Arial" w:cs="Arial"/>
          <w:color w:val="000000"/>
          <w:spacing w:val="-1"/>
          <w:sz w:val="20"/>
          <w:szCs w:val="20"/>
        </w:rPr>
        <w:t xml:space="preserve">- Columns Types: Categorical (Category, </w:t>
      </w:r>
      <w:proofErr w:type="spellStart"/>
      <w:r>
        <w:rPr>
          <w:rFonts w:ascii="Arial" w:hAnsi="Arial" w:cs="Arial"/>
          <w:color w:val="000000"/>
          <w:spacing w:val="-1"/>
          <w:sz w:val="20"/>
          <w:szCs w:val="20"/>
        </w:rPr>
        <w:t>Primary_Uses</w:t>
      </w:r>
      <w:proofErr w:type="spellEnd"/>
      <w:r>
        <w:rPr>
          <w:rFonts w:ascii="Arial" w:hAnsi="Arial" w:cs="Arial"/>
          <w:color w:val="000000"/>
          <w:spacing w:val="-1"/>
          <w:sz w:val="20"/>
          <w:szCs w:val="20"/>
        </w:rPr>
        <w:t xml:space="preserve">, </w:t>
      </w:r>
      <w:proofErr w:type="spellStart"/>
      <w:r>
        <w:rPr>
          <w:rFonts w:ascii="Arial" w:hAnsi="Arial" w:cs="Arial"/>
          <w:color w:val="000000"/>
          <w:spacing w:val="-1"/>
          <w:sz w:val="20"/>
          <w:szCs w:val="20"/>
        </w:rPr>
        <w:t>Growing_Conditions</w:t>
      </w:r>
      <w:proofErr w:type="spellEnd"/>
      <w:r>
        <w:rPr>
          <w:rFonts w:ascii="Arial" w:hAnsi="Arial" w:cs="Arial"/>
          <w:color w:val="000000"/>
          <w:spacing w:val="-1"/>
          <w:sz w:val="20"/>
          <w:szCs w:val="20"/>
        </w:rPr>
        <w:t>, ...) + Numeric (under</w:t>
      </w:r>
      <w:r>
        <w:rPr>
          <w:rFonts w:ascii="Times New Roman" w:hAnsi="Times New Roman" w:cs="Times New Roman"/>
          <w:sz w:val="20"/>
          <w:szCs w:val="20"/>
        </w:rPr>
        <w:t xml:space="preserve"> </w:t>
      </w:r>
      <w:r>
        <w:rPr>
          <w:rFonts w:ascii="Arial" w:hAnsi="Arial" w:cs="Arial"/>
          <w:color w:val="000000"/>
          <w:sz w:val="20"/>
          <w:szCs w:val="20"/>
        </w:rPr>
        <w:t>review).</w:t>
      </w:r>
      <w:r>
        <w:rPr>
          <w:rFonts w:ascii="Times New Roman" w:hAnsi="Times New Roman" w:cs="Times New Roman"/>
          <w:sz w:val="20"/>
          <w:szCs w:val="20"/>
        </w:rPr>
        <w:t xml:space="preserve"> </w:t>
      </w:r>
    </w:p>
    <w:p w14:paraId="5B368817" w14:textId="77777777" w:rsidR="00A573B0" w:rsidRDefault="00A573B0" w:rsidP="00A573B0">
      <w:pPr>
        <w:spacing w:before="40" w:line="185" w:lineRule="exact"/>
        <w:ind w:left="1040"/>
        <w:rPr>
          <w:rFonts w:ascii="Times New Roman" w:hAnsi="Times New Roman" w:cs="Times New Roman"/>
          <w:color w:val="010302"/>
        </w:rPr>
      </w:pPr>
      <w:r>
        <w:rPr>
          <w:rFonts w:ascii="Arial" w:hAnsi="Arial" w:cs="Arial"/>
          <w:color w:val="000000"/>
          <w:sz w:val="20"/>
          <w:szCs w:val="20"/>
        </w:rPr>
        <w:t>- Missing Values exist in some columns.</w:t>
      </w:r>
      <w:r>
        <w:rPr>
          <w:rFonts w:ascii="Times New Roman" w:hAnsi="Times New Roman" w:cs="Times New Roman"/>
          <w:sz w:val="20"/>
          <w:szCs w:val="20"/>
        </w:rPr>
        <w:t xml:space="preserve"> </w:t>
      </w:r>
    </w:p>
    <w:p w14:paraId="560FBE29" w14:textId="77777777" w:rsidR="00A573B0" w:rsidRDefault="00A573B0" w:rsidP="00A573B0">
      <w:pPr>
        <w:rPr>
          <w:rFonts w:ascii="Times New Roman" w:hAnsi="Times New Roman"/>
          <w:color w:val="000000" w:themeColor="text1"/>
          <w:sz w:val="24"/>
          <w:szCs w:val="24"/>
        </w:rPr>
      </w:pPr>
    </w:p>
    <w:p w14:paraId="34FF02A3" w14:textId="77777777" w:rsidR="00A573B0" w:rsidRDefault="00A573B0" w:rsidP="00A573B0">
      <w:pPr>
        <w:spacing w:after="66"/>
        <w:rPr>
          <w:rFonts w:ascii="Times New Roman" w:hAnsi="Times New Roman"/>
          <w:color w:val="000000" w:themeColor="text1"/>
          <w:sz w:val="24"/>
          <w:szCs w:val="24"/>
        </w:rPr>
      </w:pPr>
    </w:p>
    <w:p w14:paraId="3614F597" w14:textId="77777777" w:rsidR="00A573B0" w:rsidRDefault="00A573B0" w:rsidP="00A573B0">
      <w:pPr>
        <w:spacing w:line="258" w:lineRule="exact"/>
        <w:ind w:left="1040"/>
        <w:rPr>
          <w:rFonts w:ascii="Times New Roman" w:hAnsi="Times New Roman" w:cs="Times New Roman"/>
          <w:color w:val="010302"/>
        </w:rPr>
      </w:pPr>
      <w:r>
        <w:rPr>
          <w:rFonts w:ascii="Arial" w:hAnsi="Arial" w:cs="Arial"/>
          <w:b/>
          <w:bCs/>
          <w:color w:val="000000"/>
          <w:spacing w:val="-1"/>
          <w:sz w:val="28"/>
          <w:szCs w:val="28"/>
        </w:rPr>
        <w:t>(2) Categorical Analysis</w:t>
      </w:r>
      <w:r>
        <w:rPr>
          <w:rFonts w:ascii="Times New Roman" w:hAnsi="Times New Roman" w:cs="Times New Roman"/>
          <w:sz w:val="28"/>
          <w:szCs w:val="28"/>
        </w:rPr>
        <w:t xml:space="preserve"> </w:t>
      </w:r>
    </w:p>
    <w:p w14:paraId="5D1E7B8B" w14:textId="2F880E9B" w:rsidR="00A573B0" w:rsidRDefault="00A573B0" w:rsidP="00A573B0">
      <w:pPr>
        <w:spacing w:before="300" w:line="246" w:lineRule="exact"/>
        <w:ind w:left="1040"/>
        <w:rPr>
          <w:rFonts w:ascii="Times New Roman" w:hAnsi="Times New Roman" w:cs="Times New Roman"/>
          <w:color w:val="010302"/>
        </w:rPr>
      </w:pPr>
      <w:r>
        <w:rPr>
          <w:rFonts w:ascii="Arial" w:hAnsi="Arial" w:cs="Arial"/>
          <w:b/>
          <w:bCs/>
          <w:i/>
          <w:iCs/>
          <w:color w:val="000000"/>
          <w:sz w:val="24"/>
          <w:szCs w:val="24"/>
        </w:rPr>
        <w:t xml:space="preserve"> Top 5 Categories</w:t>
      </w:r>
      <w:r>
        <w:rPr>
          <w:rFonts w:ascii="Times New Roman" w:hAnsi="Times New Roman" w:cs="Times New Roman"/>
          <w:sz w:val="24"/>
          <w:szCs w:val="24"/>
        </w:rPr>
        <w:t xml:space="preserve"> </w:t>
      </w:r>
    </w:p>
    <w:p w14:paraId="75766D97" w14:textId="77777777" w:rsidR="00A573B0" w:rsidRDefault="00A573B0" w:rsidP="00A573B0">
      <w:pPr>
        <w:rPr>
          <w:rFonts w:ascii="Times New Roman" w:hAnsi="Times New Roman"/>
          <w:color w:val="000000" w:themeColor="text1"/>
          <w:sz w:val="24"/>
          <w:szCs w:val="24"/>
        </w:rPr>
      </w:pPr>
    </w:p>
    <w:tbl>
      <w:tblPr>
        <w:tblStyle w:val="TableGrid"/>
        <w:tblpPr w:vertAnchor="text" w:horzAnchor="page" w:tblpX="1560" w:tblpY="-270"/>
        <w:tblOverlap w:val="never"/>
        <w:tblW w:w="2038" w:type="dxa"/>
        <w:tblLayout w:type="fixed"/>
        <w:tblLook w:val="04A0" w:firstRow="1" w:lastRow="0" w:firstColumn="1" w:lastColumn="0" w:noHBand="0" w:noVBand="1"/>
      </w:tblPr>
      <w:tblGrid>
        <w:gridCol w:w="1272"/>
        <w:gridCol w:w="766"/>
      </w:tblGrid>
      <w:tr w:rsidR="00A573B0" w14:paraId="5BFD1A26" w14:textId="77777777" w:rsidTr="00AE1810">
        <w:trPr>
          <w:trHeight w:hRule="exact" w:val="340"/>
        </w:trPr>
        <w:tc>
          <w:tcPr>
            <w:tcW w:w="1284" w:type="dxa"/>
            <w:shd w:val="clear" w:color="auto" w:fill="D9EAD3"/>
          </w:tcPr>
          <w:p w14:paraId="5B5741D9" w14:textId="77777777" w:rsidR="00A573B0" w:rsidRDefault="00A573B0" w:rsidP="00AE1810">
            <w:pPr>
              <w:spacing w:before="114"/>
              <w:ind w:left="236" w:right="-18"/>
              <w:rPr>
                <w:rFonts w:ascii="Times New Roman" w:hAnsi="Times New Roman" w:cs="Times New Roman"/>
                <w:color w:val="010302"/>
              </w:rPr>
            </w:pPr>
            <w:r>
              <w:rPr>
                <w:rFonts w:ascii="Arial" w:hAnsi="Arial" w:cs="Arial"/>
                <w:color w:val="000000"/>
                <w:sz w:val="20"/>
                <w:szCs w:val="20"/>
              </w:rPr>
              <w:t>Category</w:t>
            </w:r>
            <w:r>
              <w:rPr>
                <w:rFonts w:ascii="Times New Roman" w:hAnsi="Times New Roman" w:cs="Times New Roman"/>
                <w:sz w:val="20"/>
                <w:szCs w:val="20"/>
              </w:rPr>
              <w:t xml:space="preserve"> </w:t>
            </w:r>
          </w:p>
        </w:tc>
        <w:tc>
          <w:tcPr>
            <w:tcW w:w="773" w:type="dxa"/>
            <w:shd w:val="clear" w:color="auto" w:fill="D9EAD3"/>
          </w:tcPr>
          <w:p w14:paraId="3D8615BF" w14:textId="77777777" w:rsidR="00A573B0" w:rsidRDefault="00A573B0" w:rsidP="00AE1810">
            <w:pPr>
              <w:spacing w:before="114"/>
              <w:ind w:left="120"/>
              <w:rPr>
                <w:rFonts w:ascii="Times New Roman" w:hAnsi="Times New Roman" w:cs="Times New Roman"/>
                <w:color w:val="010302"/>
              </w:rPr>
            </w:pPr>
            <w:r>
              <w:rPr>
                <w:rFonts w:ascii="Arial" w:hAnsi="Arial" w:cs="Arial"/>
                <w:color w:val="000000"/>
                <w:sz w:val="20"/>
                <w:szCs w:val="20"/>
              </w:rPr>
              <w:t>Count</w:t>
            </w:r>
            <w:r>
              <w:rPr>
                <w:rFonts w:ascii="Times New Roman" w:hAnsi="Times New Roman" w:cs="Times New Roman"/>
                <w:sz w:val="20"/>
                <w:szCs w:val="20"/>
              </w:rPr>
              <w:t xml:space="preserve"> </w:t>
            </w:r>
          </w:p>
        </w:tc>
      </w:tr>
      <w:tr w:rsidR="00A573B0" w14:paraId="311DBE88" w14:textId="77777777" w:rsidTr="00AE1810">
        <w:trPr>
          <w:trHeight w:hRule="exact" w:val="339"/>
        </w:trPr>
        <w:tc>
          <w:tcPr>
            <w:tcW w:w="1284" w:type="dxa"/>
          </w:tcPr>
          <w:p w14:paraId="17E114E0" w14:textId="77777777" w:rsidR="00A573B0" w:rsidRDefault="00A573B0" w:rsidP="00AE1810">
            <w:pPr>
              <w:spacing w:before="114"/>
              <w:ind w:left="220" w:right="-18"/>
              <w:rPr>
                <w:rFonts w:ascii="Times New Roman" w:hAnsi="Times New Roman" w:cs="Times New Roman"/>
                <w:color w:val="010302"/>
              </w:rPr>
            </w:pPr>
            <w:r>
              <w:rPr>
                <w:rFonts w:ascii="Arial" w:hAnsi="Arial" w:cs="Arial"/>
                <w:color w:val="000000"/>
                <w:sz w:val="20"/>
                <w:szCs w:val="20"/>
              </w:rPr>
              <w:t>Medicinal</w:t>
            </w:r>
            <w:r>
              <w:rPr>
                <w:rFonts w:ascii="Times New Roman" w:hAnsi="Times New Roman" w:cs="Times New Roman"/>
                <w:sz w:val="20"/>
                <w:szCs w:val="20"/>
              </w:rPr>
              <w:t xml:space="preserve"> </w:t>
            </w:r>
          </w:p>
        </w:tc>
        <w:tc>
          <w:tcPr>
            <w:tcW w:w="773" w:type="dxa"/>
          </w:tcPr>
          <w:p w14:paraId="30EA8C86"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820</w:t>
            </w:r>
            <w:r>
              <w:rPr>
                <w:rFonts w:ascii="Times New Roman" w:hAnsi="Times New Roman" w:cs="Times New Roman"/>
                <w:sz w:val="20"/>
                <w:szCs w:val="20"/>
              </w:rPr>
              <w:t xml:space="preserve"> </w:t>
            </w:r>
          </w:p>
        </w:tc>
      </w:tr>
      <w:tr w:rsidR="00A573B0" w14:paraId="29E6F7C2" w14:textId="77777777" w:rsidTr="00AE1810">
        <w:trPr>
          <w:trHeight w:hRule="exact" w:val="340"/>
        </w:trPr>
        <w:tc>
          <w:tcPr>
            <w:tcW w:w="1284" w:type="dxa"/>
          </w:tcPr>
          <w:p w14:paraId="5D2336AE" w14:textId="77777777" w:rsidR="00A573B0" w:rsidRDefault="00A573B0" w:rsidP="00AE1810">
            <w:pPr>
              <w:spacing w:before="114"/>
              <w:ind w:left="40" w:right="-18"/>
              <w:jc w:val="right"/>
              <w:rPr>
                <w:rFonts w:ascii="Times New Roman" w:hAnsi="Times New Roman" w:cs="Times New Roman"/>
                <w:color w:val="010302"/>
              </w:rPr>
            </w:pPr>
            <w:r>
              <w:rPr>
                <w:rFonts w:ascii="Arial" w:hAnsi="Arial" w:cs="Arial"/>
                <w:color w:val="000000"/>
                <w:sz w:val="20"/>
                <w:szCs w:val="20"/>
              </w:rPr>
              <w:t>Ornamental</w:t>
            </w:r>
            <w:r>
              <w:rPr>
                <w:rFonts w:ascii="Times New Roman" w:hAnsi="Times New Roman" w:cs="Times New Roman"/>
                <w:sz w:val="20"/>
                <w:szCs w:val="20"/>
              </w:rPr>
              <w:t xml:space="preserve"> </w:t>
            </w:r>
          </w:p>
        </w:tc>
        <w:tc>
          <w:tcPr>
            <w:tcW w:w="773" w:type="dxa"/>
          </w:tcPr>
          <w:p w14:paraId="2AF591CC" w14:textId="77777777" w:rsidR="00A573B0" w:rsidRDefault="00A573B0" w:rsidP="00AE1810">
            <w:pPr>
              <w:spacing w:before="114"/>
              <w:ind w:left="140" w:right="201"/>
              <w:jc w:val="right"/>
              <w:rPr>
                <w:rFonts w:ascii="Times New Roman" w:hAnsi="Times New Roman" w:cs="Times New Roman"/>
                <w:color w:val="010302"/>
              </w:rPr>
            </w:pPr>
            <w:r>
              <w:rPr>
                <w:rFonts w:ascii="Arial" w:hAnsi="Arial" w:cs="Arial"/>
                <w:color w:val="000000"/>
                <w:sz w:val="20"/>
                <w:szCs w:val="20"/>
              </w:rPr>
              <w:t>690</w:t>
            </w:r>
            <w:r>
              <w:rPr>
                <w:rFonts w:ascii="Times New Roman" w:hAnsi="Times New Roman" w:cs="Times New Roman"/>
                <w:sz w:val="20"/>
                <w:szCs w:val="20"/>
              </w:rPr>
              <w:t xml:space="preserve"> </w:t>
            </w:r>
          </w:p>
        </w:tc>
      </w:tr>
      <w:tr w:rsidR="00A573B0" w14:paraId="7268C685" w14:textId="77777777" w:rsidTr="00AE1810">
        <w:trPr>
          <w:trHeight w:hRule="exact" w:val="340"/>
        </w:trPr>
        <w:tc>
          <w:tcPr>
            <w:tcW w:w="1284" w:type="dxa"/>
          </w:tcPr>
          <w:p w14:paraId="1CBB8D3E" w14:textId="77777777" w:rsidR="00A573B0" w:rsidRDefault="00A573B0" w:rsidP="00AE1810">
            <w:pPr>
              <w:spacing w:before="114"/>
              <w:ind w:left="251" w:right="-18"/>
              <w:jc w:val="right"/>
              <w:rPr>
                <w:rFonts w:ascii="Times New Roman" w:hAnsi="Times New Roman" w:cs="Times New Roman"/>
                <w:color w:val="010302"/>
              </w:rPr>
            </w:pPr>
            <w:r>
              <w:rPr>
                <w:rFonts w:ascii="Arial" w:hAnsi="Arial" w:cs="Arial"/>
                <w:color w:val="000000"/>
                <w:sz w:val="20"/>
                <w:szCs w:val="20"/>
              </w:rPr>
              <w:t>Timber</w:t>
            </w:r>
            <w:r>
              <w:rPr>
                <w:rFonts w:ascii="Times New Roman" w:hAnsi="Times New Roman" w:cs="Times New Roman"/>
                <w:sz w:val="20"/>
                <w:szCs w:val="20"/>
              </w:rPr>
              <w:t xml:space="preserve"> </w:t>
            </w:r>
          </w:p>
        </w:tc>
        <w:tc>
          <w:tcPr>
            <w:tcW w:w="773" w:type="dxa"/>
          </w:tcPr>
          <w:p w14:paraId="62264D1A" w14:textId="77777777" w:rsidR="00A573B0" w:rsidRDefault="00A573B0" w:rsidP="00AE1810">
            <w:pPr>
              <w:spacing w:before="114"/>
              <w:ind w:left="140" w:right="201"/>
              <w:jc w:val="right"/>
              <w:rPr>
                <w:rFonts w:ascii="Times New Roman" w:hAnsi="Times New Roman" w:cs="Times New Roman"/>
                <w:color w:val="010302"/>
              </w:rPr>
            </w:pPr>
            <w:r>
              <w:rPr>
                <w:rFonts w:ascii="Arial" w:hAnsi="Arial" w:cs="Arial"/>
                <w:color w:val="000000"/>
                <w:sz w:val="20"/>
                <w:szCs w:val="20"/>
              </w:rPr>
              <w:t>530</w:t>
            </w:r>
            <w:r>
              <w:rPr>
                <w:rFonts w:ascii="Times New Roman" w:hAnsi="Times New Roman" w:cs="Times New Roman"/>
                <w:sz w:val="20"/>
                <w:szCs w:val="20"/>
              </w:rPr>
              <w:t xml:space="preserve"> </w:t>
            </w:r>
          </w:p>
        </w:tc>
      </w:tr>
      <w:tr w:rsidR="00A573B0" w14:paraId="2500638E" w14:textId="77777777" w:rsidTr="00AE1810">
        <w:trPr>
          <w:trHeight w:hRule="exact" w:val="340"/>
        </w:trPr>
        <w:tc>
          <w:tcPr>
            <w:tcW w:w="1284" w:type="dxa"/>
          </w:tcPr>
          <w:p w14:paraId="3894C19F" w14:textId="77777777" w:rsidR="00A573B0" w:rsidRDefault="00A573B0" w:rsidP="00AE1810">
            <w:pPr>
              <w:spacing w:before="114"/>
              <w:ind w:left="442" w:right="-18"/>
              <w:rPr>
                <w:rFonts w:ascii="Times New Roman" w:hAnsi="Times New Roman" w:cs="Times New Roman"/>
                <w:color w:val="010302"/>
              </w:rPr>
            </w:pPr>
            <w:r>
              <w:rPr>
                <w:rFonts w:ascii="Arial" w:hAnsi="Arial" w:cs="Arial"/>
                <w:color w:val="000000"/>
                <w:sz w:val="20"/>
                <w:szCs w:val="20"/>
              </w:rPr>
              <w:t>Fruit</w:t>
            </w:r>
            <w:r>
              <w:rPr>
                <w:rFonts w:ascii="Times New Roman" w:hAnsi="Times New Roman" w:cs="Times New Roman"/>
                <w:sz w:val="20"/>
                <w:szCs w:val="20"/>
              </w:rPr>
              <w:t xml:space="preserve"> </w:t>
            </w:r>
          </w:p>
        </w:tc>
        <w:tc>
          <w:tcPr>
            <w:tcW w:w="773" w:type="dxa"/>
          </w:tcPr>
          <w:p w14:paraId="3DD4BA6B"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480</w:t>
            </w:r>
            <w:r>
              <w:rPr>
                <w:rFonts w:ascii="Times New Roman" w:hAnsi="Times New Roman" w:cs="Times New Roman"/>
                <w:sz w:val="20"/>
                <w:szCs w:val="20"/>
              </w:rPr>
              <w:t xml:space="preserve"> </w:t>
            </w:r>
          </w:p>
        </w:tc>
      </w:tr>
      <w:tr w:rsidR="00A573B0" w14:paraId="311BF4B9" w14:textId="77777777" w:rsidTr="00AE1810">
        <w:trPr>
          <w:trHeight w:hRule="exact" w:val="340"/>
        </w:trPr>
        <w:tc>
          <w:tcPr>
            <w:tcW w:w="1284" w:type="dxa"/>
          </w:tcPr>
          <w:p w14:paraId="1AF7F968" w14:textId="77777777" w:rsidR="00A573B0" w:rsidRDefault="00A573B0" w:rsidP="00AE1810">
            <w:pPr>
              <w:spacing w:before="114"/>
              <w:ind w:left="375" w:right="-18"/>
              <w:rPr>
                <w:rFonts w:ascii="Times New Roman" w:hAnsi="Times New Roman" w:cs="Times New Roman"/>
                <w:color w:val="010302"/>
              </w:rPr>
            </w:pPr>
            <w:r>
              <w:rPr>
                <w:rFonts w:ascii="Arial" w:hAnsi="Arial" w:cs="Arial"/>
                <w:color w:val="000000"/>
                <w:sz w:val="20"/>
                <w:szCs w:val="20"/>
              </w:rPr>
              <w:t>Shrub</w:t>
            </w:r>
            <w:r>
              <w:rPr>
                <w:rFonts w:ascii="Times New Roman" w:hAnsi="Times New Roman" w:cs="Times New Roman"/>
                <w:sz w:val="20"/>
                <w:szCs w:val="20"/>
              </w:rPr>
              <w:t xml:space="preserve"> </w:t>
            </w:r>
          </w:p>
        </w:tc>
        <w:tc>
          <w:tcPr>
            <w:tcW w:w="773" w:type="dxa"/>
          </w:tcPr>
          <w:p w14:paraId="3627D4D0"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460</w:t>
            </w:r>
            <w:r>
              <w:rPr>
                <w:rFonts w:ascii="Times New Roman" w:hAnsi="Times New Roman" w:cs="Times New Roman"/>
                <w:sz w:val="20"/>
                <w:szCs w:val="20"/>
              </w:rPr>
              <w:t xml:space="preserve"> </w:t>
            </w:r>
          </w:p>
        </w:tc>
      </w:tr>
    </w:tbl>
    <w:p w14:paraId="188829C9" w14:textId="77777777" w:rsidR="00A573B0" w:rsidRDefault="00A573B0" w:rsidP="00A573B0">
      <w:pPr>
        <w:rPr>
          <w:rFonts w:ascii="Times New Roman" w:hAnsi="Times New Roman"/>
          <w:color w:val="000000" w:themeColor="text1"/>
          <w:sz w:val="24"/>
          <w:szCs w:val="24"/>
        </w:rPr>
      </w:pPr>
    </w:p>
    <w:p w14:paraId="3AB7CFEC" w14:textId="77777777" w:rsidR="00A573B0" w:rsidRDefault="00A573B0" w:rsidP="00A573B0">
      <w:pPr>
        <w:rPr>
          <w:rFonts w:ascii="Times New Roman" w:hAnsi="Times New Roman"/>
          <w:color w:val="000000" w:themeColor="text1"/>
          <w:sz w:val="24"/>
          <w:szCs w:val="24"/>
        </w:rPr>
      </w:pPr>
    </w:p>
    <w:p w14:paraId="38B06AA6" w14:textId="77777777" w:rsidR="00A573B0" w:rsidRDefault="00A573B0" w:rsidP="00A573B0">
      <w:pPr>
        <w:rPr>
          <w:rFonts w:ascii="Times New Roman" w:hAnsi="Times New Roman"/>
          <w:color w:val="000000" w:themeColor="text1"/>
          <w:sz w:val="24"/>
          <w:szCs w:val="24"/>
        </w:rPr>
      </w:pPr>
    </w:p>
    <w:p w14:paraId="62F83AF1" w14:textId="77777777" w:rsidR="00A573B0" w:rsidRDefault="00A573B0" w:rsidP="00A573B0">
      <w:pPr>
        <w:rPr>
          <w:rFonts w:ascii="Times New Roman" w:hAnsi="Times New Roman"/>
          <w:color w:val="000000" w:themeColor="text1"/>
          <w:sz w:val="24"/>
          <w:szCs w:val="24"/>
        </w:rPr>
      </w:pPr>
    </w:p>
    <w:p w14:paraId="67FA2B2E" w14:textId="77777777" w:rsidR="00A573B0" w:rsidRDefault="00A573B0" w:rsidP="00A573B0">
      <w:pPr>
        <w:rPr>
          <w:rFonts w:ascii="Times New Roman" w:hAnsi="Times New Roman"/>
          <w:color w:val="000000" w:themeColor="text1"/>
          <w:sz w:val="24"/>
          <w:szCs w:val="24"/>
        </w:rPr>
      </w:pPr>
    </w:p>
    <w:p w14:paraId="035778AE" w14:textId="77777777" w:rsidR="00A573B0" w:rsidRDefault="00A573B0" w:rsidP="00A573B0">
      <w:pPr>
        <w:spacing w:after="228"/>
        <w:rPr>
          <w:rFonts w:ascii="Times New Roman" w:hAnsi="Times New Roman"/>
          <w:color w:val="000000" w:themeColor="text1"/>
          <w:sz w:val="24"/>
          <w:szCs w:val="24"/>
        </w:rPr>
      </w:pPr>
    </w:p>
    <w:p w14:paraId="4DBD4D14" w14:textId="11A52FFF" w:rsidR="00A573B0" w:rsidRDefault="00A573B0" w:rsidP="00A573B0">
      <w:pPr>
        <w:rPr>
          <w:rFonts w:ascii="Times New Roman" w:hAnsi="Times New Roman"/>
          <w:color w:val="000000" w:themeColor="text1"/>
          <w:sz w:val="24"/>
          <w:szCs w:val="24"/>
        </w:rPr>
      </w:pPr>
      <w:r>
        <w:rPr>
          <w:rFonts w:ascii="Times New Roman" w:hAnsi="Times New Roman"/>
          <w:color w:val="000000" w:themeColor="text1"/>
          <w:sz w:val="24"/>
          <w:szCs w:val="24"/>
        </w:rPr>
        <w:tab/>
      </w:r>
    </w:p>
    <w:p w14:paraId="0918A0C2" w14:textId="593444E3" w:rsidR="00A573B0" w:rsidRDefault="00A573B0" w:rsidP="00A573B0">
      <w:pPr>
        <w:spacing w:line="246" w:lineRule="exact"/>
        <w:ind w:left="720"/>
        <w:rPr>
          <w:rFonts w:ascii="Times New Roman" w:hAnsi="Times New Roman" w:cs="Times New Roman"/>
          <w:color w:val="010302"/>
        </w:rPr>
      </w:pPr>
      <w:r>
        <w:rPr>
          <w:rFonts w:ascii="Arial" w:hAnsi="Arial" w:cs="Arial"/>
          <w:b/>
          <w:bCs/>
          <w:i/>
          <w:iCs/>
          <w:color w:val="000000"/>
          <w:spacing w:val="-2"/>
          <w:sz w:val="24"/>
          <w:szCs w:val="24"/>
        </w:rPr>
        <w:t xml:space="preserve">     </w:t>
      </w:r>
      <w:r>
        <w:rPr>
          <w:rFonts w:ascii="Arial" w:hAnsi="Arial" w:cs="Arial"/>
          <w:b/>
          <w:bCs/>
          <w:i/>
          <w:iCs/>
          <w:color w:val="000000"/>
          <w:spacing w:val="-2"/>
          <w:sz w:val="24"/>
          <w:szCs w:val="24"/>
        </w:rPr>
        <w:t xml:space="preserve"> Top 5 Primary Uses</w:t>
      </w:r>
      <w:r>
        <w:rPr>
          <w:rFonts w:ascii="Times New Roman" w:hAnsi="Times New Roman" w:cs="Times New Roman"/>
          <w:sz w:val="24"/>
          <w:szCs w:val="24"/>
        </w:rPr>
        <w:t xml:space="preserve"> </w:t>
      </w:r>
    </w:p>
    <w:p w14:paraId="10DBF58A" w14:textId="77777777" w:rsidR="00A573B0" w:rsidRDefault="00A573B0" w:rsidP="00A573B0">
      <w:pPr>
        <w:rPr>
          <w:rFonts w:ascii="Times New Roman" w:hAnsi="Times New Roman"/>
          <w:color w:val="000000" w:themeColor="text1"/>
          <w:sz w:val="24"/>
          <w:szCs w:val="24"/>
        </w:rPr>
      </w:pPr>
    </w:p>
    <w:tbl>
      <w:tblPr>
        <w:tblStyle w:val="TableGrid"/>
        <w:tblpPr w:vertAnchor="text" w:horzAnchor="page" w:tblpX="1560" w:tblpY="-270"/>
        <w:tblOverlap w:val="never"/>
        <w:tblW w:w="2249" w:type="dxa"/>
        <w:tblLayout w:type="fixed"/>
        <w:tblLook w:val="04A0" w:firstRow="1" w:lastRow="0" w:firstColumn="1" w:lastColumn="0" w:noHBand="0" w:noVBand="1"/>
      </w:tblPr>
      <w:tblGrid>
        <w:gridCol w:w="1482"/>
        <w:gridCol w:w="767"/>
      </w:tblGrid>
      <w:tr w:rsidR="00A573B0" w14:paraId="1C3C838B" w14:textId="77777777" w:rsidTr="00AE1810">
        <w:trPr>
          <w:trHeight w:hRule="exact" w:val="340"/>
        </w:trPr>
        <w:tc>
          <w:tcPr>
            <w:tcW w:w="1495" w:type="dxa"/>
            <w:shd w:val="clear" w:color="auto" w:fill="C9DAF8"/>
          </w:tcPr>
          <w:p w14:paraId="61677869" w14:textId="77777777" w:rsidR="00A573B0" w:rsidRDefault="00A573B0" w:rsidP="00AE1810">
            <w:pPr>
              <w:spacing w:before="114"/>
              <w:ind w:left="120" w:right="-18"/>
              <w:rPr>
                <w:rFonts w:ascii="Times New Roman" w:hAnsi="Times New Roman" w:cs="Times New Roman"/>
                <w:color w:val="010302"/>
              </w:rPr>
            </w:pPr>
            <w:proofErr w:type="spellStart"/>
            <w:r>
              <w:rPr>
                <w:rFonts w:ascii="Arial" w:hAnsi="Arial" w:cs="Arial"/>
                <w:color w:val="000000"/>
                <w:sz w:val="20"/>
                <w:szCs w:val="20"/>
              </w:rPr>
              <w:t>Primary_Uses</w:t>
            </w:r>
            <w:proofErr w:type="spellEnd"/>
            <w:r>
              <w:rPr>
                <w:rFonts w:ascii="Times New Roman" w:hAnsi="Times New Roman" w:cs="Times New Roman"/>
                <w:sz w:val="20"/>
                <w:szCs w:val="20"/>
              </w:rPr>
              <w:t xml:space="preserve"> </w:t>
            </w:r>
          </w:p>
        </w:tc>
        <w:tc>
          <w:tcPr>
            <w:tcW w:w="773" w:type="dxa"/>
            <w:shd w:val="clear" w:color="auto" w:fill="C9DAF8"/>
          </w:tcPr>
          <w:p w14:paraId="598346B5" w14:textId="77777777" w:rsidR="00A573B0" w:rsidRDefault="00A573B0" w:rsidP="00AE1810">
            <w:pPr>
              <w:spacing w:before="114"/>
              <w:ind w:left="120"/>
              <w:rPr>
                <w:rFonts w:ascii="Times New Roman" w:hAnsi="Times New Roman" w:cs="Times New Roman"/>
                <w:color w:val="010302"/>
              </w:rPr>
            </w:pPr>
            <w:r>
              <w:rPr>
                <w:rFonts w:ascii="Arial" w:hAnsi="Arial" w:cs="Arial"/>
                <w:color w:val="000000"/>
                <w:sz w:val="20"/>
                <w:szCs w:val="20"/>
              </w:rPr>
              <w:t>Count</w:t>
            </w:r>
            <w:r>
              <w:rPr>
                <w:rFonts w:ascii="Times New Roman" w:hAnsi="Times New Roman" w:cs="Times New Roman"/>
                <w:sz w:val="20"/>
                <w:szCs w:val="20"/>
              </w:rPr>
              <w:t xml:space="preserve"> </w:t>
            </w:r>
          </w:p>
        </w:tc>
      </w:tr>
      <w:tr w:rsidR="00A573B0" w14:paraId="64C2DD33" w14:textId="77777777" w:rsidTr="00AE1810">
        <w:trPr>
          <w:trHeight w:hRule="exact" w:val="340"/>
        </w:trPr>
        <w:tc>
          <w:tcPr>
            <w:tcW w:w="1495" w:type="dxa"/>
          </w:tcPr>
          <w:p w14:paraId="588F33A7" w14:textId="77777777" w:rsidR="00A573B0" w:rsidRDefault="00A573B0" w:rsidP="00AE1810">
            <w:pPr>
              <w:spacing w:before="114"/>
              <w:ind w:left="347" w:right="-18"/>
              <w:rPr>
                <w:rFonts w:ascii="Times New Roman" w:hAnsi="Times New Roman" w:cs="Times New Roman"/>
                <w:color w:val="010302"/>
              </w:rPr>
            </w:pPr>
            <w:r>
              <w:rPr>
                <w:rFonts w:ascii="Arial" w:hAnsi="Arial" w:cs="Arial"/>
                <w:color w:val="000000"/>
                <w:sz w:val="20"/>
                <w:szCs w:val="20"/>
              </w:rPr>
              <w:t>Medicine</w:t>
            </w:r>
            <w:r>
              <w:rPr>
                <w:rFonts w:ascii="Times New Roman" w:hAnsi="Times New Roman" w:cs="Times New Roman"/>
                <w:sz w:val="20"/>
                <w:szCs w:val="20"/>
              </w:rPr>
              <w:t xml:space="preserve"> </w:t>
            </w:r>
          </w:p>
        </w:tc>
        <w:tc>
          <w:tcPr>
            <w:tcW w:w="773" w:type="dxa"/>
          </w:tcPr>
          <w:p w14:paraId="08BD6470" w14:textId="77777777" w:rsidR="00A573B0" w:rsidRDefault="00A573B0" w:rsidP="00AE1810">
            <w:pPr>
              <w:spacing w:before="114"/>
              <w:ind w:left="165"/>
              <w:rPr>
                <w:rFonts w:ascii="Times New Roman" w:hAnsi="Times New Roman" w:cs="Times New Roman"/>
                <w:color w:val="010302"/>
              </w:rPr>
            </w:pPr>
            <w:r>
              <w:rPr>
                <w:rFonts w:ascii="Arial" w:hAnsi="Arial" w:cs="Arial"/>
                <w:color w:val="000000"/>
                <w:sz w:val="20"/>
                <w:szCs w:val="20"/>
              </w:rPr>
              <w:t>1050</w:t>
            </w:r>
            <w:r>
              <w:rPr>
                <w:rFonts w:ascii="Times New Roman" w:hAnsi="Times New Roman" w:cs="Times New Roman"/>
                <w:sz w:val="20"/>
                <w:szCs w:val="20"/>
              </w:rPr>
              <w:t xml:space="preserve"> </w:t>
            </w:r>
          </w:p>
        </w:tc>
      </w:tr>
      <w:tr w:rsidR="00A573B0" w14:paraId="49189FB4" w14:textId="77777777" w:rsidTr="00AE1810">
        <w:trPr>
          <w:trHeight w:hRule="exact" w:val="340"/>
        </w:trPr>
        <w:tc>
          <w:tcPr>
            <w:tcW w:w="1495" w:type="dxa"/>
          </w:tcPr>
          <w:p w14:paraId="22ACD66E" w14:textId="77777777" w:rsidR="00A573B0" w:rsidRDefault="00A573B0" w:rsidP="00AE1810">
            <w:pPr>
              <w:spacing w:before="114"/>
              <w:ind w:left="519" w:right="-18"/>
              <w:rPr>
                <w:rFonts w:ascii="Times New Roman" w:hAnsi="Times New Roman" w:cs="Times New Roman"/>
                <w:color w:val="010302"/>
              </w:rPr>
            </w:pPr>
            <w:r>
              <w:rPr>
                <w:rFonts w:ascii="Arial" w:hAnsi="Arial" w:cs="Arial"/>
                <w:color w:val="000000"/>
                <w:sz w:val="20"/>
                <w:szCs w:val="20"/>
              </w:rPr>
              <w:t>Food</w:t>
            </w:r>
            <w:r>
              <w:rPr>
                <w:rFonts w:ascii="Times New Roman" w:hAnsi="Times New Roman" w:cs="Times New Roman"/>
                <w:sz w:val="20"/>
                <w:szCs w:val="20"/>
              </w:rPr>
              <w:t xml:space="preserve"> </w:t>
            </w:r>
          </w:p>
        </w:tc>
        <w:tc>
          <w:tcPr>
            <w:tcW w:w="773" w:type="dxa"/>
          </w:tcPr>
          <w:p w14:paraId="5BAAF8D3"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740</w:t>
            </w:r>
            <w:r>
              <w:rPr>
                <w:rFonts w:ascii="Times New Roman" w:hAnsi="Times New Roman" w:cs="Times New Roman"/>
                <w:sz w:val="20"/>
                <w:szCs w:val="20"/>
              </w:rPr>
              <w:t xml:space="preserve"> </w:t>
            </w:r>
          </w:p>
        </w:tc>
      </w:tr>
      <w:tr w:rsidR="00A573B0" w14:paraId="11E8173A" w14:textId="77777777" w:rsidTr="00AE1810">
        <w:trPr>
          <w:trHeight w:hRule="exact" w:val="340"/>
        </w:trPr>
        <w:tc>
          <w:tcPr>
            <w:tcW w:w="1495" w:type="dxa"/>
          </w:tcPr>
          <w:p w14:paraId="50B38931" w14:textId="77777777" w:rsidR="00A573B0" w:rsidRDefault="00A573B0" w:rsidP="00AE1810">
            <w:pPr>
              <w:spacing w:before="114"/>
              <w:ind w:left="186" w:right="-18"/>
              <w:rPr>
                <w:rFonts w:ascii="Times New Roman" w:hAnsi="Times New Roman" w:cs="Times New Roman"/>
                <w:color w:val="010302"/>
              </w:rPr>
            </w:pPr>
            <w:r>
              <w:rPr>
                <w:rFonts w:ascii="Arial" w:hAnsi="Arial" w:cs="Arial"/>
                <w:color w:val="000000"/>
                <w:sz w:val="20"/>
                <w:szCs w:val="20"/>
              </w:rPr>
              <w:t>Construction</w:t>
            </w:r>
            <w:r>
              <w:rPr>
                <w:rFonts w:ascii="Times New Roman" w:hAnsi="Times New Roman" w:cs="Times New Roman"/>
                <w:sz w:val="20"/>
                <w:szCs w:val="20"/>
              </w:rPr>
              <w:t xml:space="preserve"> </w:t>
            </w:r>
          </w:p>
        </w:tc>
        <w:tc>
          <w:tcPr>
            <w:tcW w:w="773" w:type="dxa"/>
          </w:tcPr>
          <w:p w14:paraId="12A2FD9C"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520</w:t>
            </w:r>
            <w:r>
              <w:rPr>
                <w:rFonts w:ascii="Times New Roman" w:hAnsi="Times New Roman" w:cs="Times New Roman"/>
                <w:sz w:val="20"/>
                <w:szCs w:val="20"/>
              </w:rPr>
              <w:t xml:space="preserve"> </w:t>
            </w:r>
          </w:p>
        </w:tc>
      </w:tr>
      <w:tr w:rsidR="00A573B0" w14:paraId="5789E3E7" w14:textId="77777777" w:rsidTr="00AE1810">
        <w:trPr>
          <w:trHeight w:hRule="exact" w:val="340"/>
        </w:trPr>
        <w:tc>
          <w:tcPr>
            <w:tcW w:w="1495" w:type="dxa"/>
          </w:tcPr>
          <w:p w14:paraId="0FCFBF79" w14:textId="77777777" w:rsidR="00A573B0" w:rsidRDefault="00A573B0" w:rsidP="00AE1810">
            <w:pPr>
              <w:spacing w:before="114"/>
              <w:ind w:left="264" w:right="-18"/>
              <w:rPr>
                <w:rFonts w:ascii="Times New Roman" w:hAnsi="Times New Roman" w:cs="Times New Roman"/>
                <w:color w:val="010302"/>
              </w:rPr>
            </w:pPr>
            <w:r>
              <w:rPr>
                <w:rFonts w:ascii="Arial" w:hAnsi="Arial" w:cs="Arial"/>
                <w:color w:val="000000"/>
                <w:sz w:val="20"/>
                <w:szCs w:val="20"/>
              </w:rPr>
              <w:t>Decoration</w:t>
            </w:r>
            <w:r>
              <w:rPr>
                <w:rFonts w:ascii="Times New Roman" w:hAnsi="Times New Roman" w:cs="Times New Roman"/>
                <w:sz w:val="20"/>
                <w:szCs w:val="20"/>
              </w:rPr>
              <w:t xml:space="preserve"> </w:t>
            </w:r>
          </w:p>
        </w:tc>
        <w:tc>
          <w:tcPr>
            <w:tcW w:w="773" w:type="dxa"/>
          </w:tcPr>
          <w:p w14:paraId="2FF14FA9"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410</w:t>
            </w:r>
            <w:r>
              <w:rPr>
                <w:rFonts w:ascii="Times New Roman" w:hAnsi="Times New Roman" w:cs="Times New Roman"/>
                <w:sz w:val="20"/>
                <w:szCs w:val="20"/>
              </w:rPr>
              <w:t xml:space="preserve"> </w:t>
            </w:r>
          </w:p>
        </w:tc>
      </w:tr>
      <w:tr w:rsidR="00A573B0" w14:paraId="061CD6B6" w14:textId="77777777" w:rsidTr="00AE1810">
        <w:trPr>
          <w:trHeight w:hRule="exact" w:val="340"/>
        </w:trPr>
        <w:tc>
          <w:tcPr>
            <w:tcW w:w="1495" w:type="dxa"/>
          </w:tcPr>
          <w:p w14:paraId="5FF90921" w14:textId="77777777" w:rsidR="00A573B0" w:rsidRDefault="00A573B0" w:rsidP="00AE1810">
            <w:pPr>
              <w:spacing w:before="114"/>
              <w:ind w:left="553" w:right="-18"/>
              <w:rPr>
                <w:rFonts w:ascii="Times New Roman" w:hAnsi="Times New Roman" w:cs="Times New Roman"/>
                <w:color w:val="010302"/>
              </w:rPr>
            </w:pPr>
            <w:r>
              <w:rPr>
                <w:rFonts w:ascii="Arial" w:hAnsi="Arial" w:cs="Arial"/>
                <w:color w:val="000000"/>
                <w:sz w:val="20"/>
                <w:szCs w:val="20"/>
              </w:rPr>
              <w:t>Fuel</w:t>
            </w:r>
            <w:r>
              <w:rPr>
                <w:rFonts w:ascii="Times New Roman" w:hAnsi="Times New Roman" w:cs="Times New Roman"/>
                <w:sz w:val="20"/>
                <w:szCs w:val="20"/>
              </w:rPr>
              <w:t xml:space="preserve"> </w:t>
            </w:r>
          </w:p>
        </w:tc>
        <w:tc>
          <w:tcPr>
            <w:tcW w:w="773" w:type="dxa"/>
          </w:tcPr>
          <w:p w14:paraId="6FE02CA0"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390</w:t>
            </w:r>
            <w:r>
              <w:rPr>
                <w:rFonts w:ascii="Times New Roman" w:hAnsi="Times New Roman" w:cs="Times New Roman"/>
                <w:sz w:val="20"/>
                <w:szCs w:val="20"/>
              </w:rPr>
              <w:t xml:space="preserve"> </w:t>
            </w:r>
          </w:p>
        </w:tc>
      </w:tr>
    </w:tbl>
    <w:p w14:paraId="1B65BCD7" w14:textId="77777777" w:rsidR="00A573B0" w:rsidRDefault="00A573B0" w:rsidP="00A573B0">
      <w:pPr>
        <w:rPr>
          <w:rFonts w:ascii="Times New Roman" w:hAnsi="Times New Roman"/>
          <w:color w:val="000000" w:themeColor="text1"/>
          <w:sz w:val="24"/>
          <w:szCs w:val="24"/>
        </w:rPr>
      </w:pPr>
    </w:p>
    <w:p w14:paraId="290A4AD7" w14:textId="77777777" w:rsidR="00A573B0" w:rsidRDefault="00A573B0" w:rsidP="00A573B0">
      <w:pPr>
        <w:rPr>
          <w:rFonts w:ascii="Times New Roman" w:hAnsi="Times New Roman"/>
          <w:color w:val="000000" w:themeColor="text1"/>
          <w:sz w:val="24"/>
          <w:szCs w:val="24"/>
        </w:rPr>
      </w:pPr>
    </w:p>
    <w:p w14:paraId="0AE5DF91" w14:textId="77777777" w:rsidR="00A573B0" w:rsidRDefault="00A573B0" w:rsidP="00A573B0">
      <w:pPr>
        <w:rPr>
          <w:rFonts w:ascii="Times New Roman" w:hAnsi="Times New Roman"/>
          <w:color w:val="000000" w:themeColor="text1"/>
          <w:sz w:val="24"/>
          <w:szCs w:val="24"/>
        </w:rPr>
      </w:pPr>
    </w:p>
    <w:p w14:paraId="2FBE7FC4" w14:textId="77777777" w:rsidR="00A573B0" w:rsidRDefault="00A573B0" w:rsidP="00A573B0">
      <w:pPr>
        <w:rPr>
          <w:rFonts w:ascii="Times New Roman" w:hAnsi="Times New Roman"/>
          <w:color w:val="000000" w:themeColor="text1"/>
          <w:sz w:val="24"/>
          <w:szCs w:val="24"/>
        </w:rPr>
      </w:pPr>
    </w:p>
    <w:p w14:paraId="3A383D9F" w14:textId="77777777" w:rsidR="00A573B0" w:rsidRDefault="00A573B0" w:rsidP="00A573B0">
      <w:pPr>
        <w:rPr>
          <w:rFonts w:ascii="Times New Roman" w:hAnsi="Times New Roman"/>
          <w:color w:val="000000" w:themeColor="text1"/>
          <w:sz w:val="24"/>
          <w:szCs w:val="24"/>
        </w:rPr>
      </w:pPr>
    </w:p>
    <w:p w14:paraId="1AA0D82D" w14:textId="77777777" w:rsidR="00A573B0" w:rsidRDefault="00A573B0" w:rsidP="00A573B0">
      <w:pPr>
        <w:spacing w:after="228"/>
        <w:rPr>
          <w:rFonts w:ascii="Times New Roman" w:hAnsi="Times New Roman"/>
          <w:color w:val="000000" w:themeColor="text1"/>
          <w:sz w:val="24"/>
          <w:szCs w:val="24"/>
        </w:rPr>
      </w:pPr>
    </w:p>
    <w:p w14:paraId="279200E7" w14:textId="77777777" w:rsidR="00A573B0" w:rsidRDefault="00A573B0" w:rsidP="00A573B0">
      <w:pPr>
        <w:rPr>
          <w:rFonts w:ascii="Times New Roman" w:hAnsi="Times New Roman"/>
          <w:color w:val="000000" w:themeColor="text1"/>
          <w:sz w:val="24"/>
          <w:szCs w:val="24"/>
        </w:rPr>
      </w:pPr>
    </w:p>
    <w:p w14:paraId="27396D7E" w14:textId="77777777" w:rsidR="00A573B0" w:rsidRDefault="00A573B0" w:rsidP="00A573B0">
      <w:pPr>
        <w:spacing w:after="31"/>
        <w:rPr>
          <w:rFonts w:ascii="Times New Roman" w:hAnsi="Times New Roman"/>
          <w:color w:val="000000" w:themeColor="text1"/>
          <w:sz w:val="24"/>
          <w:szCs w:val="24"/>
        </w:rPr>
      </w:pPr>
    </w:p>
    <w:p w14:paraId="0298C4E8" w14:textId="77777777" w:rsidR="00A573B0" w:rsidRDefault="00A573B0" w:rsidP="00A573B0">
      <w:pPr>
        <w:spacing w:line="246" w:lineRule="exact"/>
        <w:ind w:left="1040"/>
        <w:rPr>
          <w:rFonts w:ascii="Arial" w:hAnsi="Arial" w:cs="Arial"/>
          <w:color w:val="000000"/>
          <w:sz w:val="24"/>
          <w:szCs w:val="24"/>
        </w:rPr>
      </w:pPr>
    </w:p>
    <w:p w14:paraId="612A50DD" w14:textId="2BE4C650" w:rsidR="00A573B0" w:rsidRDefault="00A573B0" w:rsidP="00A573B0">
      <w:pPr>
        <w:spacing w:line="246" w:lineRule="exact"/>
        <w:ind w:left="1040"/>
        <w:rPr>
          <w:rFonts w:ascii="Times New Roman" w:hAnsi="Times New Roman" w:cs="Times New Roman"/>
          <w:color w:val="010302"/>
        </w:rPr>
      </w:pPr>
      <w:r>
        <w:rPr>
          <w:rFonts w:ascii="Arial" w:hAnsi="Arial" w:cs="Arial"/>
          <w:b/>
          <w:bCs/>
          <w:i/>
          <w:iCs/>
          <w:color w:val="000000"/>
          <w:spacing w:val="-1"/>
          <w:sz w:val="24"/>
          <w:szCs w:val="24"/>
        </w:rPr>
        <w:t>Top 5 Growing Conditions</w:t>
      </w:r>
      <w:r>
        <w:rPr>
          <w:rFonts w:ascii="Times New Roman" w:hAnsi="Times New Roman" w:cs="Times New Roman"/>
          <w:sz w:val="24"/>
          <w:szCs w:val="24"/>
        </w:rPr>
        <w:t xml:space="preserve"> </w:t>
      </w:r>
    </w:p>
    <w:p w14:paraId="2F6D232D" w14:textId="77777777" w:rsidR="00A573B0" w:rsidRDefault="00A573B0" w:rsidP="00A573B0">
      <w:pPr>
        <w:rPr>
          <w:rFonts w:ascii="Times New Roman" w:hAnsi="Times New Roman"/>
          <w:color w:val="000000" w:themeColor="text1"/>
          <w:sz w:val="24"/>
          <w:szCs w:val="24"/>
        </w:rPr>
      </w:pPr>
    </w:p>
    <w:tbl>
      <w:tblPr>
        <w:tblStyle w:val="TableGrid"/>
        <w:tblpPr w:vertAnchor="text" w:horzAnchor="page" w:tblpX="1560" w:tblpY="-270"/>
        <w:tblOverlap w:val="never"/>
        <w:tblW w:w="2794" w:type="dxa"/>
        <w:tblLayout w:type="fixed"/>
        <w:tblLook w:val="04A0" w:firstRow="1" w:lastRow="0" w:firstColumn="1" w:lastColumn="0" w:noHBand="0" w:noVBand="1"/>
      </w:tblPr>
      <w:tblGrid>
        <w:gridCol w:w="2026"/>
        <w:gridCol w:w="768"/>
      </w:tblGrid>
      <w:tr w:rsidR="00A573B0" w14:paraId="4AA47D6C" w14:textId="77777777" w:rsidTr="00AE1810">
        <w:trPr>
          <w:trHeight w:hRule="exact" w:val="340"/>
        </w:trPr>
        <w:tc>
          <w:tcPr>
            <w:tcW w:w="2040" w:type="dxa"/>
            <w:shd w:val="clear" w:color="auto" w:fill="F4CCCC"/>
          </w:tcPr>
          <w:p w14:paraId="08EB369D" w14:textId="77777777" w:rsidR="00A573B0" w:rsidRDefault="00A573B0" w:rsidP="00AE1810">
            <w:pPr>
              <w:spacing w:before="114"/>
              <w:ind w:left="120" w:right="-18"/>
              <w:rPr>
                <w:rFonts w:ascii="Times New Roman" w:hAnsi="Times New Roman" w:cs="Times New Roman"/>
                <w:color w:val="010302"/>
              </w:rPr>
            </w:pPr>
            <w:proofErr w:type="spellStart"/>
            <w:r>
              <w:rPr>
                <w:rFonts w:ascii="Arial" w:hAnsi="Arial" w:cs="Arial"/>
                <w:color w:val="000000"/>
                <w:sz w:val="20"/>
                <w:szCs w:val="20"/>
              </w:rPr>
              <w:t>Growing_Conditions</w:t>
            </w:r>
            <w:proofErr w:type="spellEnd"/>
            <w:r>
              <w:rPr>
                <w:rFonts w:ascii="Times New Roman" w:hAnsi="Times New Roman" w:cs="Times New Roman"/>
                <w:sz w:val="20"/>
                <w:szCs w:val="20"/>
              </w:rPr>
              <w:t xml:space="preserve"> </w:t>
            </w:r>
          </w:p>
        </w:tc>
        <w:tc>
          <w:tcPr>
            <w:tcW w:w="773" w:type="dxa"/>
            <w:shd w:val="clear" w:color="auto" w:fill="F4CCCC"/>
          </w:tcPr>
          <w:p w14:paraId="429AE087" w14:textId="77777777" w:rsidR="00A573B0" w:rsidRDefault="00A573B0" w:rsidP="00AE1810">
            <w:pPr>
              <w:spacing w:before="114"/>
              <w:ind w:left="120"/>
              <w:rPr>
                <w:rFonts w:ascii="Times New Roman" w:hAnsi="Times New Roman" w:cs="Times New Roman"/>
                <w:color w:val="010302"/>
              </w:rPr>
            </w:pPr>
            <w:r>
              <w:rPr>
                <w:rFonts w:ascii="Arial" w:hAnsi="Arial" w:cs="Arial"/>
                <w:color w:val="000000"/>
                <w:sz w:val="20"/>
                <w:szCs w:val="20"/>
              </w:rPr>
              <w:t>Count</w:t>
            </w:r>
            <w:r>
              <w:rPr>
                <w:rFonts w:ascii="Times New Roman" w:hAnsi="Times New Roman" w:cs="Times New Roman"/>
                <w:sz w:val="20"/>
                <w:szCs w:val="20"/>
              </w:rPr>
              <w:t xml:space="preserve"> </w:t>
            </w:r>
          </w:p>
        </w:tc>
      </w:tr>
      <w:tr w:rsidR="00A573B0" w14:paraId="2CF5CB22" w14:textId="77777777" w:rsidTr="00AE1810">
        <w:trPr>
          <w:trHeight w:hRule="exact" w:val="340"/>
        </w:trPr>
        <w:tc>
          <w:tcPr>
            <w:tcW w:w="2040" w:type="dxa"/>
          </w:tcPr>
          <w:p w14:paraId="236C8508" w14:textId="77777777" w:rsidR="00A573B0" w:rsidRDefault="00A573B0" w:rsidP="00AE1810">
            <w:pPr>
              <w:spacing w:before="114"/>
              <w:ind w:left="664" w:right="-18"/>
              <w:rPr>
                <w:rFonts w:ascii="Times New Roman" w:hAnsi="Times New Roman" w:cs="Times New Roman"/>
                <w:color w:val="010302"/>
              </w:rPr>
            </w:pPr>
            <w:r>
              <w:rPr>
                <w:rFonts w:ascii="Arial" w:hAnsi="Arial" w:cs="Arial"/>
                <w:color w:val="000000"/>
                <w:sz w:val="20"/>
                <w:szCs w:val="20"/>
              </w:rPr>
              <w:t>Tropical</w:t>
            </w:r>
            <w:r>
              <w:rPr>
                <w:rFonts w:ascii="Times New Roman" w:hAnsi="Times New Roman" w:cs="Times New Roman"/>
                <w:sz w:val="20"/>
                <w:szCs w:val="20"/>
              </w:rPr>
              <w:t xml:space="preserve"> </w:t>
            </w:r>
          </w:p>
        </w:tc>
        <w:tc>
          <w:tcPr>
            <w:tcW w:w="773" w:type="dxa"/>
          </w:tcPr>
          <w:p w14:paraId="153853DC" w14:textId="77777777" w:rsidR="00A573B0" w:rsidRDefault="00A573B0" w:rsidP="00AE1810">
            <w:pPr>
              <w:spacing w:before="114"/>
              <w:ind w:left="165"/>
              <w:rPr>
                <w:rFonts w:ascii="Times New Roman" w:hAnsi="Times New Roman" w:cs="Times New Roman"/>
                <w:color w:val="010302"/>
              </w:rPr>
            </w:pPr>
            <w:r>
              <w:rPr>
                <w:rFonts w:ascii="Arial" w:hAnsi="Arial" w:cs="Arial"/>
                <w:color w:val="000000"/>
                <w:sz w:val="20"/>
                <w:szCs w:val="20"/>
              </w:rPr>
              <w:t>1120</w:t>
            </w:r>
            <w:r>
              <w:rPr>
                <w:rFonts w:ascii="Times New Roman" w:hAnsi="Times New Roman" w:cs="Times New Roman"/>
                <w:sz w:val="20"/>
                <w:szCs w:val="20"/>
              </w:rPr>
              <w:t xml:space="preserve"> </w:t>
            </w:r>
          </w:p>
        </w:tc>
      </w:tr>
      <w:tr w:rsidR="00A573B0" w14:paraId="3581A3ED" w14:textId="77777777" w:rsidTr="00AE1810">
        <w:trPr>
          <w:trHeight w:hRule="exact" w:val="340"/>
        </w:trPr>
        <w:tc>
          <w:tcPr>
            <w:tcW w:w="2040" w:type="dxa"/>
          </w:tcPr>
          <w:p w14:paraId="6C7E9145" w14:textId="77777777" w:rsidR="00A573B0" w:rsidRDefault="00A573B0" w:rsidP="00AE1810">
            <w:pPr>
              <w:spacing w:before="114"/>
              <w:ind w:left="520" w:right="-18"/>
              <w:rPr>
                <w:rFonts w:ascii="Times New Roman" w:hAnsi="Times New Roman" w:cs="Times New Roman"/>
                <w:color w:val="010302"/>
              </w:rPr>
            </w:pPr>
            <w:r>
              <w:rPr>
                <w:rFonts w:ascii="Arial" w:hAnsi="Arial" w:cs="Arial"/>
                <w:color w:val="000000"/>
                <w:sz w:val="20"/>
                <w:szCs w:val="20"/>
              </w:rPr>
              <w:t>Subtropical</w:t>
            </w:r>
            <w:r>
              <w:rPr>
                <w:rFonts w:ascii="Times New Roman" w:hAnsi="Times New Roman" w:cs="Times New Roman"/>
                <w:sz w:val="20"/>
                <w:szCs w:val="20"/>
              </w:rPr>
              <w:t xml:space="preserve"> </w:t>
            </w:r>
          </w:p>
        </w:tc>
        <w:tc>
          <w:tcPr>
            <w:tcW w:w="773" w:type="dxa"/>
          </w:tcPr>
          <w:p w14:paraId="4E97ED91"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880</w:t>
            </w:r>
            <w:r>
              <w:rPr>
                <w:rFonts w:ascii="Times New Roman" w:hAnsi="Times New Roman" w:cs="Times New Roman"/>
                <w:sz w:val="20"/>
                <w:szCs w:val="20"/>
              </w:rPr>
              <w:t xml:space="preserve"> </w:t>
            </w:r>
          </w:p>
        </w:tc>
      </w:tr>
      <w:tr w:rsidR="00A573B0" w14:paraId="3EE8A539" w14:textId="77777777" w:rsidTr="00AE1810">
        <w:trPr>
          <w:trHeight w:hRule="exact" w:val="340"/>
        </w:trPr>
        <w:tc>
          <w:tcPr>
            <w:tcW w:w="2040" w:type="dxa"/>
          </w:tcPr>
          <w:p w14:paraId="497A832E" w14:textId="77777777" w:rsidR="00A573B0" w:rsidRDefault="00A573B0" w:rsidP="00AE1810">
            <w:pPr>
              <w:spacing w:before="114"/>
              <w:ind w:left="536" w:right="-18"/>
              <w:rPr>
                <w:rFonts w:ascii="Times New Roman" w:hAnsi="Times New Roman" w:cs="Times New Roman"/>
                <w:color w:val="010302"/>
              </w:rPr>
            </w:pPr>
            <w:r>
              <w:rPr>
                <w:rFonts w:ascii="Arial" w:hAnsi="Arial" w:cs="Arial"/>
                <w:color w:val="000000"/>
                <w:sz w:val="20"/>
                <w:szCs w:val="20"/>
              </w:rPr>
              <w:t>Temperate</w:t>
            </w:r>
            <w:r>
              <w:rPr>
                <w:rFonts w:ascii="Times New Roman" w:hAnsi="Times New Roman" w:cs="Times New Roman"/>
                <w:sz w:val="20"/>
                <w:szCs w:val="20"/>
              </w:rPr>
              <w:t xml:space="preserve"> </w:t>
            </w:r>
          </w:p>
        </w:tc>
        <w:tc>
          <w:tcPr>
            <w:tcW w:w="773" w:type="dxa"/>
          </w:tcPr>
          <w:p w14:paraId="7C074B82"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760</w:t>
            </w:r>
            <w:r>
              <w:rPr>
                <w:rFonts w:ascii="Times New Roman" w:hAnsi="Times New Roman" w:cs="Times New Roman"/>
                <w:sz w:val="20"/>
                <w:szCs w:val="20"/>
              </w:rPr>
              <w:t xml:space="preserve"> </w:t>
            </w:r>
          </w:p>
        </w:tc>
      </w:tr>
      <w:tr w:rsidR="00A573B0" w14:paraId="0DAC2685" w14:textId="77777777" w:rsidTr="00AE1810">
        <w:trPr>
          <w:trHeight w:hRule="exact" w:val="340"/>
        </w:trPr>
        <w:tc>
          <w:tcPr>
            <w:tcW w:w="2040" w:type="dxa"/>
          </w:tcPr>
          <w:p w14:paraId="7E17643B" w14:textId="77777777" w:rsidR="00A573B0" w:rsidRDefault="00A573B0" w:rsidP="00AE1810">
            <w:pPr>
              <w:spacing w:before="114"/>
              <w:ind w:left="762" w:right="-18"/>
              <w:jc w:val="right"/>
              <w:rPr>
                <w:rFonts w:ascii="Times New Roman" w:hAnsi="Times New Roman" w:cs="Times New Roman"/>
                <w:color w:val="010302"/>
              </w:rPr>
            </w:pPr>
            <w:r>
              <w:rPr>
                <w:rFonts w:ascii="Arial" w:hAnsi="Arial" w:cs="Arial"/>
                <w:color w:val="000000"/>
                <w:sz w:val="20"/>
                <w:szCs w:val="20"/>
              </w:rPr>
              <w:t>Arid</w:t>
            </w:r>
            <w:r>
              <w:rPr>
                <w:rFonts w:ascii="Times New Roman" w:hAnsi="Times New Roman" w:cs="Times New Roman"/>
                <w:sz w:val="20"/>
                <w:szCs w:val="20"/>
              </w:rPr>
              <w:t xml:space="preserve"> </w:t>
            </w:r>
          </w:p>
        </w:tc>
        <w:tc>
          <w:tcPr>
            <w:tcW w:w="773" w:type="dxa"/>
          </w:tcPr>
          <w:p w14:paraId="626D142E" w14:textId="77777777" w:rsidR="00A573B0" w:rsidRDefault="00A573B0" w:rsidP="00AE1810">
            <w:pPr>
              <w:spacing w:before="114"/>
              <w:ind w:left="140" w:right="201"/>
              <w:jc w:val="right"/>
              <w:rPr>
                <w:rFonts w:ascii="Times New Roman" w:hAnsi="Times New Roman" w:cs="Times New Roman"/>
                <w:color w:val="010302"/>
              </w:rPr>
            </w:pPr>
            <w:r>
              <w:rPr>
                <w:rFonts w:ascii="Arial" w:hAnsi="Arial" w:cs="Arial"/>
                <w:color w:val="000000"/>
                <w:sz w:val="20"/>
                <w:szCs w:val="20"/>
              </w:rPr>
              <w:t>440</w:t>
            </w:r>
            <w:r>
              <w:rPr>
                <w:rFonts w:ascii="Times New Roman" w:hAnsi="Times New Roman" w:cs="Times New Roman"/>
                <w:sz w:val="20"/>
                <w:szCs w:val="20"/>
              </w:rPr>
              <w:t xml:space="preserve"> </w:t>
            </w:r>
          </w:p>
        </w:tc>
      </w:tr>
      <w:tr w:rsidR="00A573B0" w14:paraId="61D4D1AE" w14:textId="77777777" w:rsidTr="00AE1810">
        <w:trPr>
          <w:trHeight w:hRule="exact" w:val="340"/>
        </w:trPr>
        <w:tc>
          <w:tcPr>
            <w:tcW w:w="2040" w:type="dxa"/>
          </w:tcPr>
          <w:p w14:paraId="204E6ED2" w14:textId="77777777" w:rsidR="00A573B0" w:rsidRDefault="00A573B0" w:rsidP="00AE1810">
            <w:pPr>
              <w:spacing w:before="114"/>
              <w:ind w:left="681" w:right="-18"/>
              <w:rPr>
                <w:rFonts w:ascii="Times New Roman" w:hAnsi="Times New Roman" w:cs="Times New Roman"/>
                <w:color w:val="010302"/>
              </w:rPr>
            </w:pPr>
            <w:r>
              <w:rPr>
                <w:rFonts w:ascii="Arial" w:hAnsi="Arial" w:cs="Arial"/>
                <w:color w:val="000000"/>
                <w:sz w:val="20"/>
                <w:szCs w:val="20"/>
              </w:rPr>
              <w:t>Coastal</w:t>
            </w:r>
            <w:r>
              <w:rPr>
                <w:rFonts w:ascii="Times New Roman" w:hAnsi="Times New Roman" w:cs="Times New Roman"/>
                <w:sz w:val="20"/>
                <w:szCs w:val="20"/>
              </w:rPr>
              <w:t xml:space="preserve"> </w:t>
            </w:r>
          </w:p>
        </w:tc>
        <w:tc>
          <w:tcPr>
            <w:tcW w:w="773" w:type="dxa"/>
          </w:tcPr>
          <w:p w14:paraId="7BFE3219" w14:textId="77777777" w:rsidR="00A573B0" w:rsidRDefault="00A573B0" w:rsidP="00AE1810">
            <w:pPr>
              <w:spacing w:before="114"/>
              <w:ind w:left="220"/>
              <w:rPr>
                <w:rFonts w:ascii="Times New Roman" w:hAnsi="Times New Roman" w:cs="Times New Roman"/>
                <w:color w:val="010302"/>
              </w:rPr>
            </w:pPr>
            <w:r>
              <w:rPr>
                <w:rFonts w:ascii="Arial" w:hAnsi="Arial" w:cs="Arial"/>
                <w:color w:val="000000"/>
                <w:sz w:val="20"/>
                <w:szCs w:val="20"/>
              </w:rPr>
              <w:t>320</w:t>
            </w:r>
            <w:r>
              <w:rPr>
                <w:rFonts w:ascii="Times New Roman" w:hAnsi="Times New Roman" w:cs="Times New Roman"/>
                <w:sz w:val="20"/>
                <w:szCs w:val="20"/>
              </w:rPr>
              <w:t xml:space="preserve"> </w:t>
            </w:r>
          </w:p>
        </w:tc>
      </w:tr>
    </w:tbl>
    <w:p w14:paraId="3C7CEFEE" w14:textId="77777777" w:rsidR="00A573B0" w:rsidRDefault="00A573B0" w:rsidP="00A573B0">
      <w:pPr>
        <w:rPr>
          <w:rFonts w:ascii="Times New Roman" w:hAnsi="Times New Roman"/>
          <w:color w:val="000000" w:themeColor="text1"/>
          <w:sz w:val="24"/>
          <w:szCs w:val="24"/>
        </w:rPr>
      </w:pPr>
    </w:p>
    <w:p w14:paraId="200D50A2" w14:textId="77777777" w:rsidR="00A573B0" w:rsidRDefault="00A573B0" w:rsidP="00A573B0">
      <w:pPr>
        <w:rPr>
          <w:rFonts w:ascii="Times New Roman" w:hAnsi="Times New Roman"/>
          <w:color w:val="000000" w:themeColor="text1"/>
          <w:sz w:val="24"/>
          <w:szCs w:val="24"/>
        </w:rPr>
      </w:pPr>
    </w:p>
    <w:p w14:paraId="39DB2228" w14:textId="77777777" w:rsidR="00A573B0" w:rsidRDefault="00A573B0" w:rsidP="00A573B0">
      <w:pPr>
        <w:rPr>
          <w:rFonts w:ascii="Times New Roman" w:hAnsi="Times New Roman"/>
          <w:color w:val="000000" w:themeColor="text1"/>
          <w:sz w:val="24"/>
          <w:szCs w:val="24"/>
        </w:rPr>
      </w:pPr>
    </w:p>
    <w:p w14:paraId="26BA2110" w14:textId="77777777" w:rsidR="00A573B0" w:rsidRDefault="00A573B0" w:rsidP="00A573B0">
      <w:pPr>
        <w:rPr>
          <w:rFonts w:ascii="Times New Roman" w:hAnsi="Times New Roman"/>
          <w:color w:val="000000" w:themeColor="text1"/>
          <w:sz w:val="24"/>
          <w:szCs w:val="24"/>
        </w:rPr>
      </w:pPr>
    </w:p>
    <w:p w14:paraId="4D93360F" w14:textId="77777777" w:rsidR="00A573B0" w:rsidRDefault="00A573B0" w:rsidP="00A573B0">
      <w:pPr>
        <w:rPr>
          <w:rFonts w:ascii="Times New Roman" w:hAnsi="Times New Roman"/>
          <w:color w:val="000000" w:themeColor="text1"/>
          <w:sz w:val="24"/>
          <w:szCs w:val="24"/>
        </w:rPr>
      </w:pPr>
    </w:p>
    <w:p w14:paraId="238DAFB9" w14:textId="77777777" w:rsidR="00A573B0" w:rsidRDefault="00A573B0" w:rsidP="00A573B0">
      <w:pPr>
        <w:spacing w:after="228"/>
        <w:rPr>
          <w:rFonts w:ascii="Times New Roman" w:hAnsi="Times New Roman"/>
          <w:color w:val="000000" w:themeColor="text1"/>
          <w:sz w:val="24"/>
          <w:szCs w:val="24"/>
        </w:rPr>
      </w:pPr>
    </w:p>
    <w:p w14:paraId="0D9B109F" w14:textId="77777777" w:rsidR="00A573B0" w:rsidRDefault="00A573B0" w:rsidP="00A573B0">
      <w:pPr>
        <w:rPr>
          <w:rFonts w:ascii="Times New Roman" w:hAnsi="Times New Roman"/>
          <w:color w:val="000000" w:themeColor="text1"/>
          <w:sz w:val="24"/>
          <w:szCs w:val="24"/>
        </w:rPr>
      </w:pPr>
    </w:p>
    <w:p w14:paraId="10D95106" w14:textId="77777777" w:rsidR="00A573B0" w:rsidRDefault="00A573B0" w:rsidP="00A573B0">
      <w:pPr>
        <w:spacing w:after="131"/>
        <w:rPr>
          <w:rFonts w:ascii="Times New Roman" w:hAnsi="Times New Roman"/>
          <w:color w:val="000000" w:themeColor="text1"/>
          <w:sz w:val="24"/>
          <w:szCs w:val="24"/>
        </w:rPr>
      </w:pPr>
    </w:p>
    <w:p w14:paraId="7C05FB90" w14:textId="39C6A397" w:rsidR="00A573B0" w:rsidRDefault="00A573B0" w:rsidP="00A573B0">
      <w:pPr>
        <w:spacing w:line="246" w:lineRule="exact"/>
        <w:ind w:left="1040"/>
        <w:rPr>
          <w:rFonts w:ascii="Times New Roman" w:hAnsi="Times New Roman" w:cs="Times New Roman"/>
          <w:color w:val="010302"/>
        </w:rPr>
        <w:sectPr w:rsidR="00A573B0" w:rsidSect="00A573B0">
          <w:pgSz w:w="11915" w:h="16847"/>
          <w:pgMar w:top="343" w:right="500" w:bottom="275" w:left="500" w:header="708" w:footer="708" w:gutter="0"/>
          <w:cols w:space="720"/>
          <w:docGrid w:linePitch="360"/>
        </w:sectPr>
      </w:pPr>
      <w:r>
        <w:rPr>
          <w:rFonts w:ascii="Arial" w:hAnsi="Arial" w:cs="Arial"/>
          <w:b/>
          <w:bCs/>
          <w:i/>
          <w:iCs/>
          <w:color w:val="000000"/>
          <w:sz w:val="24"/>
          <w:szCs w:val="24"/>
        </w:rPr>
        <w:t>Pivot 1</w:t>
      </w:r>
      <w:r>
        <w:rPr>
          <w:rFonts w:ascii="Arial" w:hAnsi="Arial" w:cs="Arial"/>
          <w:color w:val="000000"/>
          <w:sz w:val="24"/>
          <w:szCs w:val="24"/>
        </w:rPr>
        <w:t>nn</w:t>
      </w:r>
      <w:r>
        <w:rPr>
          <w:rFonts w:ascii="Arial" w:hAnsi="Arial" w:cs="Arial"/>
          <w:b/>
          <w:bCs/>
          <w:i/>
          <w:iCs/>
          <w:color w:val="000000"/>
          <w:spacing w:val="-1"/>
          <w:sz w:val="24"/>
          <w:szCs w:val="24"/>
        </w:rPr>
        <w:t>: Category × Primary Uses</w:t>
      </w:r>
      <w:r>
        <w:rPr>
          <w:rFonts w:ascii="Times New Roman" w:hAnsi="Times New Roman" w:cs="Times New Roman"/>
          <w:sz w:val="24"/>
          <w:szCs w:val="24"/>
        </w:rPr>
        <w:t xml:space="preserve"> </w:t>
      </w:r>
    </w:p>
    <w:p w14:paraId="757D70DC" w14:textId="77777777" w:rsidR="00A573B0" w:rsidRDefault="00A573B0" w:rsidP="00A573B0">
      <w:pPr>
        <w:rPr>
          <w:rFonts w:ascii="Times New Roman" w:hAnsi="Times New Roman"/>
          <w:color w:val="000000" w:themeColor="text1"/>
          <w:sz w:val="24"/>
          <w:szCs w:val="24"/>
        </w:rPr>
      </w:pPr>
    </w:p>
    <w:tbl>
      <w:tblPr>
        <w:tblStyle w:val="TableGrid"/>
        <w:tblpPr w:vertAnchor="text" w:horzAnchor="page" w:tblpX="1560" w:tblpY="-270"/>
        <w:tblOverlap w:val="never"/>
        <w:tblW w:w="6199" w:type="dxa"/>
        <w:tblLayout w:type="fixed"/>
        <w:tblLook w:val="04A0" w:firstRow="1" w:lastRow="0" w:firstColumn="1" w:lastColumn="0" w:noHBand="0" w:noVBand="1"/>
      </w:tblPr>
      <w:tblGrid>
        <w:gridCol w:w="1281"/>
        <w:gridCol w:w="1037"/>
        <w:gridCol w:w="693"/>
        <w:gridCol w:w="1358"/>
        <w:gridCol w:w="1203"/>
        <w:gridCol w:w="627"/>
      </w:tblGrid>
      <w:tr w:rsidR="00A573B0" w14:paraId="5F872FD1" w14:textId="77777777" w:rsidTr="00AE1810">
        <w:trPr>
          <w:trHeight w:hRule="exact" w:val="340"/>
        </w:trPr>
        <w:tc>
          <w:tcPr>
            <w:tcW w:w="1284" w:type="dxa"/>
            <w:shd w:val="clear" w:color="auto" w:fill="D9D2E9"/>
          </w:tcPr>
          <w:p w14:paraId="685FA666" w14:textId="77777777" w:rsidR="00A573B0" w:rsidRDefault="00A573B0" w:rsidP="00AE1810">
            <w:pPr>
              <w:spacing w:before="114"/>
              <w:ind w:left="216" w:right="-18"/>
              <w:rPr>
                <w:rFonts w:ascii="Times New Roman" w:hAnsi="Times New Roman" w:cs="Times New Roman"/>
                <w:color w:val="010302"/>
              </w:rPr>
            </w:pPr>
            <w:r>
              <w:rPr>
                <w:rFonts w:ascii="Arial" w:hAnsi="Arial" w:cs="Arial"/>
                <w:color w:val="000000"/>
                <w:sz w:val="20"/>
                <w:szCs w:val="20"/>
              </w:rPr>
              <w:t>Category</w:t>
            </w:r>
            <w:r>
              <w:rPr>
                <w:rFonts w:ascii="Times New Roman" w:hAnsi="Times New Roman" w:cs="Times New Roman"/>
                <w:sz w:val="20"/>
                <w:szCs w:val="20"/>
              </w:rPr>
              <w:t xml:space="preserve"> </w:t>
            </w:r>
          </w:p>
        </w:tc>
        <w:tc>
          <w:tcPr>
            <w:tcW w:w="1040" w:type="dxa"/>
            <w:shd w:val="clear" w:color="auto" w:fill="D9D2E9"/>
          </w:tcPr>
          <w:p w14:paraId="387F8846"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Medicine</w:t>
            </w:r>
            <w:r>
              <w:rPr>
                <w:rFonts w:ascii="Times New Roman" w:hAnsi="Times New Roman" w:cs="Times New Roman"/>
                <w:sz w:val="20"/>
                <w:szCs w:val="20"/>
              </w:rPr>
              <w:t xml:space="preserve"> </w:t>
            </w:r>
          </w:p>
        </w:tc>
        <w:tc>
          <w:tcPr>
            <w:tcW w:w="695" w:type="dxa"/>
            <w:shd w:val="clear" w:color="auto" w:fill="D9D2E9"/>
          </w:tcPr>
          <w:p w14:paraId="0F9BAA84"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Food</w:t>
            </w:r>
            <w:r>
              <w:rPr>
                <w:rFonts w:ascii="Times New Roman" w:hAnsi="Times New Roman" w:cs="Times New Roman"/>
                <w:sz w:val="20"/>
                <w:szCs w:val="20"/>
              </w:rPr>
              <w:t xml:space="preserve"> </w:t>
            </w:r>
          </w:p>
        </w:tc>
        <w:tc>
          <w:tcPr>
            <w:tcW w:w="1362" w:type="dxa"/>
            <w:shd w:val="clear" w:color="auto" w:fill="D9D2E9"/>
          </w:tcPr>
          <w:p w14:paraId="61E94F8F"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Construction</w:t>
            </w:r>
            <w:r>
              <w:rPr>
                <w:rFonts w:ascii="Times New Roman" w:hAnsi="Times New Roman" w:cs="Times New Roman"/>
                <w:sz w:val="20"/>
                <w:szCs w:val="20"/>
              </w:rPr>
              <w:t xml:space="preserve"> </w:t>
            </w:r>
          </w:p>
        </w:tc>
        <w:tc>
          <w:tcPr>
            <w:tcW w:w="1207" w:type="dxa"/>
            <w:shd w:val="clear" w:color="auto" w:fill="D9D2E9"/>
          </w:tcPr>
          <w:p w14:paraId="4E9E1756"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Decoration</w:t>
            </w:r>
            <w:r>
              <w:rPr>
                <w:rFonts w:ascii="Times New Roman" w:hAnsi="Times New Roman" w:cs="Times New Roman"/>
                <w:sz w:val="20"/>
                <w:szCs w:val="20"/>
              </w:rPr>
              <w:t xml:space="preserve"> </w:t>
            </w:r>
          </w:p>
        </w:tc>
        <w:tc>
          <w:tcPr>
            <w:tcW w:w="629" w:type="dxa"/>
            <w:shd w:val="clear" w:color="auto" w:fill="D9D2E9"/>
          </w:tcPr>
          <w:p w14:paraId="21F217C9"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Fuel</w:t>
            </w:r>
            <w:r>
              <w:rPr>
                <w:rFonts w:ascii="Times New Roman" w:hAnsi="Times New Roman" w:cs="Times New Roman"/>
                <w:sz w:val="20"/>
                <w:szCs w:val="20"/>
              </w:rPr>
              <w:t xml:space="preserve"> </w:t>
            </w:r>
          </w:p>
        </w:tc>
      </w:tr>
      <w:tr w:rsidR="00A573B0" w14:paraId="17C35AA6" w14:textId="77777777" w:rsidTr="00AE1810">
        <w:trPr>
          <w:trHeight w:hRule="exact" w:val="340"/>
        </w:trPr>
        <w:tc>
          <w:tcPr>
            <w:tcW w:w="1284" w:type="dxa"/>
          </w:tcPr>
          <w:p w14:paraId="60424ECC" w14:textId="77777777" w:rsidR="00A573B0" w:rsidRDefault="00A573B0" w:rsidP="00AE1810">
            <w:pPr>
              <w:spacing w:before="114"/>
              <w:ind w:left="200" w:right="-18"/>
              <w:rPr>
                <w:rFonts w:ascii="Times New Roman" w:hAnsi="Times New Roman" w:cs="Times New Roman"/>
                <w:color w:val="010302"/>
              </w:rPr>
            </w:pPr>
            <w:r>
              <w:rPr>
                <w:rFonts w:ascii="Arial" w:hAnsi="Arial" w:cs="Arial"/>
                <w:color w:val="000000"/>
                <w:sz w:val="20"/>
                <w:szCs w:val="20"/>
              </w:rPr>
              <w:t>Medicinal</w:t>
            </w:r>
            <w:r>
              <w:rPr>
                <w:rFonts w:ascii="Times New Roman" w:hAnsi="Times New Roman" w:cs="Times New Roman"/>
                <w:sz w:val="20"/>
                <w:szCs w:val="20"/>
              </w:rPr>
              <w:t xml:space="preserve"> </w:t>
            </w:r>
          </w:p>
        </w:tc>
        <w:tc>
          <w:tcPr>
            <w:tcW w:w="1040" w:type="dxa"/>
          </w:tcPr>
          <w:p w14:paraId="6AD5DB32" w14:textId="77777777" w:rsidR="00A573B0" w:rsidRDefault="00A573B0" w:rsidP="00AE1810">
            <w:pPr>
              <w:spacing w:before="114"/>
              <w:ind w:left="354" w:right="-18"/>
              <w:rPr>
                <w:rFonts w:ascii="Times New Roman" w:hAnsi="Times New Roman" w:cs="Times New Roman"/>
                <w:color w:val="010302"/>
              </w:rPr>
            </w:pPr>
            <w:r>
              <w:rPr>
                <w:rFonts w:ascii="Arial" w:hAnsi="Arial" w:cs="Arial"/>
                <w:color w:val="000000"/>
                <w:sz w:val="20"/>
                <w:szCs w:val="20"/>
              </w:rPr>
              <w:t>800</w:t>
            </w:r>
            <w:r>
              <w:rPr>
                <w:rFonts w:ascii="Times New Roman" w:hAnsi="Times New Roman" w:cs="Times New Roman"/>
                <w:sz w:val="20"/>
                <w:szCs w:val="20"/>
              </w:rPr>
              <w:t xml:space="preserve"> </w:t>
            </w:r>
          </w:p>
        </w:tc>
        <w:tc>
          <w:tcPr>
            <w:tcW w:w="695" w:type="dxa"/>
          </w:tcPr>
          <w:p w14:paraId="29470D5E" w14:textId="77777777" w:rsidR="00A573B0" w:rsidRDefault="00A573B0" w:rsidP="00AE1810">
            <w:pPr>
              <w:spacing w:before="114"/>
              <w:ind w:left="236" w:right="-18"/>
              <w:rPr>
                <w:rFonts w:ascii="Times New Roman" w:hAnsi="Times New Roman" w:cs="Times New Roman"/>
                <w:color w:val="010302"/>
              </w:rPr>
            </w:pPr>
            <w:r>
              <w:rPr>
                <w:rFonts w:ascii="Arial" w:hAnsi="Arial" w:cs="Arial"/>
                <w:color w:val="000000"/>
                <w:sz w:val="20"/>
                <w:szCs w:val="20"/>
              </w:rPr>
              <w:t>10</w:t>
            </w:r>
            <w:r>
              <w:rPr>
                <w:rFonts w:ascii="Times New Roman" w:hAnsi="Times New Roman" w:cs="Times New Roman"/>
                <w:sz w:val="20"/>
                <w:szCs w:val="20"/>
              </w:rPr>
              <w:t xml:space="preserve"> </w:t>
            </w:r>
          </w:p>
        </w:tc>
        <w:tc>
          <w:tcPr>
            <w:tcW w:w="1362" w:type="dxa"/>
          </w:tcPr>
          <w:p w14:paraId="25D8A0E6" w14:textId="77777777" w:rsidR="00A573B0" w:rsidRDefault="00A573B0" w:rsidP="00AE1810">
            <w:pPr>
              <w:spacing w:before="114"/>
              <w:ind w:left="626" w:right="-18"/>
              <w:rPr>
                <w:rFonts w:ascii="Times New Roman" w:hAnsi="Times New Roman" w:cs="Times New Roman"/>
                <w:color w:val="010302"/>
              </w:rPr>
            </w:pPr>
            <w:r>
              <w:rPr>
                <w:rFonts w:ascii="Arial" w:hAnsi="Arial" w:cs="Arial"/>
                <w:color w:val="000000"/>
                <w:sz w:val="20"/>
                <w:szCs w:val="20"/>
              </w:rPr>
              <w:t>5</w:t>
            </w:r>
            <w:r>
              <w:rPr>
                <w:rFonts w:ascii="Times New Roman" w:hAnsi="Times New Roman" w:cs="Times New Roman"/>
                <w:sz w:val="20"/>
                <w:szCs w:val="20"/>
              </w:rPr>
              <w:t xml:space="preserve"> </w:t>
            </w:r>
          </w:p>
        </w:tc>
        <w:tc>
          <w:tcPr>
            <w:tcW w:w="1207" w:type="dxa"/>
          </w:tcPr>
          <w:p w14:paraId="02A1518E" w14:textId="77777777" w:rsidR="00A573B0" w:rsidRDefault="00A573B0" w:rsidP="00AE1810">
            <w:pPr>
              <w:spacing w:before="114"/>
              <w:ind w:left="548" w:right="-18"/>
              <w:rPr>
                <w:rFonts w:ascii="Times New Roman" w:hAnsi="Times New Roman" w:cs="Times New Roman"/>
                <w:color w:val="010302"/>
              </w:rPr>
            </w:pPr>
            <w:r>
              <w:rPr>
                <w:rFonts w:ascii="Arial" w:hAnsi="Arial" w:cs="Arial"/>
                <w:color w:val="000000"/>
                <w:sz w:val="20"/>
                <w:szCs w:val="20"/>
              </w:rPr>
              <w:t>3</w:t>
            </w:r>
            <w:r>
              <w:rPr>
                <w:rFonts w:ascii="Times New Roman" w:hAnsi="Times New Roman" w:cs="Times New Roman"/>
                <w:sz w:val="20"/>
                <w:szCs w:val="20"/>
              </w:rPr>
              <w:t xml:space="preserve"> </w:t>
            </w:r>
          </w:p>
        </w:tc>
        <w:tc>
          <w:tcPr>
            <w:tcW w:w="629" w:type="dxa"/>
          </w:tcPr>
          <w:p w14:paraId="01C25855" w14:textId="77777777" w:rsidR="00A573B0" w:rsidRDefault="00A573B0" w:rsidP="00AE1810">
            <w:pPr>
              <w:spacing w:before="114"/>
              <w:ind w:left="259" w:right="-18"/>
              <w:rPr>
                <w:rFonts w:ascii="Times New Roman" w:hAnsi="Times New Roman" w:cs="Times New Roman"/>
                <w:color w:val="010302"/>
              </w:rPr>
            </w:pPr>
            <w:r>
              <w:rPr>
                <w:rFonts w:ascii="Arial" w:hAnsi="Arial" w:cs="Arial"/>
                <w:color w:val="000000"/>
                <w:sz w:val="20"/>
                <w:szCs w:val="20"/>
              </w:rPr>
              <w:t>2</w:t>
            </w:r>
            <w:r>
              <w:rPr>
                <w:rFonts w:ascii="Times New Roman" w:hAnsi="Times New Roman" w:cs="Times New Roman"/>
                <w:sz w:val="20"/>
                <w:szCs w:val="20"/>
              </w:rPr>
              <w:t xml:space="preserve"> </w:t>
            </w:r>
          </w:p>
        </w:tc>
      </w:tr>
      <w:tr w:rsidR="00A573B0" w14:paraId="378686B1" w14:textId="77777777" w:rsidTr="00AE1810">
        <w:trPr>
          <w:trHeight w:hRule="exact" w:val="340"/>
        </w:trPr>
        <w:tc>
          <w:tcPr>
            <w:tcW w:w="1284" w:type="dxa"/>
          </w:tcPr>
          <w:p w14:paraId="3C794B65" w14:textId="77777777" w:rsidR="00A573B0" w:rsidRDefault="00A573B0" w:rsidP="00AE1810">
            <w:pPr>
              <w:spacing w:before="114"/>
              <w:ind w:left="20" w:right="-18"/>
              <w:jc w:val="right"/>
              <w:rPr>
                <w:rFonts w:ascii="Times New Roman" w:hAnsi="Times New Roman" w:cs="Times New Roman"/>
                <w:color w:val="010302"/>
              </w:rPr>
            </w:pPr>
            <w:r>
              <w:rPr>
                <w:rFonts w:ascii="Arial" w:hAnsi="Arial" w:cs="Arial"/>
                <w:color w:val="000000"/>
                <w:sz w:val="20"/>
                <w:szCs w:val="20"/>
              </w:rPr>
              <w:t>Ornamental</w:t>
            </w:r>
            <w:r>
              <w:rPr>
                <w:rFonts w:ascii="Times New Roman" w:hAnsi="Times New Roman" w:cs="Times New Roman"/>
                <w:sz w:val="20"/>
                <w:szCs w:val="20"/>
              </w:rPr>
              <w:t xml:space="preserve"> </w:t>
            </w:r>
          </w:p>
        </w:tc>
        <w:tc>
          <w:tcPr>
            <w:tcW w:w="1040" w:type="dxa"/>
          </w:tcPr>
          <w:p w14:paraId="144E43A5" w14:textId="77777777" w:rsidR="00A573B0" w:rsidRDefault="00A573B0" w:rsidP="00AE1810">
            <w:pPr>
              <w:spacing w:before="114"/>
              <w:ind w:left="329" w:right="-18"/>
              <w:jc w:val="right"/>
              <w:rPr>
                <w:rFonts w:ascii="Times New Roman" w:hAnsi="Times New Roman" w:cs="Times New Roman"/>
                <w:color w:val="010302"/>
              </w:rPr>
            </w:pPr>
            <w:r>
              <w:rPr>
                <w:rFonts w:ascii="Arial" w:hAnsi="Arial" w:cs="Arial"/>
                <w:color w:val="000000"/>
                <w:sz w:val="20"/>
                <w:szCs w:val="20"/>
              </w:rPr>
              <w:t>20</w:t>
            </w:r>
            <w:r>
              <w:rPr>
                <w:rFonts w:ascii="Times New Roman" w:hAnsi="Times New Roman" w:cs="Times New Roman"/>
                <w:sz w:val="20"/>
                <w:szCs w:val="20"/>
              </w:rPr>
              <w:t xml:space="preserve"> </w:t>
            </w:r>
          </w:p>
        </w:tc>
        <w:tc>
          <w:tcPr>
            <w:tcW w:w="695" w:type="dxa"/>
          </w:tcPr>
          <w:p w14:paraId="1985CC10" w14:textId="77777777" w:rsidR="00A573B0" w:rsidRDefault="00A573B0" w:rsidP="00AE1810">
            <w:pPr>
              <w:spacing w:before="114"/>
              <w:ind w:left="156" w:right="-18"/>
              <w:jc w:val="right"/>
              <w:rPr>
                <w:rFonts w:ascii="Times New Roman" w:hAnsi="Times New Roman" w:cs="Times New Roman"/>
                <w:color w:val="010302"/>
              </w:rPr>
            </w:pPr>
            <w:r>
              <w:rPr>
                <w:rFonts w:ascii="Arial" w:hAnsi="Arial" w:cs="Arial"/>
                <w:color w:val="000000"/>
                <w:sz w:val="20"/>
                <w:szCs w:val="20"/>
              </w:rPr>
              <w:t>15</w:t>
            </w:r>
            <w:r>
              <w:rPr>
                <w:rFonts w:ascii="Times New Roman" w:hAnsi="Times New Roman" w:cs="Times New Roman"/>
                <w:sz w:val="20"/>
                <w:szCs w:val="20"/>
              </w:rPr>
              <w:t xml:space="preserve"> </w:t>
            </w:r>
          </w:p>
        </w:tc>
        <w:tc>
          <w:tcPr>
            <w:tcW w:w="1362" w:type="dxa"/>
          </w:tcPr>
          <w:p w14:paraId="3CF2415A" w14:textId="77777777" w:rsidR="00A573B0" w:rsidRDefault="00A573B0" w:rsidP="00AE1810">
            <w:pPr>
              <w:spacing w:before="114"/>
              <w:ind w:left="490" w:right="-18"/>
              <w:jc w:val="right"/>
              <w:rPr>
                <w:rFonts w:ascii="Times New Roman" w:hAnsi="Times New Roman" w:cs="Times New Roman"/>
                <w:color w:val="010302"/>
              </w:rPr>
            </w:pPr>
            <w:r>
              <w:rPr>
                <w:rFonts w:ascii="Arial" w:hAnsi="Arial" w:cs="Arial"/>
                <w:color w:val="000000"/>
                <w:sz w:val="20"/>
                <w:szCs w:val="20"/>
              </w:rPr>
              <w:t>40</w:t>
            </w:r>
            <w:r>
              <w:rPr>
                <w:rFonts w:ascii="Times New Roman" w:hAnsi="Times New Roman" w:cs="Times New Roman"/>
                <w:sz w:val="20"/>
                <w:szCs w:val="20"/>
              </w:rPr>
              <w:t xml:space="preserve"> </w:t>
            </w:r>
          </w:p>
        </w:tc>
        <w:tc>
          <w:tcPr>
            <w:tcW w:w="1207" w:type="dxa"/>
          </w:tcPr>
          <w:p w14:paraId="34C1F4BC" w14:textId="77777777" w:rsidR="00A573B0" w:rsidRDefault="00A573B0" w:rsidP="00AE1810">
            <w:pPr>
              <w:spacing w:before="114"/>
              <w:ind w:left="357" w:right="-18"/>
              <w:jc w:val="right"/>
              <w:rPr>
                <w:rFonts w:ascii="Times New Roman" w:hAnsi="Times New Roman" w:cs="Times New Roman"/>
                <w:color w:val="010302"/>
              </w:rPr>
            </w:pPr>
            <w:r>
              <w:rPr>
                <w:rFonts w:ascii="Arial" w:hAnsi="Arial" w:cs="Arial"/>
                <w:color w:val="000000"/>
                <w:sz w:val="20"/>
                <w:szCs w:val="20"/>
              </w:rPr>
              <w:t>600</w:t>
            </w:r>
            <w:r>
              <w:rPr>
                <w:rFonts w:ascii="Times New Roman" w:hAnsi="Times New Roman" w:cs="Times New Roman"/>
                <w:sz w:val="20"/>
                <w:szCs w:val="20"/>
              </w:rPr>
              <w:t xml:space="preserve"> </w:t>
            </w:r>
          </w:p>
        </w:tc>
        <w:tc>
          <w:tcPr>
            <w:tcW w:w="629" w:type="dxa"/>
          </w:tcPr>
          <w:p w14:paraId="0FD69E60" w14:textId="77777777" w:rsidR="00A573B0" w:rsidRDefault="00A573B0" w:rsidP="00AE1810">
            <w:pPr>
              <w:spacing w:before="114"/>
              <w:ind w:left="123" w:right="184"/>
              <w:jc w:val="right"/>
              <w:rPr>
                <w:rFonts w:ascii="Times New Roman" w:hAnsi="Times New Roman" w:cs="Times New Roman"/>
                <w:color w:val="010302"/>
              </w:rPr>
            </w:pPr>
            <w:r>
              <w:rPr>
                <w:rFonts w:ascii="Arial" w:hAnsi="Arial" w:cs="Arial"/>
                <w:color w:val="000000"/>
                <w:sz w:val="20"/>
                <w:szCs w:val="20"/>
              </w:rPr>
              <w:t>15</w:t>
            </w:r>
            <w:r>
              <w:rPr>
                <w:rFonts w:ascii="Times New Roman" w:hAnsi="Times New Roman" w:cs="Times New Roman"/>
                <w:sz w:val="20"/>
                <w:szCs w:val="20"/>
              </w:rPr>
              <w:t xml:space="preserve"> </w:t>
            </w:r>
          </w:p>
        </w:tc>
      </w:tr>
      <w:tr w:rsidR="00A573B0" w14:paraId="6411C811" w14:textId="77777777" w:rsidTr="00AE1810">
        <w:trPr>
          <w:trHeight w:hRule="exact" w:val="340"/>
        </w:trPr>
        <w:tc>
          <w:tcPr>
            <w:tcW w:w="1284" w:type="dxa"/>
          </w:tcPr>
          <w:p w14:paraId="3EEA0885" w14:textId="77777777" w:rsidR="00A573B0" w:rsidRDefault="00A573B0" w:rsidP="00AE1810">
            <w:pPr>
              <w:spacing w:before="114"/>
              <w:ind w:left="231" w:right="-18"/>
              <w:jc w:val="right"/>
              <w:rPr>
                <w:rFonts w:ascii="Times New Roman" w:hAnsi="Times New Roman" w:cs="Times New Roman"/>
                <w:color w:val="010302"/>
              </w:rPr>
            </w:pPr>
            <w:r>
              <w:rPr>
                <w:rFonts w:ascii="Arial" w:hAnsi="Arial" w:cs="Arial"/>
                <w:color w:val="000000"/>
                <w:sz w:val="20"/>
                <w:szCs w:val="20"/>
              </w:rPr>
              <w:t>Timber</w:t>
            </w:r>
            <w:r>
              <w:rPr>
                <w:rFonts w:ascii="Times New Roman" w:hAnsi="Times New Roman" w:cs="Times New Roman"/>
                <w:sz w:val="20"/>
                <w:szCs w:val="20"/>
              </w:rPr>
              <w:t xml:space="preserve"> </w:t>
            </w:r>
          </w:p>
        </w:tc>
        <w:tc>
          <w:tcPr>
            <w:tcW w:w="1040" w:type="dxa"/>
          </w:tcPr>
          <w:p w14:paraId="3355B673" w14:textId="77777777" w:rsidR="00A573B0" w:rsidRDefault="00A573B0" w:rsidP="00AE1810">
            <w:pPr>
              <w:spacing w:before="114"/>
              <w:ind w:left="385" w:right="-18"/>
              <w:jc w:val="right"/>
              <w:rPr>
                <w:rFonts w:ascii="Times New Roman" w:hAnsi="Times New Roman" w:cs="Times New Roman"/>
                <w:color w:val="010302"/>
              </w:rPr>
            </w:pPr>
            <w:r>
              <w:rPr>
                <w:rFonts w:ascii="Arial" w:hAnsi="Arial" w:cs="Arial"/>
                <w:color w:val="000000"/>
                <w:sz w:val="20"/>
                <w:szCs w:val="20"/>
              </w:rPr>
              <w:t>5</w:t>
            </w:r>
            <w:r>
              <w:rPr>
                <w:rFonts w:ascii="Times New Roman" w:hAnsi="Times New Roman" w:cs="Times New Roman"/>
                <w:sz w:val="20"/>
                <w:szCs w:val="20"/>
              </w:rPr>
              <w:t xml:space="preserve"> </w:t>
            </w:r>
          </w:p>
        </w:tc>
        <w:tc>
          <w:tcPr>
            <w:tcW w:w="695" w:type="dxa"/>
          </w:tcPr>
          <w:p w14:paraId="7A453556" w14:textId="77777777" w:rsidR="00A573B0" w:rsidRDefault="00A573B0" w:rsidP="00AE1810">
            <w:pPr>
              <w:spacing w:before="114"/>
              <w:ind w:left="156" w:right="-18"/>
              <w:jc w:val="right"/>
              <w:rPr>
                <w:rFonts w:ascii="Times New Roman" w:hAnsi="Times New Roman" w:cs="Times New Roman"/>
                <w:color w:val="010302"/>
              </w:rPr>
            </w:pPr>
            <w:r>
              <w:rPr>
                <w:rFonts w:ascii="Arial" w:hAnsi="Arial" w:cs="Arial"/>
                <w:color w:val="000000"/>
                <w:sz w:val="20"/>
                <w:szCs w:val="20"/>
              </w:rPr>
              <w:t>20</w:t>
            </w:r>
            <w:r>
              <w:rPr>
                <w:rFonts w:ascii="Times New Roman" w:hAnsi="Times New Roman" w:cs="Times New Roman"/>
                <w:sz w:val="20"/>
                <w:szCs w:val="20"/>
              </w:rPr>
              <w:t xml:space="preserve"> </w:t>
            </w:r>
          </w:p>
        </w:tc>
        <w:tc>
          <w:tcPr>
            <w:tcW w:w="1362" w:type="dxa"/>
          </w:tcPr>
          <w:p w14:paraId="4C1C2318" w14:textId="77777777" w:rsidR="00A573B0" w:rsidRDefault="00A573B0" w:rsidP="00AE1810">
            <w:pPr>
              <w:spacing w:before="114"/>
              <w:ind w:left="435" w:right="-18"/>
              <w:jc w:val="right"/>
              <w:rPr>
                <w:rFonts w:ascii="Times New Roman" w:hAnsi="Times New Roman" w:cs="Times New Roman"/>
                <w:color w:val="010302"/>
              </w:rPr>
            </w:pPr>
            <w:r>
              <w:rPr>
                <w:rFonts w:ascii="Arial" w:hAnsi="Arial" w:cs="Arial"/>
                <w:color w:val="000000"/>
                <w:sz w:val="20"/>
                <w:szCs w:val="20"/>
              </w:rPr>
              <w:t>480</w:t>
            </w:r>
            <w:r>
              <w:rPr>
                <w:rFonts w:ascii="Times New Roman" w:hAnsi="Times New Roman" w:cs="Times New Roman"/>
                <w:sz w:val="20"/>
                <w:szCs w:val="20"/>
              </w:rPr>
              <w:t xml:space="preserve"> </w:t>
            </w:r>
          </w:p>
        </w:tc>
        <w:tc>
          <w:tcPr>
            <w:tcW w:w="1207" w:type="dxa"/>
          </w:tcPr>
          <w:p w14:paraId="6E7B3D7C" w14:textId="77777777" w:rsidR="00A573B0" w:rsidRDefault="00A573B0" w:rsidP="00AE1810">
            <w:pPr>
              <w:spacing w:before="114"/>
              <w:ind w:left="412" w:right="-18"/>
              <w:jc w:val="right"/>
              <w:rPr>
                <w:rFonts w:ascii="Times New Roman" w:hAnsi="Times New Roman" w:cs="Times New Roman"/>
                <w:color w:val="010302"/>
              </w:rPr>
            </w:pPr>
            <w:r>
              <w:rPr>
                <w:rFonts w:ascii="Arial" w:hAnsi="Arial" w:cs="Arial"/>
                <w:color w:val="000000"/>
                <w:sz w:val="20"/>
                <w:szCs w:val="20"/>
              </w:rPr>
              <w:t>10</w:t>
            </w:r>
            <w:r>
              <w:rPr>
                <w:rFonts w:ascii="Times New Roman" w:hAnsi="Times New Roman" w:cs="Times New Roman"/>
                <w:sz w:val="20"/>
                <w:szCs w:val="20"/>
              </w:rPr>
              <w:t xml:space="preserve"> </w:t>
            </w:r>
          </w:p>
        </w:tc>
        <w:tc>
          <w:tcPr>
            <w:tcW w:w="629" w:type="dxa"/>
          </w:tcPr>
          <w:p w14:paraId="08F2C239" w14:textId="77777777" w:rsidR="00A573B0" w:rsidRDefault="00A573B0" w:rsidP="00AE1810">
            <w:pPr>
              <w:spacing w:before="114"/>
              <w:ind w:left="123" w:right="184"/>
              <w:jc w:val="right"/>
              <w:rPr>
                <w:rFonts w:ascii="Times New Roman" w:hAnsi="Times New Roman" w:cs="Times New Roman"/>
                <w:color w:val="010302"/>
              </w:rPr>
            </w:pPr>
            <w:r>
              <w:rPr>
                <w:rFonts w:ascii="Arial" w:hAnsi="Arial" w:cs="Arial"/>
                <w:color w:val="000000"/>
                <w:sz w:val="20"/>
                <w:szCs w:val="20"/>
              </w:rPr>
              <w:t>15</w:t>
            </w:r>
            <w:r>
              <w:rPr>
                <w:rFonts w:ascii="Times New Roman" w:hAnsi="Times New Roman" w:cs="Times New Roman"/>
                <w:sz w:val="20"/>
                <w:szCs w:val="20"/>
              </w:rPr>
              <w:t xml:space="preserve"> </w:t>
            </w:r>
          </w:p>
        </w:tc>
      </w:tr>
      <w:tr w:rsidR="00A573B0" w14:paraId="4EBBBDB3" w14:textId="77777777" w:rsidTr="00AE1810">
        <w:trPr>
          <w:trHeight w:hRule="exact" w:val="340"/>
        </w:trPr>
        <w:tc>
          <w:tcPr>
            <w:tcW w:w="1284" w:type="dxa"/>
          </w:tcPr>
          <w:p w14:paraId="19351955" w14:textId="77777777" w:rsidR="00A573B0" w:rsidRDefault="00A573B0" w:rsidP="00AE1810">
            <w:pPr>
              <w:spacing w:before="114"/>
              <w:ind w:left="422" w:right="-18"/>
              <w:rPr>
                <w:rFonts w:ascii="Times New Roman" w:hAnsi="Times New Roman" w:cs="Times New Roman"/>
                <w:color w:val="010302"/>
              </w:rPr>
            </w:pPr>
            <w:r>
              <w:rPr>
                <w:rFonts w:ascii="Arial" w:hAnsi="Arial" w:cs="Arial"/>
                <w:color w:val="000000"/>
                <w:sz w:val="20"/>
                <w:szCs w:val="20"/>
              </w:rPr>
              <w:t>Fruit</w:t>
            </w:r>
            <w:r>
              <w:rPr>
                <w:rFonts w:ascii="Times New Roman" w:hAnsi="Times New Roman" w:cs="Times New Roman"/>
                <w:sz w:val="20"/>
                <w:szCs w:val="20"/>
              </w:rPr>
              <w:t xml:space="preserve"> </w:t>
            </w:r>
          </w:p>
        </w:tc>
        <w:tc>
          <w:tcPr>
            <w:tcW w:w="1040" w:type="dxa"/>
          </w:tcPr>
          <w:p w14:paraId="25198D99" w14:textId="77777777" w:rsidR="00A573B0" w:rsidRDefault="00A573B0" w:rsidP="00AE1810">
            <w:pPr>
              <w:spacing w:before="114"/>
              <w:ind w:left="409" w:right="-18"/>
              <w:rPr>
                <w:rFonts w:ascii="Times New Roman" w:hAnsi="Times New Roman" w:cs="Times New Roman"/>
                <w:color w:val="010302"/>
              </w:rPr>
            </w:pPr>
            <w:r>
              <w:rPr>
                <w:rFonts w:ascii="Arial" w:hAnsi="Arial" w:cs="Arial"/>
                <w:color w:val="000000"/>
                <w:sz w:val="20"/>
                <w:szCs w:val="20"/>
              </w:rPr>
              <w:t>10</w:t>
            </w:r>
            <w:r>
              <w:rPr>
                <w:rFonts w:ascii="Times New Roman" w:hAnsi="Times New Roman" w:cs="Times New Roman"/>
                <w:sz w:val="20"/>
                <w:szCs w:val="20"/>
              </w:rPr>
              <w:t xml:space="preserve"> </w:t>
            </w:r>
          </w:p>
        </w:tc>
        <w:tc>
          <w:tcPr>
            <w:tcW w:w="695" w:type="dxa"/>
          </w:tcPr>
          <w:p w14:paraId="6059F781" w14:textId="77777777" w:rsidR="00A573B0" w:rsidRDefault="00A573B0" w:rsidP="00AE1810">
            <w:pPr>
              <w:spacing w:before="114"/>
              <w:ind w:left="181" w:right="-18"/>
              <w:rPr>
                <w:rFonts w:ascii="Times New Roman" w:hAnsi="Times New Roman" w:cs="Times New Roman"/>
                <w:color w:val="010302"/>
              </w:rPr>
            </w:pPr>
            <w:r>
              <w:rPr>
                <w:rFonts w:ascii="Arial" w:hAnsi="Arial" w:cs="Arial"/>
                <w:color w:val="000000"/>
                <w:sz w:val="20"/>
                <w:szCs w:val="20"/>
              </w:rPr>
              <w:t>450</w:t>
            </w:r>
            <w:r>
              <w:rPr>
                <w:rFonts w:ascii="Times New Roman" w:hAnsi="Times New Roman" w:cs="Times New Roman"/>
                <w:sz w:val="20"/>
                <w:szCs w:val="20"/>
              </w:rPr>
              <w:t xml:space="preserve"> </w:t>
            </w:r>
          </w:p>
        </w:tc>
        <w:tc>
          <w:tcPr>
            <w:tcW w:w="1362" w:type="dxa"/>
          </w:tcPr>
          <w:p w14:paraId="7678F04B" w14:textId="77777777" w:rsidR="00A573B0" w:rsidRDefault="00A573B0" w:rsidP="00AE1810">
            <w:pPr>
              <w:spacing w:before="114"/>
              <w:ind w:left="626" w:right="-18"/>
              <w:rPr>
                <w:rFonts w:ascii="Times New Roman" w:hAnsi="Times New Roman" w:cs="Times New Roman"/>
                <w:color w:val="010302"/>
              </w:rPr>
            </w:pPr>
            <w:r>
              <w:rPr>
                <w:rFonts w:ascii="Arial" w:hAnsi="Arial" w:cs="Arial"/>
                <w:color w:val="000000"/>
                <w:sz w:val="20"/>
                <w:szCs w:val="20"/>
              </w:rPr>
              <w:t>5</w:t>
            </w:r>
            <w:r>
              <w:rPr>
                <w:rFonts w:ascii="Times New Roman" w:hAnsi="Times New Roman" w:cs="Times New Roman"/>
                <w:sz w:val="20"/>
                <w:szCs w:val="20"/>
              </w:rPr>
              <w:t xml:space="preserve"> </w:t>
            </w:r>
          </w:p>
        </w:tc>
        <w:tc>
          <w:tcPr>
            <w:tcW w:w="1207" w:type="dxa"/>
          </w:tcPr>
          <w:p w14:paraId="18A764AF" w14:textId="77777777" w:rsidR="00A573B0" w:rsidRDefault="00A573B0" w:rsidP="00AE1810">
            <w:pPr>
              <w:spacing w:before="114"/>
              <w:ind w:left="492" w:right="-18"/>
              <w:rPr>
                <w:rFonts w:ascii="Times New Roman" w:hAnsi="Times New Roman" w:cs="Times New Roman"/>
                <w:color w:val="010302"/>
              </w:rPr>
            </w:pPr>
            <w:r>
              <w:rPr>
                <w:rFonts w:ascii="Arial" w:hAnsi="Arial" w:cs="Arial"/>
                <w:color w:val="000000"/>
                <w:sz w:val="20"/>
                <w:szCs w:val="20"/>
              </w:rPr>
              <w:t>10</w:t>
            </w:r>
            <w:r>
              <w:rPr>
                <w:rFonts w:ascii="Times New Roman" w:hAnsi="Times New Roman" w:cs="Times New Roman"/>
                <w:sz w:val="20"/>
                <w:szCs w:val="20"/>
              </w:rPr>
              <w:t xml:space="preserve"> </w:t>
            </w:r>
          </w:p>
        </w:tc>
        <w:tc>
          <w:tcPr>
            <w:tcW w:w="629" w:type="dxa"/>
          </w:tcPr>
          <w:p w14:paraId="68CE55BA" w14:textId="77777777" w:rsidR="00A573B0" w:rsidRDefault="00A573B0" w:rsidP="00AE1810">
            <w:pPr>
              <w:spacing w:before="114"/>
              <w:ind w:left="259"/>
              <w:rPr>
                <w:rFonts w:ascii="Times New Roman" w:hAnsi="Times New Roman" w:cs="Times New Roman"/>
                <w:color w:val="010302"/>
              </w:rPr>
            </w:pPr>
            <w:r>
              <w:rPr>
                <w:rFonts w:ascii="Arial" w:hAnsi="Arial" w:cs="Arial"/>
                <w:color w:val="000000"/>
                <w:sz w:val="20"/>
                <w:szCs w:val="20"/>
              </w:rPr>
              <w:t>5</w:t>
            </w:r>
            <w:r>
              <w:rPr>
                <w:rFonts w:ascii="Times New Roman" w:hAnsi="Times New Roman" w:cs="Times New Roman"/>
                <w:sz w:val="20"/>
                <w:szCs w:val="20"/>
              </w:rPr>
              <w:t xml:space="preserve"> </w:t>
            </w:r>
          </w:p>
        </w:tc>
      </w:tr>
      <w:tr w:rsidR="00A573B0" w14:paraId="535445AC" w14:textId="77777777" w:rsidTr="00AE1810">
        <w:trPr>
          <w:trHeight w:hRule="exact" w:val="340"/>
        </w:trPr>
        <w:tc>
          <w:tcPr>
            <w:tcW w:w="1284" w:type="dxa"/>
          </w:tcPr>
          <w:p w14:paraId="136962E8" w14:textId="77777777" w:rsidR="00A573B0" w:rsidRDefault="00A573B0" w:rsidP="00AE1810">
            <w:pPr>
              <w:spacing w:before="114"/>
              <w:ind w:left="355" w:right="-18"/>
              <w:rPr>
                <w:rFonts w:ascii="Times New Roman" w:hAnsi="Times New Roman" w:cs="Times New Roman"/>
                <w:color w:val="010302"/>
              </w:rPr>
            </w:pPr>
            <w:r>
              <w:rPr>
                <w:rFonts w:ascii="Arial" w:hAnsi="Arial" w:cs="Arial"/>
                <w:color w:val="000000"/>
                <w:sz w:val="20"/>
                <w:szCs w:val="20"/>
              </w:rPr>
              <w:t>Shrub</w:t>
            </w:r>
            <w:r>
              <w:rPr>
                <w:rFonts w:ascii="Times New Roman" w:hAnsi="Times New Roman" w:cs="Times New Roman"/>
                <w:sz w:val="20"/>
                <w:szCs w:val="20"/>
              </w:rPr>
              <w:t xml:space="preserve"> </w:t>
            </w:r>
          </w:p>
        </w:tc>
        <w:tc>
          <w:tcPr>
            <w:tcW w:w="1040" w:type="dxa"/>
          </w:tcPr>
          <w:p w14:paraId="4D0420D1" w14:textId="77777777" w:rsidR="00A573B0" w:rsidRDefault="00A573B0" w:rsidP="00AE1810">
            <w:pPr>
              <w:spacing w:before="114"/>
              <w:ind w:left="354" w:right="-18"/>
              <w:rPr>
                <w:rFonts w:ascii="Times New Roman" w:hAnsi="Times New Roman" w:cs="Times New Roman"/>
                <w:color w:val="010302"/>
              </w:rPr>
            </w:pPr>
            <w:r>
              <w:rPr>
                <w:rFonts w:ascii="Arial" w:hAnsi="Arial" w:cs="Arial"/>
                <w:color w:val="000000"/>
                <w:sz w:val="20"/>
                <w:szCs w:val="20"/>
              </w:rPr>
              <w:t>200</w:t>
            </w:r>
            <w:r>
              <w:rPr>
                <w:rFonts w:ascii="Times New Roman" w:hAnsi="Times New Roman" w:cs="Times New Roman"/>
                <w:sz w:val="20"/>
                <w:szCs w:val="20"/>
              </w:rPr>
              <w:t xml:space="preserve"> </w:t>
            </w:r>
          </w:p>
        </w:tc>
        <w:tc>
          <w:tcPr>
            <w:tcW w:w="695" w:type="dxa"/>
          </w:tcPr>
          <w:p w14:paraId="326BD728" w14:textId="77777777" w:rsidR="00A573B0" w:rsidRDefault="00A573B0" w:rsidP="00AE1810">
            <w:pPr>
              <w:spacing w:before="114"/>
              <w:ind w:left="236" w:right="-18"/>
              <w:rPr>
                <w:rFonts w:ascii="Times New Roman" w:hAnsi="Times New Roman" w:cs="Times New Roman"/>
                <w:color w:val="010302"/>
              </w:rPr>
            </w:pPr>
            <w:r>
              <w:rPr>
                <w:rFonts w:ascii="Arial" w:hAnsi="Arial" w:cs="Arial"/>
                <w:color w:val="000000"/>
                <w:sz w:val="20"/>
                <w:szCs w:val="20"/>
              </w:rPr>
              <w:t>80</w:t>
            </w:r>
            <w:r>
              <w:rPr>
                <w:rFonts w:ascii="Times New Roman" w:hAnsi="Times New Roman" w:cs="Times New Roman"/>
                <w:sz w:val="20"/>
                <w:szCs w:val="20"/>
              </w:rPr>
              <w:t xml:space="preserve"> </w:t>
            </w:r>
          </w:p>
        </w:tc>
        <w:tc>
          <w:tcPr>
            <w:tcW w:w="1362" w:type="dxa"/>
          </w:tcPr>
          <w:p w14:paraId="6E29DC37" w14:textId="77777777" w:rsidR="00A573B0" w:rsidRDefault="00A573B0" w:rsidP="00AE1810">
            <w:pPr>
              <w:spacing w:before="114"/>
              <w:ind w:left="570" w:right="-18"/>
              <w:rPr>
                <w:rFonts w:ascii="Times New Roman" w:hAnsi="Times New Roman" w:cs="Times New Roman"/>
                <w:color w:val="010302"/>
              </w:rPr>
            </w:pPr>
            <w:r>
              <w:rPr>
                <w:rFonts w:ascii="Arial" w:hAnsi="Arial" w:cs="Arial"/>
                <w:color w:val="000000"/>
                <w:sz w:val="20"/>
                <w:szCs w:val="20"/>
              </w:rPr>
              <w:t>20</w:t>
            </w:r>
            <w:r>
              <w:rPr>
                <w:rFonts w:ascii="Times New Roman" w:hAnsi="Times New Roman" w:cs="Times New Roman"/>
                <w:sz w:val="20"/>
                <w:szCs w:val="20"/>
              </w:rPr>
              <w:t xml:space="preserve"> </w:t>
            </w:r>
          </w:p>
        </w:tc>
        <w:tc>
          <w:tcPr>
            <w:tcW w:w="1207" w:type="dxa"/>
          </w:tcPr>
          <w:p w14:paraId="56F21D25" w14:textId="77777777" w:rsidR="00A573B0" w:rsidRDefault="00A573B0" w:rsidP="00AE1810">
            <w:pPr>
              <w:spacing w:before="114"/>
              <w:ind w:left="437" w:right="-18"/>
              <w:rPr>
                <w:rFonts w:ascii="Times New Roman" w:hAnsi="Times New Roman" w:cs="Times New Roman"/>
                <w:color w:val="010302"/>
              </w:rPr>
            </w:pPr>
            <w:r>
              <w:rPr>
                <w:rFonts w:ascii="Arial" w:hAnsi="Arial" w:cs="Arial"/>
                <w:color w:val="000000"/>
                <w:sz w:val="20"/>
                <w:szCs w:val="20"/>
              </w:rPr>
              <w:t>100</w:t>
            </w:r>
            <w:r>
              <w:rPr>
                <w:rFonts w:ascii="Times New Roman" w:hAnsi="Times New Roman" w:cs="Times New Roman"/>
                <w:sz w:val="20"/>
                <w:szCs w:val="20"/>
              </w:rPr>
              <w:t xml:space="preserve"> </w:t>
            </w:r>
          </w:p>
        </w:tc>
        <w:tc>
          <w:tcPr>
            <w:tcW w:w="629" w:type="dxa"/>
          </w:tcPr>
          <w:p w14:paraId="2154F553" w14:textId="77777777" w:rsidR="00A573B0" w:rsidRDefault="00A573B0" w:rsidP="00AE1810">
            <w:pPr>
              <w:spacing w:before="114"/>
              <w:ind w:left="203"/>
              <w:rPr>
                <w:rFonts w:ascii="Times New Roman" w:hAnsi="Times New Roman" w:cs="Times New Roman"/>
                <w:color w:val="010302"/>
              </w:rPr>
            </w:pPr>
            <w:r>
              <w:rPr>
                <w:rFonts w:ascii="Arial" w:hAnsi="Arial" w:cs="Arial"/>
                <w:color w:val="000000"/>
                <w:sz w:val="20"/>
                <w:szCs w:val="20"/>
              </w:rPr>
              <w:t>60</w:t>
            </w:r>
            <w:r>
              <w:rPr>
                <w:rFonts w:ascii="Times New Roman" w:hAnsi="Times New Roman" w:cs="Times New Roman"/>
                <w:sz w:val="20"/>
                <w:szCs w:val="20"/>
              </w:rPr>
              <w:t xml:space="preserve"> </w:t>
            </w:r>
          </w:p>
        </w:tc>
      </w:tr>
    </w:tbl>
    <w:p w14:paraId="6301AD20" w14:textId="77777777" w:rsidR="00A573B0" w:rsidRDefault="00A573B0" w:rsidP="00A573B0">
      <w:pPr>
        <w:rPr>
          <w:rFonts w:ascii="Times New Roman" w:hAnsi="Times New Roman"/>
          <w:color w:val="000000" w:themeColor="text1"/>
          <w:sz w:val="24"/>
          <w:szCs w:val="24"/>
        </w:rPr>
      </w:pPr>
    </w:p>
    <w:p w14:paraId="525B9611" w14:textId="77777777" w:rsidR="00A573B0" w:rsidRDefault="00A573B0" w:rsidP="00A573B0">
      <w:pPr>
        <w:rPr>
          <w:rFonts w:ascii="Times New Roman" w:hAnsi="Times New Roman"/>
          <w:color w:val="000000" w:themeColor="text1"/>
          <w:sz w:val="24"/>
          <w:szCs w:val="24"/>
        </w:rPr>
      </w:pPr>
    </w:p>
    <w:p w14:paraId="1E98E42B" w14:textId="77777777" w:rsidR="00A573B0" w:rsidRDefault="00A573B0" w:rsidP="00A573B0">
      <w:pPr>
        <w:rPr>
          <w:rFonts w:ascii="Times New Roman" w:hAnsi="Times New Roman"/>
          <w:color w:val="000000" w:themeColor="text1"/>
          <w:sz w:val="24"/>
          <w:szCs w:val="24"/>
        </w:rPr>
      </w:pPr>
    </w:p>
    <w:p w14:paraId="6A75FEDD" w14:textId="77777777" w:rsidR="00A573B0" w:rsidRDefault="00A573B0" w:rsidP="00A573B0">
      <w:pPr>
        <w:rPr>
          <w:rFonts w:ascii="Times New Roman" w:hAnsi="Times New Roman"/>
          <w:color w:val="000000" w:themeColor="text1"/>
          <w:sz w:val="24"/>
          <w:szCs w:val="24"/>
        </w:rPr>
      </w:pPr>
    </w:p>
    <w:p w14:paraId="4BBF5BCC" w14:textId="77777777" w:rsidR="00A573B0" w:rsidRDefault="00A573B0" w:rsidP="00A573B0">
      <w:pPr>
        <w:rPr>
          <w:rFonts w:ascii="Times New Roman" w:hAnsi="Times New Roman"/>
          <w:color w:val="000000" w:themeColor="text1"/>
          <w:sz w:val="24"/>
          <w:szCs w:val="24"/>
        </w:rPr>
      </w:pPr>
    </w:p>
    <w:p w14:paraId="07317016" w14:textId="77777777" w:rsidR="00A573B0" w:rsidRDefault="00A573B0" w:rsidP="00A573B0">
      <w:pPr>
        <w:spacing w:after="228"/>
        <w:rPr>
          <w:rFonts w:ascii="Times New Roman" w:hAnsi="Times New Roman"/>
          <w:color w:val="000000" w:themeColor="text1"/>
          <w:sz w:val="24"/>
          <w:szCs w:val="24"/>
        </w:rPr>
      </w:pPr>
    </w:p>
    <w:p w14:paraId="7E420CF1" w14:textId="56FB6117" w:rsidR="00A573B0" w:rsidRDefault="00A573B0" w:rsidP="00A573B0">
      <w:pPr>
        <w:spacing w:line="246" w:lineRule="exact"/>
        <w:ind w:firstLine="720"/>
        <w:rPr>
          <w:rFonts w:ascii="Times New Roman" w:hAnsi="Times New Roman" w:cs="Times New Roman"/>
          <w:color w:val="010302"/>
        </w:rPr>
      </w:pPr>
      <w:r>
        <w:rPr>
          <w:rFonts w:ascii="Times New Roman" w:hAnsi="Times New Roman"/>
          <w:color w:val="000000" w:themeColor="text1"/>
          <w:sz w:val="24"/>
          <w:szCs w:val="24"/>
        </w:rPr>
        <w:t xml:space="preserve">      </w:t>
      </w:r>
      <w:r>
        <w:rPr>
          <w:rFonts w:ascii="Arial" w:hAnsi="Arial" w:cs="Arial"/>
          <w:b/>
          <w:bCs/>
          <w:i/>
          <w:iCs/>
          <w:color w:val="000000"/>
          <w:sz w:val="24"/>
          <w:szCs w:val="24"/>
        </w:rPr>
        <w:t>Pivot 2: Category × Growing Conditions</w:t>
      </w:r>
      <w:r>
        <w:rPr>
          <w:rFonts w:ascii="Times New Roman" w:hAnsi="Times New Roman" w:cs="Times New Roman"/>
          <w:sz w:val="24"/>
          <w:szCs w:val="24"/>
        </w:rPr>
        <w:t xml:space="preserve"> </w:t>
      </w:r>
    </w:p>
    <w:p w14:paraId="46F77795" w14:textId="77777777" w:rsidR="00A573B0" w:rsidRDefault="00A573B0" w:rsidP="00A573B0">
      <w:pPr>
        <w:rPr>
          <w:rFonts w:ascii="Times New Roman" w:hAnsi="Times New Roman"/>
          <w:color w:val="000000" w:themeColor="text1"/>
          <w:sz w:val="24"/>
          <w:szCs w:val="24"/>
        </w:rPr>
      </w:pPr>
    </w:p>
    <w:tbl>
      <w:tblPr>
        <w:tblStyle w:val="TableGrid"/>
        <w:tblpPr w:vertAnchor="text" w:horzAnchor="page" w:tblpX="1560" w:tblpY="-270"/>
        <w:tblOverlap w:val="never"/>
        <w:tblW w:w="6177" w:type="dxa"/>
        <w:tblLayout w:type="fixed"/>
        <w:tblLook w:val="04A0" w:firstRow="1" w:lastRow="0" w:firstColumn="1" w:lastColumn="0" w:noHBand="0" w:noVBand="1"/>
      </w:tblPr>
      <w:tblGrid>
        <w:gridCol w:w="1280"/>
        <w:gridCol w:w="949"/>
        <w:gridCol w:w="1237"/>
        <w:gridCol w:w="1203"/>
        <w:gridCol w:w="593"/>
        <w:gridCol w:w="915"/>
      </w:tblGrid>
      <w:tr w:rsidR="00A573B0" w14:paraId="49B2A2C7" w14:textId="77777777" w:rsidTr="00AE1810">
        <w:trPr>
          <w:trHeight w:hRule="exact" w:val="340"/>
        </w:trPr>
        <w:tc>
          <w:tcPr>
            <w:tcW w:w="1284" w:type="dxa"/>
            <w:shd w:val="clear" w:color="auto" w:fill="FFE599"/>
          </w:tcPr>
          <w:p w14:paraId="1EB356B0" w14:textId="77777777" w:rsidR="00A573B0" w:rsidRDefault="00A573B0" w:rsidP="00AE1810">
            <w:pPr>
              <w:spacing w:before="114"/>
              <w:ind w:left="236" w:right="-18"/>
              <w:rPr>
                <w:rFonts w:ascii="Times New Roman" w:hAnsi="Times New Roman" w:cs="Times New Roman"/>
                <w:color w:val="010302"/>
              </w:rPr>
            </w:pPr>
            <w:r>
              <w:rPr>
                <w:rFonts w:ascii="Arial" w:hAnsi="Arial" w:cs="Arial"/>
                <w:color w:val="000000"/>
                <w:sz w:val="20"/>
                <w:szCs w:val="20"/>
              </w:rPr>
              <w:t>Category</w:t>
            </w:r>
            <w:r>
              <w:rPr>
                <w:rFonts w:ascii="Times New Roman" w:hAnsi="Times New Roman" w:cs="Times New Roman"/>
                <w:sz w:val="20"/>
                <w:szCs w:val="20"/>
              </w:rPr>
              <w:t xml:space="preserve"> </w:t>
            </w:r>
          </w:p>
        </w:tc>
        <w:tc>
          <w:tcPr>
            <w:tcW w:w="951" w:type="dxa"/>
            <w:shd w:val="clear" w:color="auto" w:fill="FFE599"/>
          </w:tcPr>
          <w:p w14:paraId="61116352"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Tropical</w:t>
            </w:r>
            <w:r>
              <w:rPr>
                <w:rFonts w:ascii="Times New Roman" w:hAnsi="Times New Roman" w:cs="Times New Roman"/>
                <w:sz w:val="20"/>
                <w:szCs w:val="20"/>
              </w:rPr>
              <w:t xml:space="preserve"> </w:t>
            </w:r>
          </w:p>
        </w:tc>
        <w:tc>
          <w:tcPr>
            <w:tcW w:w="1240" w:type="dxa"/>
            <w:shd w:val="clear" w:color="auto" w:fill="FFE599"/>
          </w:tcPr>
          <w:p w14:paraId="731C2245"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Subtropical</w:t>
            </w:r>
            <w:r>
              <w:rPr>
                <w:rFonts w:ascii="Times New Roman" w:hAnsi="Times New Roman" w:cs="Times New Roman"/>
                <w:sz w:val="20"/>
                <w:szCs w:val="20"/>
              </w:rPr>
              <w:t xml:space="preserve"> </w:t>
            </w:r>
          </w:p>
        </w:tc>
        <w:tc>
          <w:tcPr>
            <w:tcW w:w="1206" w:type="dxa"/>
            <w:shd w:val="clear" w:color="auto" w:fill="FFE599"/>
          </w:tcPr>
          <w:p w14:paraId="195B96F9"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Temperate</w:t>
            </w:r>
            <w:r>
              <w:rPr>
                <w:rFonts w:ascii="Times New Roman" w:hAnsi="Times New Roman" w:cs="Times New Roman"/>
                <w:sz w:val="20"/>
                <w:szCs w:val="20"/>
              </w:rPr>
              <w:t xml:space="preserve"> </w:t>
            </w:r>
          </w:p>
        </w:tc>
        <w:tc>
          <w:tcPr>
            <w:tcW w:w="595" w:type="dxa"/>
            <w:shd w:val="clear" w:color="auto" w:fill="FFE599"/>
          </w:tcPr>
          <w:p w14:paraId="69BB8321"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z w:val="20"/>
                <w:szCs w:val="20"/>
              </w:rPr>
              <w:t>Arid</w:t>
            </w:r>
            <w:r>
              <w:rPr>
                <w:rFonts w:ascii="Times New Roman" w:hAnsi="Times New Roman" w:cs="Times New Roman"/>
                <w:sz w:val="20"/>
                <w:szCs w:val="20"/>
              </w:rPr>
              <w:t xml:space="preserve"> </w:t>
            </w:r>
          </w:p>
        </w:tc>
        <w:tc>
          <w:tcPr>
            <w:tcW w:w="917" w:type="dxa"/>
            <w:shd w:val="clear" w:color="auto" w:fill="FFE599"/>
          </w:tcPr>
          <w:p w14:paraId="59A27D6D" w14:textId="77777777" w:rsidR="00A573B0" w:rsidRDefault="00A573B0" w:rsidP="00AE1810">
            <w:pPr>
              <w:spacing w:before="114"/>
              <w:ind w:left="120" w:right="-18"/>
              <w:rPr>
                <w:rFonts w:ascii="Times New Roman" w:hAnsi="Times New Roman" w:cs="Times New Roman"/>
                <w:color w:val="010302"/>
              </w:rPr>
            </w:pPr>
            <w:r>
              <w:rPr>
                <w:rFonts w:ascii="Arial" w:hAnsi="Arial" w:cs="Arial"/>
                <w:color w:val="000000"/>
                <w:spacing w:val="-1"/>
                <w:sz w:val="20"/>
                <w:szCs w:val="20"/>
              </w:rPr>
              <w:t>Coastal</w:t>
            </w:r>
            <w:r>
              <w:rPr>
                <w:rFonts w:ascii="Times New Roman" w:hAnsi="Times New Roman" w:cs="Times New Roman"/>
                <w:sz w:val="20"/>
                <w:szCs w:val="20"/>
              </w:rPr>
              <w:t xml:space="preserve"> </w:t>
            </w:r>
          </w:p>
        </w:tc>
      </w:tr>
      <w:tr w:rsidR="00A573B0" w14:paraId="15F66027" w14:textId="77777777" w:rsidTr="00AE1810">
        <w:trPr>
          <w:trHeight w:hRule="exact" w:val="340"/>
        </w:trPr>
        <w:tc>
          <w:tcPr>
            <w:tcW w:w="1284" w:type="dxa"/>
          </w:tcPr>
          <w:p w14:paraId="651B8083" w14:textId="77777777" w:rsidR="00A573B0" w:rsidRDefault="00A573B0" w:rsidP="00AE1810">
            <w:pPr>
              <w:spacing w:before="114"/>
              <w:ind w:left="220" w:right="-18"/>
              <w:rPr>
                <w:rFonts w:ascii="Times New Roman" w:hAnsi="Times New Roman" w:cs="Times New Roman"/>
                <w:color w:val="010302"/>
              </w:rPr>
            </w:pPr>
            <w:r>
              <w:rPr>
                <w:rFonts w:ascii="Arial" w:hAnsi="Arial" w:cs="Arial"/>
                <w:color w:val="000000"/>
                <w:sz w:val="20"/>
                <w:szCs w:val="20"/>
              </w:rPr>
              <w:t>Medicinal</w:t>
            </w:r>
            <w:r>
              <w:rPr>
                <w:rFonts w:ascii="Times New Roman" w:hAnsi="Times New Roman" w:cs="Times New Roman"/>
                <w:sz w:val="20"/>
                <w:szCs w:val="20"/>
              </w:rPr>
              <w:t xml:space="preserve"> </w:t>
            </w:r>
          </w:p>
        </w:tc>
        <w:tc>
          <w:tcPr>
            <w:tcW w:w="951" w:type="dxa"/>
          </w:tcPr>
          <w:p w14:paraId="6B1E01B8" w14:textId="77777777" w:rsidR="00A573B0" w:rsidRDefault="00A573B0" w:rsidP="00AE1810">
            <w:pPr>
              <w:spacing w:before="114"/>
              <w:ind w:left="309" w:right="-18"/>
              <w:rPr>
                <w:rFonts w:ascii="Times New Roman" w:hAnsi="Times New Roman" w:cs="Times New Roman"/>
                <w:color w:val="010302"/>
              </w:rPr>
            </w:pPr>
            <w:r>
              <w:rPr>
                <w:rFonts w:ascii="Arial" w:hAnsi="Arial" w:cs="Arial"/>
                <w:color w:val="000000"/>
                <w:sz w:val="20"/>
                <w:szCs w:val="20"/>
              </w:rPr>
              <w:t>500</w:t>
            </w:r>
            <w:r>
              <w:rPr>
                <w:rFonts w:ascii="Times New Roman" w:hAnsi="Times New Roman" w:cs="Times New Roman"/>
                <w:sz w:val="20"/>
                <w:szCs w:val="20"/>
              </w:rPr>
              <w:t xml:space="preserve"> </w:t>
            </w:r>
          </w:p>
        </w:tc>
        <w:tc>
          <w:tcPr>
            <w:tcW w:w="1240" w:type="dxa"/>
          </w:tcPr>
          <w:p w14:paraId="7934F1C4" w14:textId="77777777" w:rsidR="00A573B0" w:rsidRDefault="00A573B0" w:rsidP="00AE1810">
            <w:pPr>
              <w:spacing w:before="114"/>
              <w:ind w:left="453" w:right="-18"/>
              <w:rPr>
                <w:rFonts w:ascii="Times New Roman" w:hAnsi="Times New Roman" w:cs="Times New Roman"/>
                <w:color w:val="010302"/>
              </w:rPr>
            </w:pPr>
            <w:r>
              <w:rPr>
                <w:rFonts w:ascii="Arial" w:hAnsi="Arial" w:cs="Arial"/>
                <w:color w:val="000000"/>
                <w:sz w:val="20"/>
                <w:szCs w:val="20"/>
              </w:rPr>
              <w:t>150</w:t>
            </w:r>
            <w:r>
              <w:rPr>
                <w:rFonts w:ascii="Times New Roman" w:hAnsi="Times New Roman" w:cs="Times New Roman"/>
                <w:sz w:val="20"/>
                <w:szCs w:val="20"/>
              </w:rPr>
              <w:t xml:space="preserve"> </w:t>
            </w:r>
          </w:p>
        </w:tc>
        <w:tc>
          <w:tcPr>
            <w:tcW w:w="1206" w:type="dxa"/>
          </w:tcPr>
          <w:p w14:paraId="7F2BEB34" w14:textId="77777777" w:rsidR="00A573B0" w:rsidRDefault="00A573B0" w:rsidP="00AE1810">
            <w:pPr>
              <w:spacing w:before="114"/>
              <w:ind w:left="437" w:right="-18"/>
              <w:rPr>
                <w:rFonts w:ascii="Times New Roman" w:hAnsi="Times New Roman" w:cs="Times New Roman"/>
                <w:color w:val="010302"/>
              </w:rPr>
            </w:pPr>
            <w:r>
              <w:rPr>
                <w:rFonts w:ascii="Arial" w:hAnsi="Arial" w:cs="Arial"/>
                <w:color w:val="000000"/>
                <w:sz w:val="20"/>
                <w:szCs w:val="20"/>
              </w:rPr>
              <w:t>100</w:t>
            </w:r>
            <w:r>
              <w:rPr>
                <w:rFonts w:ascii="Times New Roman" w:hAnsi="Times New Roman" w:cs="Times New Roman"/>
                <w:sz w:val="20"/>
                <w:szCs w:val="20"/>
              </w:rPr>
              <w:t xml:space="preserve"> </w:t>
            </w:r>
          </w:p>
        </w:tc>
        <w:tc>
          <w:tcPr>
            <w:tcW w:w="595" w:type="dxa"/>
          </w:tcPr>
          <w:p w14:paraId="52EB2599" w14:textId="77777777" w:rsidR="00A573B0" w:rsidRDefault="00A573B0" w:rsidP="00AE1810">
            <w:pPr>
              <w:spacing w:before="114"/>
              <w:ind w:left="187" w:right="-18"/>
              <w:rPr>
                <w:rFonts w:ascii="Times New Roman" w:hAnsi="Times New Roman" w:cs="Times New Roman"/>
                <w:color w:val="010302"/>
              </w:rPr>
            </w:pPr>
            <w:r>
              <w:rPr>
                <w:rFonts w:ascii="Arial" w:hAnsi="Arial" w:cs="Arial"/>
                <w:color w:val="000000"/>
                <w:sz w:val="20"/>
                <w:szCs w:val="20"/>
              </w:rPr>
              <w:t>50</w:t>
            </w:r>
            <w:r>
              <w:rPr>
                <w:rFonts w:ascii="Times New Roman" w:hAnsi="Times New Roman" w:cs="Times New Roman"/>
                <w:sz w:val="20"/>
                <w:szCs w:val="20"/>
              </w:rPr>
              <w:t xml:space="preserve"> </w:t>
            </w:r>
          </w:p>
        </w:tc>
        <w:tc>
          <w:tcPr>
            <w:tcW w:w="917" w:type="dxa"/>
          </w:tcPr>
          <w:p w14:paraId="220E343A" w14:textId="77777777" w:rsidR="00A573B0" w:rsidRDefault="00A573B0" w:rsidP="00AE1810">
            <w:pPr>
              <w:spacing w:before="114"/>
              <w:ind w:left="347" w:right="-18"/>
              <w:rPr>
                <w:rFonts w:ascii="Times New Roman" w:hAnsi="Times New Roman" w:cs="Times New Roman"/>
                <w:color w:val="010302"/>
              </w:rPr>
            </w:pPr>
            <w:r>
              <w:rPr>
                <w:rFonts w:ascii="Arial" w:hAnsi="Arial" w:cs="Arial"/>
                <w:color w:val="000000"/>
                <w:sz w:val="20"/>
                <w:szCs w:val="20"/>
              </w:rPr>
              <w:t>20</w:t>
            </w:r>
            <w:r>
              <w:rPr>
                <w:rFonts w:ascii="Times New Roman" w:hAnsi="Times New Roman" w:cs="Times New Roman"/>
                <w:sz w:val="20"/>
                <w:szCs w:val="20"/>
              </w:rPr>
              <w:t xml:space="preserve"> </w:t>
            </w:r>
          </w:p>
        </w:tc>
      </w:tr>
      <w:tr w:rsidR="00A573B0" w14:paraId="391D6BDF" w14:textId="77777777" w:rsidTr="00AE1810">
        <w:trPr>
          <w:trHeight w:hRule="exact" w:val="340"/>
        </w:trPr>
        <w:tc>
          <w:tcPr>
            <w:tcW w:w="1284" w:type="dxa"/>
          </w:tcPr>
          <w:p w14:paraId="27D36BCC" w14:textId="77777777" w:rsidR="00A573B0" w:rsidRDefault="00A573B0" w:rsidP="00AE1810">
            <w:pPr>
              <w:spacing w:before="114"/>
              <w:ind w:left="40" w:right="-18"/>
              <w:jc w:val="right"/>
              <w:rPr>
                <w:rFonts w:ascii="Times New Roman" w:hAnsi="Times New Roman" w:cs="Times New Roman"/>
                <w:color w:val="010302"/>
              </w:rPr>
            </w:pPr>
            <w:r>
              <w:rPr>
                <w:rFonts w:ascii="Arial" w:hAnsi="Arial" w:cs="Arial"/>
                <w:color w:val="000000"/>
                <w:sz w:val="20"/>
                <w:szCs w:val="20"/>
              </w:rPr>
              <w:t>Ornamental</w:t>
            </w:r>
            <w:r>
              <w:rPr>
                <w:rFonts w:ascii="Times New Roman" w:hAnsi="Times New Roman" w:cs="Times New Roman"/>
                <w:sz w:val="20"/>
                <w:szCs w:val="20"/>
              </w:rPr>
              <w:t xml:space="preserve"> </w:t>
            </w:r>
          </w:p>
        </w:tc>
        <w:tc>
          <w:tcPr>
            <w:tcW w:w="951" w:type="dxa"/>
          </w:tcPr>
          <w:p w14:paraId="74DB2A5A" w14:textId="77777777" w:rsidR="00A573B0" w:rsidRDefault="00A573B0" w:rsidP="00AE1810">
            <w:pPr>
              <w:spacing w:before="114"/>
              <w:ind w:left="229" w:right="-18"/>
              <w:jc w:val="right"/>
              <w:rPr>
                <w:rFonts w:ascii="Times New Roman" w:hAnsi="Times New Roman" w:cs="Times New Roman"/>
                <w:color w:val="010302"/>
              </w:rPr>
            </w:pPr>
            <w:r>
              <w:rPr>
                <w:rFonts w:ascii="Arial" w:hAnsi="Arial" w:cs="Arial"/>
                <w:color w:val="000000"/>
                <w:sz w:val="20"/>
                <w:szCs w:val="20"/>
              </w:rPr>
              <w:t>300</w:t>
            </w:r>
            <w:r>
              <w:rPr>
                <w:rFonts w:ascii="Times New Roman" w:hAnsi="Times New Roman" w:cs="Times New Roman"/>
                <w:sz w:val="20"/>
                <w:szCs w:val="20"/>
              </w:rPr>
              <w:t xml:space="preserve"> </w:t>
            </w:r>
          </w:p>
        </w:tc>
        <w:tc>
          <w:tcPr>
            <w:tcW w:w="1240" w:type="dxa"/>
          </w:tcPr>
          <w:p w14:paraId="16F4B635" w14:textId="77777777" w:rsidR="00A573B0" w:rsidRDefault="00A573B0" w:rsidP="00AE1810">
            <w:pPr>
              <w:spacing w:before="114"/>
              <w:ind w:left="373" w:right="-18"/>
              <w:jc w:val="right"/>
              <w:rPr>
                <w:rFonts w:ascii="Times New Roman" w:hAnsi="Times New Roman" w:cs="Times New Roman"/>
                <w:color w:val="010302"/>
              </w:rPr>
            </w:pPr>
            <w:r>
              <w:rPr>
                <w:rFonts w:ascii="Arial" w:hAnsi="Arial" w:cs="Arial"/>
                <w:color w:val="000000"/>
                <w:sz w:val="20"/>
                <w:szCs w:val="20"/>
              </w:rPr>
              <w:t>200</w:t>
            </w:r>
            <w:r>
              <w:rPr>
                <w:rFonts w:ascii="Times New Roman" w:hAnsi="Times New Roman" w:cs="Times New Roman"/>
                <w:sz w:val="20"/>
                <w:szCs w:val="20"/>
              </w:rPr>
              <w:t xml:space="preserve"> </w:t>
            </w:r>
          </w:p>
        </w:tc>
        <w:tc>
          <w:tcPr>
            <w:tcW w:w="1206" w:type="dxa"/>
          </w:tcPr>
          <w:p w14:paraId="44FEDE4E" w14:textId="77777777" w:rsidR="00A573B0" w:rsidRDefault="00A573B0" w:rsidP="00AE1810">
            <w:pPr>
              <w:spacing w:before="114"/>
              <w:ind w:left="357" w:right="-18"/>
              <w:jc w:val="right"/>
              <w:rPr>
                <w:rFonts w:ascii="Times New Roman" w:hAnsi="Times New Roman" w:cs="Times New Roman"/>
                <w:color w:val="010302"/>
              </w:rPr>
            </w:pPr>
            <w:r>
              <w:rPr>
                <w:rFonts w:ascii="Arial" w:hAnsi="Arial" w:cs="Arial"/>
                <w:color w:val="000000"/>
                <w:sz w:val="20"/>
                <w:szCs w:val="20"/>
              </w:rPr>
              <w:t>120</w:t>
            </w:r>
            <w:r>
              <w:rPr>
                <w:rFonts w:ascii="Times New Roman" w:hAnsi="Times New Roman" w:cs="Times New Roman"/>
                <w:sz w:val="20"/>
                <w:szCs w:val="20"/>
              </w:rPr>
              <w:t xml:space="preserve"> </w:t>
            </w:r>
          </w:p>
        </w:tc>
        <w:tc>
          <w:tcPr>
            <w:tcW w:w="595" w:type="dxa"/>
          </w:tcPr>
          <w:p w14:paraId="00A32205" w14:textId="77777777" w:rsidR="00A573B0" w:rsidRDefault="00A573B0" w:rsidP="00AE1810">
            <w:pPr>
              <w:spacing w:before="114"/>
              <w:ind w:left="107" w:right="-18"/>
              <w:jc w:val="right"/>
              <w:rPr>
                <w:rFonts w:ascii="Times New Roman" w:hAnsi="Times New Roman" w:cs="Times New Roman"/>
                <w:color w:val="010302"/>
              </w:rPr>
            </w:pPr>
            <w:r>
              <w:rPr>
                <w:rFonts w:ascii="Arial" w:hAnsi="Arial" w:cs="Arial"/>
                <w:color w:val="000000"/>
                <w:sz w:val="20"/>
                <w:szCs w:val="20"/>
              </w:rPr>
              <w:t>50</w:t>
            </w:r>
            <w:r>
              <w:rPr>
                <w:rFonts w:ascii="Times New Roman" w:hAnsi="Times New Roman" w:cs="Times New Roman"/>
                <w:sz w:val="20"/>
                <w:szCs w:val="20"/>
              </w:rPr>
              <w:t xml:space="preserve"> </w:t>
            </w:r>
          </w:p>
        </w:tc>
        <w:tc>
          <w:tcPr>
            <w:tcW w:w="917" w:type="dxa"/>
          </w:tcPr>
          <w:p w14:paraId="0D5CB877" w14:textId="77777777" w:rsidR="00A573B0" w:rsidRDefault="00A573B0" w:rsidP="00AE1810">
            <w:pPr>
              <w:spacing w:before="114"/>
              <w:ind w:left="267" w:right="329"/>
              <w:jc w:val="right"/>
              <w:rPr>
                <w:rFonts w:ascii="Times New Roman" w:hAnsi="Times New Roman" w:cs="Times New Roman"/>
                <w:color w:val="010302"/>
              </w:rPr>
            </w:pPr>
            <w:r>
              <w:rPr>
                <w:rFonts w:ascii="Arial" w:hAnsi="Arial" w:cs="Arial"/>
                <w:color w:val="000000"/>
                <w:sz w:val="20"/>
                <w:szCs w:val="20"/>
              </w:rPr>
              <w:t>20</w:t>
            </w:r>
            <w:r>
              <w:rPr>
                <w:rFonts w:ascii="Times New Roman" w:hAnsi="Times New Roman" w:cs="Times New Roman"/>
                <w:sz w:val="20"/>
                <w:szCs w:val="20"/>
              </w:rPr>
              <w:t xml:space="preserve"> </w:t>
            </w:r>
          </w:p>
        </w:tc>
      </w:tr>
      <w:tr w:rsidR="00A573B0" w14:paraId="12F4F5F6" w14:textId="77777777" w:rsidTr="00AE1810">
        <w:trPr>
          <w:trHeight w:hRule="exact" w:val="340"/>
        </w:trPr>
        <w:tc>
          <w:tcPr>
            <w:tcW w:w="1284" w:type="dxa"/>
          </w:tcPr>
          <w:p w14:paraId="38C029A9" w14:textId="77777777" w:rsidR="00A573B0" w:rsidRDefault="00A573B0" w:rsidP="00AE1810">
            <w:pPr>
              <w:spacing w:before="114"/>
              <w:ind w:left="251" w:right="-18"/>
              <w:jc w:val="right"/>
              <w:rPr>
                <w:rFonts w:ascii="Times New Roman" w:hAnsi="Times New Roman" w:cs="Times New Roman"/>
                <w:color w:val="010302"/>
              </w:rPr>
            </w:pPr>
            <w:r>
              <w:rPr>
                <w:rFonts w:ascii="Arial" w:hAnsi="Arial" w:cs="Arial"/>
                <w:color w:val="000000"/>
                <w:sz w:val="20"/>
                <w:szCs w:val="20"/>
              </w:rPr>
              <w:t>Timber</w:t>
            </w:r>
            <w:r>
              <w:rPr>
                <w:rFonts w:ascii="Times New Roman" w:hAnsi="Times New Roman" w:cs="Times New Roman"/>
                <w:sz w:val="20"/>
                <w:szCs w:val="20"/>
              </w:rPr>
              <w:t xml:space="preserve"> </w:t>
            </w:r>
          </w:p>
        </w:tc>
        <w:tc>
          <w:tcPr>
            <w:tcW w:w="951" w:type="dxa"/>
          </w:tcPr>
          <w:p w14:paraId="3F0AF9E2" w14:textId="77777777" w:rsidR="00A573B0" w:rsidRDefault="00A573B0" w:rsidP="00AE1810">
            <w:pPr>
              <w:spacing w:before="114"/>
              <w:ind w:left="229" w:right="-18"/>
              <w:jc w:val="right"/>
              <w:rPr>
                <w:rFonts w:ascii="Times New Roman" w:hAnsi="Times New Roman" w:cs="Times New Roman"/>
                <w:color w:val="010302"/>
              </w:rPr>
            </w:pPr>
            <w:r>
              <w:rPr>
                <w:rFonts w:ascii="Arial" w:hAnsi="Arial" w:cs="Arial"/>
                <w:color w:val="000000"/>
                <w:sz w:val="20"/>
                <w:szCs w:val="20"/>
              </w:rPr>
              <w:t>120</w:t>
            </w:r>
            <w:r>
              <w:rPr>
                <w:rFonts w:ascii="Times New Roman" w:hAnsi="Times New Roman" w:cs="Times New Roman"/>
                <w:sz w:val="20"/>
                <w:szCs w:val="20"/>
              </w:rPr>
              <w:t xml:space="preserve"> </w:t>
            </w:r>
          </w:p>
        </w:tc>
        <w:tc>
          <w:tcPr>
            <w:tcW w:w="1240" w:type="dxa"/>
          </w:tcPr>
          <w:p w14:paraId="23212380" w14:textId="77777777" w:rsidR="00A573B0" w:rsidRDefault="00A573B0" w:rsidP="00AE1810">
            <w:pPr>
              <w:spacing w:before="114"/>
              <w:ind w:left="373" w:right="-18"/>
              <w:jc w:val="right"/>
              <w:rPr>
                <w:rFonts w:ascii="Times New Roman" w:hAnsi="Times New Roman" w:cs="Times New Roman"/>
                <w:color w:val="010302"/>
              </w:rPr>
            </w:pPr>
            <w:r>
              <w:rPr>
                <w:rFonts w:ascii="Arial" w:hAnsi="Arial" w:cs="Arial"/>
                <w:color w:val="000000"/>
                <w:sz w:val="20"/>
                <w:szCs w:val="20"/>
              </w:rPr>
              <w:t>150</w:t>
            </w:r>
            <w:r>
              <w:rPr>
                <w:rFonts w:ascii="Times New Roman" w:hAnsi="Times New Roman" w:cs="Times New Roman"/>
                <w:sz w:val="20"/>
                <w:szCs w:val="20"/>
              </w:rPr>
              <w:t xml:space="preserve"> </w:t>
            </w:r>
          </w:p>
        </w:tc>
        <w:tc>
          <w:tcPr>
            <w:tcW w:w="1206" w:type="dxa"/>
          </w:tcPr>
          <w:p w14:paraId="495BBB84" w14:textId="77777777" w:rsidR="00A573B0" w:rsidRDefault="00A573B0" w:rsidP="00AE1810">
            <w:pPr>
              <w:spacing w:before="114"/>
              <w:ind w:left="357" w:right="-18"/>
              <w:jc w:val="right"/>
              <w:rPr>
                <w:rFonts w:ascii="Times New Roman" w:hAnsi="Times New Roman" w:cs="Times New Roman"/>
                <w:color w:val="010302"/>
              </w:rPr>
            </w:pPr>
            <w:r>
              <w:rPr>
                <w:rFonts w:ascii="Arial" w:hAnsi="Arial" w:cs="Arial"/>
                <w:color w:val="000000"/>
                <w:sz w:val="20"/>
                <w:szCs w:val="20"/>
              </w:rPr>
              <w:t>180</w:t>
            </w:r>
            <w:r>
              <w:rPr>
                <w:rFonts w:ascii="Times New Roman" w:hAnsi="Times New Roman" w:cs="Times New Roman"/>
                <w:sz w:val="20"/>
                <w:szCs w:val="20"/>
              </w:rPr>
              <w:t xml:space="preserve"> </w:t>
            </w:r>
          </w:p>
        </w:tc>
        <w:tc>
          <w:tcPr>
            <w:tcW w:w="595" w:type="dxa"/>
          </w:tcPr>
          <w:p w14:paraId="5F35A4DF" w14:textId="77777777" w:rsidR="00A573B0" w:rsidRDefault="00A573B0" w:rsidP="00AE1810">
            <w:pPr>
              <w:spacing w:before="114"/>
              <w:ind w:left="107" w:right="-18"/>
              <w:jc w:val="right"/>
              <w:rPr>
                <w:rFonts w:ascii="Times New Roman" w:hAnsi="Times New Roman" w:cs="Times New Roman"/>
                <w:color w:val="010302"/>
              </w:rPr>
            </w:pPr>
            <w:r>
              <w:rPr>
                <w:rFonts w:ascii="Arial" w:hAnsi="Arial" w:cs="Arial"/>
                <w:color w:val="000000"/>
                <w:sz w:val="20"/>
                <w:szCs w:val="20"/>
              </w:rPr>
              <w:t>50</w:t>
            </w:r>
            <w:r>
              <w:rPr>
                <w:rFonts w:ascii="Times New Roman" w:hAnsi="Times New Roman" w:cs="Times New Roman"/>
                <w:sz w:val="20"/>
                <w:szCs w:val="20"/>
              </w:rPr>
              <w:t xml:space="preserve"> </w:t>
            </w:r>
          </w:p>
        </w:tc>
        <w:tc>
          <w:tcPr>
            <w:tcW w:w="917" w:type="dxa"/>
          </w:tcPr>
          <w:p w14:paraId="2802EAC3" w14:textId="77777777" w:rsidR="00A573B0" w:rsidRDefault="00A573B0" w:rsidP="00AE1810">
            <w:pPr>
              <w:spacing w:before="114"/>
              <w:ind w:left="267" w:right="329"/>
              <w:jc w:val="right"/>
              <w:rPr>
                <w:rFonts w:ascii="Times New Roman" w:hAnsi="Times New Roman" w:cs="Times New Roman"/>
                <w:color w:val="010302"/>
              </w:rPr>
            </w:pPr>
            <w:r>
              <w:rPr>
                <w:rFonts w:ascii="Arial" w:hAnsi="Arial" w:cs="Arial"/>
                <w:color w:val="000000"/>
                <w:sz w:val="20"/>
                <w:szCs w:val="20"/>
              </w:rPr>
              <w:t>30</w:t>
            </w:r>
            <w:r>
              <w:rPr>
                <w:rFonts w:ascii="Times New Roman" w:hAnsi="Times New Roman" w:cs="Times New Roman"/>
                <w:sz w:val="20"/>
                <w:szCs w:val="20"/>
              </w:rPr>
              <w:t xml:space="preserve"> </w:t>
            </w:r>
          </w:p>
        </w:tc>
      </w:tr>
      <w:tr w:rsidR="00A573B0" w14:paraId="07519F36" w14:textId="77777777" w:rsidTr="00AE1810">
        <w:trPr>
          <w:trHeight w:hRule="exact" w:val="340"/>
        </w:trPr>
        <w:tc>
          <w:tcPr>
            <w:tcW w:w="1284" w:type="dxa"/>
          </w:tcPr>
          <w:p w14:paraId="5A8C9DE8" w14:textId="77777777" w:rsidR="00A573B0" w:rsidRDefault="00A573B0" w:rsidP="00AE1810">
            <w:pPr>
              <w:spacing w:before="114"/>
              <w:ind w:left="362" w:right="-18"/>
              <w:jc w:val="right"/>
              <w:rPr>
                <w:rFonts w:ascii="Times New Roman" w:hAnsi="Times New Roman" w:cs="Times New Roman"/>
                <w:color w:val="010302"/>
              </w:rPr>
            </w:pPr>
            <w:r>
              <w:rPr>
                <w:rFonts w:ascii="Arial" w:hAnsi="Arial" w:cs="Arial"/>
                <w:color w:val="000000"/>
                <w:sz w:val="20"/>
                <w:szCs w:val="20"/>
              </w:rPr>
              <w:t>Fruit</w:t>
            </w:r>
            <w:r>
              <w:rPr>
                <w:rFonts w:ascii="Times New Roman" w:hAnsi="Times New Roman" w:cs="Times New Roman"/>
                <w:sz w:val="20"/>
                <w:szCs w:val="20"/>
              </w:rPr>
              <w:t xml:space="preserve"> </w:t>
            </w:r>
          </w:p>
        </w:tc>
        <w:tc>
          <w:tcPr>
            <w:tcW w:w="951" w:type="dxa"/>
          </w:tcPr>
          <w:p w14:paraId="5F92A851" w14:textId="77777777" w:rsidR="00A573B0" w:rsidRDefault="00A573B0" w:rsidP="00AE1810">
            <w:pPr>
              <w:spacing w:before="114"/>
              <w:ind w:left="229" w:right="-18"/>
              <w:jc w:val="right"/>
              <w:rPr>
                <w:rFonts w:ascii="Times New Roman" w:hAnsi="Times New Roman" w:cs="Times New Roman"/>
                <w:color w:val="010302"/>
              </w:rPr>
            </w:pPr>
            <w:r>
              <w:rPr>
                <w:rFonts w:ascii="Arial" w:hAnsi="Arial" w:cs="Arial"/>
                <w:color w:val="000000"/>
                <w:sz w:val="20"/>
                <w:szCs w:val="20"/>
              </w:rPr>
              <w:t>150</w:t>
            </w:r>
            <w:r>
              <w:rPr>
                <w:rFonts w:ascii="Times New Roman" w:hAnsi="Times New Roman" w:cs="Times New Roman"/>
                <w:sz w:val="20"/>
                <w:szCs w:val="20"/>
              </w:rPr>
              <w:t xml:space="preserve"> </w:t>
            </w:r>
          </w:p>
        </w:tc>
        <w:tc>
          <w:tcPr>
            <w:tcW w:w="1240" w:type="dxa"/>
          </w:tcPr>
          <w:p w14:paraId="18501FDE" w14:textId="77777777" w:rsidR="00A573B0" w:rsidRDefault="00A573B0" w:rsidP="00AE1810">
            <w:pPr>
              <w:spacing w:before="114"/>
              <w:ind w:left="373" w:right="-18"/>
              <w:jc w:val="right"/>
              <w:rPr>
                <w:rFonts w:ascii="Times New Roman" w:hAnsi="Times New Roman" w:cs="Times New Roman"/>
                <w:color w:val="010302"/>
              </w:rPr>
            </w:pPr>
            <w:r>
              <w:rPr>
                <w:rFonts w:ascii="Arial" w:hAnsi="Arial" w:cs="Arial"/>
                <w:color w:val="000000"/>
                <w:sz w:val="20"/>
                <w:szCs w:val="20"/>
              </w:rPr>
              <w:t>200</w:t>
            </w:r>
            <w:r>
              <w:rPr>
                <w:rFonts w:ascii="Times New Roman" w:hAnsi="Times New Roman" w:cs="Times New Roman"/>
                <w:sz w:val="20"/>
                <w:szCs w:val="20"/>
              </w:rPr>
              <w:t xml:space="preserve"> </w:t>
            </w:r>
          </w:p>
        </w:tc>
        <w:tc>
          <w:tcPr>
            <w:tcW w:w="1206" w:type="dxa"/>
          </w:tcPr>
          <w:p w14:paraId="54E34577" w14:textId="77777777" w:rsidR="00A573B0" w:rsidRDefault="00A573B0" w:rsidP="00AE1810">
            <w:pPr>
              <w:spacing w:before="114"/>
              <w:ind w:left="412" w:right="-18"/>
              <w:jc w:val="right"/>
              <w:rPr>
                <w:rFonts w:ascii="Times New Roman" w:hAnsi="Times New Roman" w:cs="Times New Roman"/>
                <w:color w:val="010302"/>
              </w:rPr>
            </w:pPr>
            <w:r>
              <w:rPr>
                <w:rFonts w:ascii="Arial" w:hAnsi="Arial" w:cs="Arial"/>
                <w:color w:val="000000"/>
                <w:sz w:val="20"/>
                <w:szCs w:val="20"/>
              </w:rPr>
              <w:t>80</w:t>
            </w:r>
            <w:r>
              <w:rPr>
                <w:rFonts w:ascii="Times New Roman" w:hAnsi="Times New Roman" w:cs="Times New Roman"/>
                <w:sz w:val="20"/>
                <w:szCs w:val="20"/>
              </w:rPr>
              <w:t xml:space="preserve"> </w:t>
            </w:r>
          </w:p>
        </w:tc>
        <w:tc>
          <w:tcPr>
            <w:tcW w:w="595" w:type="dxa"/>
          </w:tcPr>
          <w:p w14:paraId="2DECBA74" w14:textId="77777777" w:rsidR="00A573B0" w:rsidRDefault="00A573B0" w:rsidP="00AE1810">
            <w:pPr>
              <w:spacing w:before="114"/>
              <w:ind w:left="107" w:right="-18"/>
              <w:jc w:val="right"/>
              <w:rPr>
                <w:rFonts w:ascii="Times New Roman" w:hAnsi="Times New Roman" w:cs="Times New Roman"/>
                <w:color w:val="010302"/>
              </w:rPr>
            </w:pPr>
            <w:r>
              <w:rPr>
                <w:rFonts w:ascii="Arial" w:hAnsi="Arial" w:cs="Arial"/>
                <w:color w:val="000000"/>
                <w:sz w:val="20"/>
                <w:szCs w:val="20"/>
              </w:rPr>
              <w:t>30</w:t>
            </w:r>
            <w:r>
              <w:rPr>
                <w:rFonts w:ascii="Times New Roman" w:hAnsi="Times New Roman" w:cs="Times New Roman"/>
                <w:sz w:val="20"/>
                <w:szCs w:val="20"/>
              </w:rPr>
              <w:t xml:space="preserve"> </w:t>
            </w:r>
          </w:p>
        </w:tc>
        <w:tc>
          <w:tcPr>
            <w:tcW w:w="917" w:type="dxa"/>
          </w:tcPr>
          <w:p w14:paraId="6DB9ADE8" w14:textId="77777777" w:rsidR="00A573B0" w:rsidRDefault="00A573B0" w:rsidP="00AE1810">
            <w:pPr>
              <w:spacing w:before="114"/>
              <w:ind w:left="267" w:right="329"/>
              <w:jc w:val="right"/>
              <w:rPr>
                <w:rFonts w:ascii="Times New Roman" w:hAnsi="Times New Roman" w:cs="Times New Roman"/>
                <w:color w:val="010302"/>
              </w:rPr>
            </w:pPr>
            <w:r>
              <w:rPr>
                <w:rFonts w:ascii="Arial" w:hAnsi="Arial" w:cs="Arial"/>
                <w:color w:val="000000"/>
                <w:sz w:val="20"/>
                <w:szCs w:val="20"/>
              </w:rPr>
              <w:t>20</w:t>
            </w:r>
            <w:r>
              <w:rPr>
                <w:rFonts w:ascii="Times New Roman" w:hAnsi="Times New Roman" w:cs="Times New Roman"/>
                <w:sz w:val="20"/>
                <w:szCs w:val="20"/>
              </w:rPr>
              <w:t xml:space="preserve"> </w:t>
            </w:r>
          </w:p>
        </w:tc>
      </w:tr>
      <w:tr w:rsidR="00A573B0" w14:paraId="71CD661E" w14:textId="77777777" w:rsidTr="00AE1810">
        <w:trPr>
          <w:trHeight w:hRule="exact" w:val="339"/>
        </w:trPr>
        <w:tc>
          <w:tcPr>
            <w:tcW w:w="1284" w:type="dxa"/>
          </w:tcPr>
          <w:p w14:paraId="61558CE4" w14:textId="77777777" w:rsidR="00A573B0" w:rsidRDefault="00A573B0" w:rsidP="00AE1810">
            <w:pPr>
              <w:spacing w:before="114"/>
              <w:ind w:left="295" w:right="-18"/>
              <w:jc w:val="right"/>
              <w:rPr>
                <w:rFonts w:ascii="Times New Roman" w:hAnsi="Times New Roman" w:cs="Times New Roman"/>
                <w:color w:val="010302"/>
              </w:rPr>
            </w:pPr>
            <w:r>
              <w:rPr>
                <w:rFonts w:ascii="Arial" w:hAnsi="Arial" w:cs="Arial"/>
                <w:color w:val="000000"/>
                <w:sz w:val="20"/>
                <w:szCs w:val="20"/>
              </w:rPr>
              <w:t>Shrub</w:t>
            </w:r>
            <w:r>
              <w:rPr>
                <w:rFonts w:ascii="Times New Roman" w:hAnsi="Times New Roman" w:cs="Times New Roman"/>
                <w:sz w:val="20"/>
                <w:szCs w:val="20"/>
              </w:rPr>
              <w:t xml:space="preserve"> </w:t>
            </w:r>
          </w:p>
        </w:tc>
        <w:tc>
          <w:tcPr>
            <w:tcW w:w="951" w:type="dxa"/>
          </w:tcPr>
          <w:p w14:paraId="2A0B0276" w14:textId="77777777" w:rsidR="00A573B0" w:rsidRDefault="00A573B0" w:rsidP="00AE1810">
            <w:pPr>
              <w:spacing w:before="114"/>
              <w:ind w:left="285" w:right="-18"/>
              <w:jc w:val="right"/>
              <w:rPr>
                <w:rFonts w:ascii="Times New Roman" w:hAnsi="Times New Roman" w:cs="Times New Roman"/>
                <w:color w:val="010302"/>
              </w:rPr>
            </w:pPr>
            <w:r>
              <w:rPr>
                <w:rFonts w:ascii="Arial" w:hAnsi="Arial" w:cs="Arial"/>
                <w:color w:val="000000"/>
                <w:sz w:val="20"/>
                <w:szCs w:val="20"/>
              </w:rPr>
              <w:t>50</w:t>
            </w:r>
            <w:r>
              <w:rPr>
                <w:rFonts w:ascii="Times New Roman" w:hAnsi="Times New Roman" w:cs="Times New Roman"/>
                <w:sz w:val="20"/>
                <w:szCs w:val="20"/>
              </w:rPr>
              <w:t xml:space="preserve"> </w:t>
            </w:r>
          </w:p>
        </w:tc>
        <w:tc>
          <w:tcPr>
            <w:tcW w:w="1240" w:type="dxa"/>
          </w:tcPr>
          <w:p w14:paraId="036A3779" w14:textId="77777777" w:rsidR="00A573B0" w:rsidRDefault="00A573B0" w:rsidP="00AE1810">
            <w:pPr>
              <w:spacing w:before="114"/>
              <w:ind w:left="428" w:right="-18"/>
              <w:jc w:val="right"/>
              <w:rPr>
                <w:rFonts w:ascii="Times New Roman" w:hAnsi="Times New Roman" w:cs="Times New Roman"/>
                <w:color w:val="010302"/>
              </w:rPr>
            </w:pPr>
            <w:r>
              <w:rPr>
                <w:rFonts w:ascii="Arial" w:hAnsi="Arial" w:cs="Arial"/>
                <w:color w:val="000000"/>
                <w:sz w:val="20"/>
                <w:szCs w:val="20"/>
              </w:rPr>
              <w:t>80</w:t>
            </w:r>
            <w:r>
              <w:rPr>
                <w:rFonts w:ascii="Times New Roman" w:hAnsi="Times New Roman" w:cs="Times New Roman"/>
                <w:sz w:val="20"/>
                <w:szCs w:val="20"/>
              </w:rPr>
              <w:t xml:space="preserve"> </w:t>
            </w:r>
          </w:p>
        </w:tc>
        <w:tc>
          <w:tcPr>
            <w:tcW w:w="1206" w:type="dxa"/>
          </w:tcPr>
          <w:p w14:paraId="1CDEBED4" w14:textId="77777777" w:rsidR="00A573B0" w:rsidRDefault="00A573B0" w:rsidP="00AE1810">
            <w:pPr>
              <w:spacing w:before="114"/>
              <w:ind w:left="357" w:right="-18"/>
              <w:jc w:val="right"/>
              <w:rPr>
                <w:rFonts w:ascii="Times New Roman" w:hAnsi="Times New Roman" w:cs="Times New Roman"/>
                <w:color w:val="010302"/>
              </w:rPr>
            </w:pPr>
            <w:r>
              <w:rPr>
                <w:rFonts w:ascii="Arial" w:hAnsi="Arial" w:cs="Arial"/>
                <w:color w:val="000000"/>
                <w:sz w:val="20"/>
                <w:szCs w:val="20"/>
              </w:rPr>
              <w:t>100</w:t>
            </w:r>
            <w:r>
              <w:rPr>
                <w:rFonts w:ascii="Times New Roman" w:hAnsi="Times New Roman" w:cs="Times New Roman"/>
                <w:sz w:val="20"/>
                <w:szCs w:val="20"/>
              </w:rPr>
              <w:t xml:space="preserve"> </w:t>
            </w:r>
          </w:p>
        </w:tc>
        <w:tc>
          <w:tcPr>
            <w:tcW w:w="595" w:type="dxa"/>
          </w:tcPr>
          <w:p w14:paraId="284B8264" w14:textId="77777777" w:rsidR="00A573B0" w:rsidRDefault="00A573B0" w:rsidP="00AE1810">
            <w:pPr>
              <w:spacing w:before="114"/>
              <w:ind w:left="107" w:right="-18"/>
              <w:jc w:val="right"/>
              <w:rPr>
                <w:rFonts w:ascii="Times New Roman" w:hAnsi="Times New Roman" w:cs="Times New Roman"/>
                <w:color w:val="010302"/>
              </w:rPr>
            </w:pPr>
            <w:r>
              <w:rPr>
                <w:rFonts w:ascii="Arial" w:hAnsi="Arial" w:cs="Arial"/>
                <w:color w:val="000000"/>
                <w:sz w:val="20"/>
                <w:szCs w:val="20"/>
              </w:rPr>
              <w:t>60</w:t>
            </w:r>
            <w:r>
              <w:rPr>
                <w:rFonts w:ascii="Times New Roman" w:hAnsi="Times New Roman" w:cs="Times New Roman"/>
                <w:sz w:val="20"/>
                <w:szCs w:val="20"/>
              </w:rPr>
              <w:t xml:space="preserve"> </w:t>
            </w:r>
          </w:p>
        </w:tc>
        <w:tc>
          <w:tcPr>
            <w:tcW w:w="917" w:type="dxa"/>
          </w:tcPr>
          <w:p w14:paraId="73D5F2B8" w14:textId="77777777" w:rsidR="00A573B0" w:rsidRDefault="00A573B0" w:rsidP="00AE1810">
            <w:pPr>
              <w:spacing w:before="114"/>
              <w:ind w:left="267" w:right="329"/>
              <w:jc w:val="right"/>
              <w:rPr>
                <w:rFonts w:ascii="Times New Roman" w:hAnsi="Times New Roman" w:cs="Times New Roman"/>
                <w:color w:val="010302"/>
              </w:rPr>
            </w:pPr>
            <w:r>
              <w:rPr>
                <w:rFonts w:ascii="Arial" w:hAnsi="Arial" w:cs="Arial"/>
                <w:color w:val="000000"/>
                <w:sz w:val="20"/>
                <w:szCs w:val="20"/>
              </w:rPr>
              <w:t>40</w:t>
            </w:r>
            <w:r>
              <w:rPr>
                <w:rFonts w:ascii="Times New Roman" w:hAnsi="Times New Roman" w:cs="Times New Roman"/>
                <w:sz w:val="20"/>
                <w:szCs w:val="20"/>
              </w:rPr>
              <w:t xml:space="preserve"> </w:t>
            </w:r>
          </w:p>
        </w:tc>
      </w:tr>
    </w:tbl>
    <w:p w14:paraId="6FD36EAD" w14:textId="77777777" w:rsidR="00A573B0" w:rsidRDefault="00A573B0" w:rsidP="00A573B0">
      <w:pPr>
        <w:rPr>
          <w:rFonts w:ascii="Times New Roman" w:hAnsi="Times New Roman"/>
          <w:color w:val="000000" w:themeColor="text1"/>
          <w:sz w:val="24"/>
          <w:szCs w:val="24"/>
        </w:rPr>
      </w:pPr>
    </w:p>
    <w:p w14:paraId="1D49E4B3" w14:textId="77777777" w:rsidR="00A573B0" w:rsidRDefault="00A573B0" w:rsidP="00A573B0">
      <w:pPr>
        <w:rPr>
          <w:rFonts w:ascii="Times New Roman" w:hAnsi="Times New Roman"/>
          <w:color w:val="000000" w:themeColor="text1"/>
          <w:sz w:val="24"/>
          <w:szCs w:val="24"/>
        </w:rPr>
      </w:pPr>
    </w:p>
    <w:p w14:paraId="36D778A0" w14:textId="77777777" w:rsidR="00A573B0" w:rsidRDefault="00A573B0" w:rsidP="00A573B0">
      <w:pPr>
        <w:rPr>
          <w:rFonts w:ascii="Times New Roman" w:hAnsi="Times New Roman"/>
          <w:color w:val="000000" w:themeColor="text1"/>
          <w:sz w:val="24"/>
          <w:szCs w:val="24"/>
        </w:rPr>
      </w:pPr>
    </w:p>
    <w:p w14:paraId="033B648D" w14:textId="77777777" w:rsidR="00A573B0" w:rsidRDefault="00A573B0" w:rsidP="00A573B0">
      <w:pPr>
        <w:rPr>
          <w:rFonts w:ascii="Times New Roman" w:hAnsi="Times New Roman"/>
          <w:color w:val="000000" w:themeColor="text1"/>
          <w:sz w:val="24"/>
          <w:szCs w:val="24"/>
        </w:rPr>
      </w:pPr>
    </w:p>
    <w:p w14:paraId="188D2135" w14:textId="77777777" w:rsidR="00A573B0" w:rsidRDefault="00A573B0" w:rsidP="00A573B0">
      <w:pPr>
        <w:rPr>
          <w:rFonts w:ascii="Times New Roman" w:hAnsi="Times New Roman"/>
          <w:color w:val="000000" w:themeColor="text1"/>
          <w:sz w:val="24"/>
          <w:szCs w:val="24"/>
        </w:rPr>
      </w:pPr>
    </w:p>
    <w:p w14:paraId="793FB9A2" w14:textId="77777777" w:rsidR="00A573B0" w:rsidRDefault="00A573B0" w:rsidP="00A573B0">
      <w:pPr>
        <w:spacing w:after="228"/>
        <w:rPr>
          <w:rFonts w:ascii="Times New Roman" w:hAnsi="Times New Roman"/>
          <w:color w:val="000000" w:themeColor="text1"/>
          <w:sz w:val="24"/>
          <w:szCs w:val="24"/>
        </w:rPr>
      </w:pPr>
    </w:p>
    <w:p w14:paraId="41E7031E" w14:textId="77777777" w:rsidR="00A573B0" w:rsidRDefault="00A573B0" w:rsidP="00A573B0">
      <w:pPr>
        <w:spacing w:line="185" w:lineRule="exact"/>
        <w:ind w:left="320" w:firstLine="720"/>
        <w:rPr>
          <w:rFonts w:ascii="Times New Roman" w:hAnsi="Times New Roman" w:cs="Times New Roman"/>
          <w:color w:val="010302"/>
        </w:rPr>
      </w:pPr>
      <w:r>
        <w:rPr>
          <w:rFonts w:ascii="Arial" w:hAnsi="Arial" w:cs="Arial"/>
          <w:b/>
          <w:bCs/>
          <w:color w:val="000000"/>
          <w:sz w:val="20"/>
          <w:szCs w:val="20"/>
        </w:rPr>
        <w:t>(5) Insights:</w:t>
      </w:r>
      <w:r>
        <w:rPr>
          <w:rFonts w:ascii="Times New Roman" w:hAnsi="Times New Roman" w:cs="Times New Roman"/>
          <w:sz w:val="20"/>
          <w:szCs w:val="20"/>
        </w:rPr>
        <w:t xml:space="preserve"> </w:t>
      </w:r>
    </w:p>
    <w:p w14:paraId="566F695E" w14:textId="77777777" w:rsidR="00A573B0" w:rsidRDefault="00A573B0" w:rsidP="00A573B0">
      <w:pPr>
        <w:spacing w:before="40" w:line="185" w:lineRule="exact"/>
        <w:ind w:left="1040"/>
        <w:rPr>
          <w:rFonts w:ascii="Times New Roman" w:hAnsi="Times New Roman" w:cs="Times New Roman"/>
          <w:color w:val="010302"/>
        </w:rPr>
      </w:pPr>
      <w:r>
        <w:rPr>
          <w:rFonts w:ascii="Arial" w:hAnsi="Arial" w:cs="Arial"/>
          <w:color w:val="000000"/>
          <w:sz w:val="20"/>
          <w:szCs w:val="20"/>
        </w:rPr>
        <w:t>1. Medicinal is the most frequent category (~16%).</w:t>
      </w:r>
      <w:r>
        <w:rPr>
          <w:rFonts w:ascii="Times New Roman" w:hAnsi="Times New Roman" w:cs="Times New Roman"/>
          <w:sz w:val="20"/>
          <w:szCs w:val="20"/>
        </w:rPr>
        <w:t xml:space="preserve"> </w:t>
      </w:r>
    </w:p>
    <w:p w14:paraId="0B2A2254" w14:textId="77777777" w:rsidR="00A573B0" w:rsidRDefault="00A573B0" w:rsidP="00A573B0">
      <w:pPr>
        <w:spacing w:before="40" w:line="185" w:lineRule="exact"/>
        <w:ind w:left="1040"/>
        <w:rPr>
          <w:rFonts w:ascii="Times New Roman" w:hAnsi="Times New Roman" w:cs="Times New Roman"/>
          <w:color w:val="010302"/>
        </w:rPr>
      </w:pPr>
      <w:r>
        <w:rPr>
          <w:rFonts w:ascii="Arial" w:hAnsi="Arial" w:cs="Arial"/>
          <w:color w:val="000000"/>
          <w:sz w:val="20"/>
          <w:szCs w:val="20"/>
        </w:rPr>
        <w:t>2. Medicine is the top primary use (~21%).</w:t>
      </w:r>
      <w:r>
        <w:rPr>
          <w:rFonts w:ascii="Times New Roman" w:hAnsi="Times New Roman" w:cs="Times New Roman"/>
          <w:sz w:val="20"/>
          <w:szCs w:val="20"/>
        </w:rPr>
        <w:t xml:space="preserve"> </w:t>
      </w:r>
    </w:p>
    <w:p w14:paraId="6A73A88F" w14:textId="77777777" w:rsidR="00A573B0" w:rsidRDefault="00A573B0" w:rsidP="00A573B0">
      <w:pPr>
        <w:spacing w:before="40" w:line="185" w:lineRule="exact"/>
        <w:ind w:left="1040"/>
        <w:rPr>
          <w:rFonts w:ascii="Times New Roman" w:hAnsi="Times New Roman" w:cs="Times New Roman"/>
          <w:color w:val="010302"/>
        </w:rPr>
      </w:pPr>
      <w:r>
        <w:rPr>
          <w:rFonts w:ascii="Arial" w:hAnsi="Arial" w:cs="Arial"/>
          <w:color w:val="000000"/>
          <w:sz w:val="20"/>
          <w:szCs w:val="20"/>
        </w:rPr>
        <w:t>3. Trees are mostly found in Tropical conditions, followed by Subtropical.</w:t>
      </w:r>
      <w:r>
        <w:rPr>
          <w:rFonts w:ascii="Times New Roman" w:hAnsi="Times New Roman" w:cs="Times New Roman"/>
          <w:sz w:val="20"/>
          <w:szCs w:val="20"/>
        </w:rPr>
        <w:t xml:space="preserve"> </w:t>
      </w:r>
    </w:p>
    <w:p w14:paraId="26E88392" w14:textId="77777777" w:rsidR="00A573B0" w:rsidRDefault="00A573B0" w:rsidP="00A573B0">
      <w:pPr>
        <w:spacing w:line="240" w:lineRule="exact"/>
        <w:ind w:left="1040" w:right="1148"/>
        <w:rPr>
          <w:rFonts w:ascii="Times New Roman" w:hAnsi="Times New Roman" w:cs="Times New Roman"/>
          <w:sz w:val="20"/>
          <w:szCs w:val="20"/>
        </w:rPr>
      </w:pPr>
      <w:r>
        <w:rPr>
          <w:rFonts w:ascii="Arial" w:hAnsi="Arial" w:cs="Arial"/>
          <w:color w:val="000000"/>
          <w:sz w:val="20"/>
          <w:szCs w:val="20"/>
        </w:rPr>
        <w:t xml:space="preserve">4. Clear relationships: Medicinal </w:t>
      </w:r>
      <w:r>
        <w:rPr>
          <w:rFonts w:ascii="Symbol" w:hAnsi="Symbol" w:cs="Symbol"/>
          <w:color w:val="000000"/>
          <w:sz w:val="20"/>
          <w:szCs w:val="20"/>
        </w:rPr>
        <w:t>↔</w:t>
      </w:r>
      <w:r>
        <w:rPr>
          <w:rFonts w:ascii="Arial" w:hAnsi="Arial" w:cs="Arial"/>
          <w:color w:val="000000"/>
          <w:sz w:val="20"/>
          <w:szCs w:val="20"/>
        </w:rPr>
        <w:t xml:space="preserve"> Medicine, Ornamental </w:t>
      </w:r>
      <w:r>
        <w:rPr>
          <w:rFonts w:ascii="Symbol" w:hAnsi="Symbol" w:cs="Symbol"/>
          <w:color w:val="000000"/>
          <w:sz w:val="20"/>
          <w:szCs w:val="20"/>
        </w:rPr>
        <w:t>↔</w:t>
      </w:r>
      <w:r>
        <w:rPr>
          <w:rFonts w:ascii="Arial" w:hAnsi="Arial" w:cs="Arial"/>
          <w:color w:val="000000"/>
          <w:sz w:val="20"/>
          <w:szCs w:val="20"/>
        </w:rPr>
        <w:t xml:space="preserve"> Decoration, Timber </w:t>
      </w:r>
      <w:r>
        <w:rPr>
          <w:rFonts w:ascii="Symbol" w:hAnsi="Symbol" w:cs="Symbol"/>
          <w:color w:val="000000"/>
          <w:sz w:val="20"/>
          <w:szCs w:val="20"/>
        </w:rPr>
        <w:t>↔</w:t>
      </w:r>
      <w:r>
        <w:rPr>
          <w:rFonts w:ascii="Arial" w:hAnsi="Arial" w:cs="Arial"/>
          <w:color w:val="000000"/>
          <w:spacing w:val="-2"/>
          <w:sz w:val="20"/>
          <w:szCs w:val="20"/>
        </w:rPr>
        <w:t xml:space="preserve"> Construction.</w:t>
      </w:r>
      <w:r>
        <w:rPr>
          <w:rFonts w:ascii="Times New Roman" w:hAnsi="Times New Roman" w:cs="Times New Roman"/>
          <w:sz w:val="20"/>
          <w:szCs w:val="20"/>
        </w:rPr>
        <w:t xml:space="preserve"> </w:t>
      </w:r>
      <w:r>
        <w:rPr>
          <w:rFonts w:ascii="Arial" w:hAnsi="Arial" w:cs="Arial"/>
          <w:color w:val="000000"/>
          <w:sz w:val="20"/>
          <w:szCs w:val="20"/>
        </w:rPr>
        <w:t xml:space="preserve">5. Fruit </w:t>
      </w:r>
      <w:r>
        <w:rPr>
          <w:rFonts w:ascii="Symbol" w:hAnsi="Symbol" w:cs="Symbol"/>
          <w:color w:val="000000"/>
          <w:sz w:val="20"/>
          <w:szCs w:val="20"/>
        </w:rPr>
        <w:t>↔</w:t>
      </w:r>
      <w:r>
        <w:rPr>
          <w:rFonts w:ascii="Arial" w:hAnsi="Arial" w:cs="Arial"/>
          <w:color w:val="000000"/>
          <w:sz w:val="20"/>
          <w:szCs w:val="20"/>
        </w:rPr>
        <w:t xml:space="preserve"> Food is strongly correlated.</w:t>
      </w:r>
    </w:p>
    <w:p w14:paraId="0DD3D743" w14:textId="77777777" w:rsidR="00A573B0" w:rsidRDefault="00A573B0" w:rsidP="00A573B0">
      <w:pPr>
        <w:spacing w:line="240" w:lineRule="exact"/>
        <w:ind w:left="1040" w:right="1148"/>
        <w:rPr>
          <w:rFonts w:ascii="Times New Roman" w:hAnsi="Times New Roman" w:cs="Times New Roman"/>
          <w:color w:val="010302"/>
        </w:rPr>
      </w:pPr>
    </w:p>
    <w:p w14:paraId="7E1E097D" w14:textId="77777777" w:rsidR="00A573B0" w:rsidRDefault="00A573B0" w:rsidP="00A573B0">
      <w:pPr>
        <w:spacing w:line="240" w:lineRule="exact"/>
        <w:ind w:left="1040" w:right="1148"/>
        <w:rPr>
          <w:rFonts w:ascii="Times New Roman" w:hAnsi="Times New Roman" w:cs="Times New Roman"/>
          <w:color w:val="010302"/>
        </w:rPr>
      </w:pPr>
    </w:p>
    <w:p w14:paraId="145C9C26" w14:textId="77777777" w:rsidR="00A573B0" w:rsidRDefault="00A573B0" w:rsidP="00A573B0">
      <w:pPr>
        <w:spacing w:line="240" w:lineRule="exact"/>
        <w:ind w:left="1040" w:right="1148"/>
        <w:rPr>
          <w:rFonts w:ascii="Times New Roman" w:hAnsi="Times New Roman" w:cs="Times New Roman"/>
          <w:color w:val="010302"/>
        </w:rPr>
      </w:pPr>
    </w:p>
    <w:p w14:paraId="6B702B48" w14:textId="77777777" w:rsidR="00A573B0" w:rsidRDefault="00A573B0" w:rsidP="00A573B0">
      <w:pPr>
        <w:spacing w:line="240" w:lineRule="exact"/>
        <w:ind w:left="1040" w:right="1148"/>
        <w:rPr>
          <w:rFonts w:ascii="Times New Roman" w:hAnsi="Times New Roman" w:cs="Times New Roman"/>
          <w:color w:val="010302"/>
        </w:rPr>
      </w:pPr>
    </w:p>
    <w:p w14:paraId="3AB6DE4E" w14:textId="77777777" w:rsidR="00A573B0" w:rsidRDefault="00A573B0" w:rsidP="00A573B0">
      <w:pPr>
        <w:spacing w:line="240" w:lineRule="exact"/>
        <w:ind w:left="1040" w:right="1148"/>
        <w:rPr>
          <w:rFonts w:ascii="Times New Roman" w:hAnsi="Times New Roman" w:cs="Times New Roman"/>
          <w:color w:val="010302"/>
        </w:rPr>
      </w:pPr>
    </w:p>
    <w:p w14:paraId="5375B138" w14:textId="77777777" w:rsidR="00A573B0" w:rsidRDefault="00A573B0" w:rsidP="00A573B0">
      <w:pPr>
        <w:spacing w:line="240" w:lineRule="exact"/>
        <w:ind w:left="1040" w:right="1148"/>
        <w:rPr>
          <w:rFonts w:ascii="Times New Roman" w:hAnsi="Times New Roman" w:cs="Times New Roman"/>
          <w:color w:val="010302"/>
        </w:rPr>
      </w:pPr>
    </w:p>
    <w:p w14:paraId="14A9A984" w14:textId="77777777" w:rsidR="00A573B0" w:rsidRDefault="00A573B0" w:rsidP="00A573B0">
      <w:pPr>
        <w:spacing w:line="240" w:lineRule="exact"/>
        <w:ind w:left="1040" w:right="1148"/>
        <w:rPr>
          <w:rFonts w:ascii="Times New Roman" w:hAnsi="Times New Roman" w:cs="Times New Roman"/>
          <w:color w:val="010302"/>
        </w:rPr>
      </w:pPr>
    </w:p>
    <w:p w14:paraId="4BD8DA5C" w14:textId="77777777" w:rsidR="00A573B0" w:rsidRPr="00C515E3" w:rsidRDefault="00A573B0" w:rsidP="00A573B0">
      <w:pPr>
        <w:pStyle w:val="NormalWeb"/>
        <w:jc w:val="center"/>
        <w:rPr>
          <w:sz w:val="52"/>
          <w:szCs w:val="52"/>
          <w:u w:val="single"/>
        </w:rPr>
      </w:pPr>
      <w:r w:rsidRPr="00C515E3">
        <w:rPr>
          <w:rStyle w:val="Strong"/>
          <w:rFonts w:eastAsiaTheme="majorEastAsia"/>
          <w:sz w:val="52"/>
          <w:szCs w:val="52"/>
          <w:u w:val="single"/>
        </w:rPr>
        <w:t>Report on Air Quality and Water Pollution in Cities and Countries</w:t>
      </w:r>
    </w:p>
    <w:p w14:paraId="593DD81B" w14:textId="77777777" w:rsidR="00A573B0" w:rsidRDefault="00A573B0" w:rsidP="00A573B0">
      <w:pPr>
        <w:pStyle w:val="NormalWeb"/>
      </w:pPr>
    </w:p>
    <w:p w14:paraId="34987819" w14:textId="77777777" w:rsidR="00A573B0" w:rsidRDefault="00A573B0" w:rsidP="00A573B0">
      <w:pPr>
        <w:pStyle w:val="NormalWeb"/>
      </w:pPr>
      <w:r>
        <w:t>This report aims to present the results of an analysis of air quality and water pollution data for a selection of cities around the world. The data has been organized to include the city name, region, country, as well as the average indices for air quality and water pollution.</w:t>
      </w:r>
    </w:p>
    <w:p w14:paraId="58442D53" w14:textId="77777777" w:rsidR="00A573B0" w:rsidRDefault="00A573B0" w:rsidP="00A573B0">
      <w:pPr>
        <w:pStyle w:val="NormalWeb"/>
        <w:rPr>
          <w:rStyle w:val="Strong"/>
          <w:rFonts w:eastAsiaTheme="majorEastAsia"/>
        </w:rPr>
      </w:pPr>
    </w:p>
    <w:p w14:paraId="4A8BA59D" w14:textId="77777777" w:rsidR="00A573B0" w:rsidRDefault="00A573B0" w:rsidP="00A573B0">
      <w:pPr>
        <w:pStyle w:val="NormalWeb"/>
      </w:pPr>
      <w:r>
        <w:rPr>
          <w:rStyle w:val="Strong"/>
          <w:rFonts w:eastAsiaTheme="majorEastAsia"/>
        </w:rPr>
        <w:t>Analysis:</w:t>
      </w:r>
    </w:p>
    <w:p w14:paraId="6A5D576B" w14:textId="77777777" w:rsidR="00A573B0" w:rsidRDefault="00A573B0" w:rsidP="00A573B0">
      <w:pPr>
        <w:pStyle w:val="NormalWeb"/>
        <w:numPr>
          <w:ilvl w:val="0"/>
          <w:numId w:val="15"/>
        </w:numPr>
      </w:pPr>
      <w:r>
        <w:rPr>
          <w:rStyle w:val="Strong"/>
          <w:rFonts w:eastAsiaTheme="majorEastAsia"/>
        </w:rPr>
        <w:t>Air Quality:</w:t>
      </w:r>
    </w:p>
    <w:p w14:paraId="19EF867B" w14:textId="77777777" w:rsidR="00A573B0" w:rsidRDefault="00A573B0" w:rsidP="00A573B0">
      <w:pPr>
        <w:pStyle w:val="NormalWeb"/>
        <w:numPr>
          <w:ilvl w:val="1"/>
          <w:numId w:val="15"/>
        </w:numPr>
      </w:pPr>
      <w:r>
        <w:t>The higher the value, the higher the level of pollution, meaning worse air quality.</w:t>
      </w:r>
    </w:p>
    <w:p w14:paraId="1506D1A9" w14:textId="77777777" w:rsidR="00A573B0" w:rsidRDefault="00A573B0" w:rsidP="00A573B0">
      <w:pPr>
        <w:pStyle w:val="NormalWeb"/>
        <w:numPr>
          <w:ilvl w:val="1"/>
          <w:numId w:val="15"/>
        </w:numPr>
      </w:pPr>
      <w:r>
        <w:t>Countries can be ranked by their average to identify the most polluted ones.</w:t>
      </w:r>
    </w:p>
    <w:p w14:paraId="41A603FB" w14:textId="77777777" w:rsidR="00A573B0" w:rsidRDefault="00A573B0" w:rsidP="00A573B0">
      <w:pPr>
        <w:pStyle w:val="NormalWeb"/>
        <w:numPr>
          <w:ilvl w:val="0"/>
          <w:numId w:val="15"/>
        </w:numPr>
      </w:pPr>
      <w:r>
        <w:rPr>
          <w:rStyle w:val="Strong"/>
          <w:rFonts w:eastAsiaTheme="majorEastAsia"/>
        </w:rPr>
        <w:t>Water Pollution:</w:t>
      </w:r>
    </w:p>
    <w:p w14:paraId="18F387E2" w14:textId="77777777" w:rsidR="00A573B0" w:rsidRDefault="00A573B0" w:rsidP="00A573B0">
      <w:pPr>
        <w:pStyle w:val="NormalWeb"/>
        <w:numPr>
          <w:ilvl w:val="1"/>
          <w:numId w:val="15"/>
        </w:numPr>
      </w:pPr>
      <w:r>
        <w:t>The same scale applies (a higher value = higher pollution).</w:t>
      </w:r>
    </w:p>
    <w:p w14:paraId="51B09875" w14:textId="77777777" w:rsidR="00A573B0" w:rsidRDefault="00A573B0" w:rsidP="00A573B0">
      <w:pPr>
        <w:pStyle w:val="NormalWeb"/>
        <w:numPr>
          <w:ilvl w:val="1"/>
          <w:numId w:val="15"/>
        </w:numPr>
      </w:pPr>
      <w:r>
        <w:t>Countries and cities can be ranked to identify the areas most affected by water pollution.</w:t>
      </w:r>
    </w:p>
    <w:p w14:paraId="7ED5928C" w14:textId="77777777" w:rsidR="00A573B0" w:rsidRDefault="00A573B0" w:rsidP="00A573B0">
      <w:pPr>
        <w:pStyle w:val="NormalWeb"/>
        <w:numPr>
          <w:ilvl w:val="0"/>
          <w:numId w:val="15"/>
        </w:numPr>
      </w:pPr>
      <w:r>
        <w:rPr>
          <w:rStyle w:val="Strong"/>
          <w:rFonts w:eastAsiaTheme="majorEastAsia"/>
        </w:rPr>
        <w:t>Comparison:</w:t>
      </w:r>
    </w:p>
    <w:p w14:paraId="62640117" w14:textId="77777777" w:rsidR="00A573B0" w:rsidRDefault="00A573B0" w:rsidP="00A573B0">
      <w:pPr>
        <w:pStyle w:val="NormalWeb"/>
        <w:numPr>
          <w:ilvl w:val="1"/>
          <w:numId w:val="15"/>
        </w:numPr>
      </w:pPr>
      <w:r>
        <w:t>Some countries record high values for both air and water pollution (dual-pollution areas).</w:t>
      </w:r>
    </w:p>
    <w:p w14:paraId="318AAF7D" w14:textId="77777777" w:rsidR="00A573B0" w:rsidRDefault="00A573B0" w:rsidP="00A573B0">
      <w:pPr>
        <w:pStyle w:val="NormalWeb"/>
        <w:numPr>
          <w:ilvl w:val="1"/>
          <w:numId w:val="15"/>
        </w:numPr>
      </w:pPr>
      <w:r>
        <w:t>Other countries may show a significant difference between the two domains.</w:t>
      </w:r>
    </w:p>
    <w:p w14:paraId="307B29F9" w14:textId="77777777" w:rsidR="00A573B0" w:rsidRPr="00E071B3" w:rsidRDefault="00A573B0" w:rsidP="00A573B0">
      <w:pPr>
        <w:rPr>
          <w:sz w:val="32"/>
          <w:szCs w:val="32"/>
        </w:rPr>
      </w:pPr>
      <w:r>
        <w:rPr>
          <w:noProof/>
        </w:rPr>
        <w:drawing>
          <wp:inline distT="0" distB="0" distL="0" distR="0" wp14:anchorId="00060DF4" wp14:editId="0351EA9D">
            <wp:extent cx="2143125" cy="2171700"/>
            <wp:effectExtent l="0" t="0" r="9525" b="0"/>
            <wp:docPr id="56034459" name="Chart 1">
              <a:extLst xmlns:a="http://schemas.openxmlformats.org/drawingml/2006/main">
                <a:ext uri="{FF2B5EF4-FFF2-40B4-BE49-F238E27FC236}">
                  <a16:creationId xmlns:a16="http://schemas.microsoft.com/office/drawing/2014/main" id="{F2162147-4055-E763-3CC4-5EF9F7565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78A23983" wp14:editId="02855218">
            <wp:extent cx="2247900" cy="2057400"/>
            <wp:effectExtent l="0" t="0" r="0" b="0"/>
            <wp:docPr id="1136116694" name="Chart 1">
              <a:extLst xmlns:a="http://schemas.openxmlformats.org/drawingml/2006/main">
                <a:ext uri="{FF2B5EF4-FFF2-40B4-BE49-F238E27FC236}">
                  <a16:creationId xmlns:a16="http://schemas.microsoft.com/office/drawing/2014/main" id="{E6F623A6-B4A0-6617-8EAC-86D493E88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19BCB5" w14:textId="77777777" w:rsidR="00A573B0" w:rsidRDefault="00A573B0" w:rsidP="00A573B0">
      <w:pPr>
        <w:spacing w:line="240" w:lineRule="exact"/>
        <w:ind w:left="1040" w:right="1148"/>
        <w:rPr>
          <w:rFonts w:ascii="Times New Roman" w:hAnsi="Times New Roman" w:cs="Times New Roman"/>
          <w:color w:val="010302"/>
        </w:rPr>
      </w:pPr>
    </w:p>
    <w:p w14:paraId="2806AEEA" w14:textId="77777777" w:rsidR="00A573B0" w:rsidRDefault="00A573B0" w:rsidP="00A573B0">
      <w:pPr>
        <w:spacing w:line="240" w:lineRule="exact"/>
        <w:ind w:right="1148"/>
        <w:rPr>
          <w:rFonts w:ascii="Times New Roman" w:hAnsi="Times New Roman" w:cs="Times New Roman"/>
          <w:color w:val="010302"/>
        </w:rPr>
      </w:pPr>
    </w:p>
    <w:p w14:paraId="577B1D3A" w14:textId="77777777" w:rsidR="00A573B0" w:rsidRDefault="00A573B0" w:rsidP="00A573B0">
      <w:pPr>
        <w:spacing w:line="240" w:lineRule="exact"/>
        <w:ind w:right="1148"/>
        <w:rPr>
          <w:rFonts w:ascii="Times New Roman" w:hAnsi="Times New Roman" w:cs="Times New Roman"/>
          <w:color w:val="010302"/>
        </w:rPr>
      </w:pPr>
    </w:p>
    <w:p w14:paraId="5A864F58" w14:textId="77777777" w:rsidR="00A573B0" w:rsidRDefault="00A573B0" w:rsidP="00A573B0">
      <w:pPr>
        <w:spacing w:line="240" w:lineRule="exact"/>
        <w:ind w:right="1148"/>
        <w:rPr>
          <w:rFonts w:ascii="Times New Roman" w:hAnsi="Times New Roman" w:cs="Times New Roman"/>
          <w:color w:val="010302"/>
        </w:rPr>
      </w:pPr>
    </w:p>
    <w:p w14:paraId="7D9E844A" w14:textId="77777777" w:rsidR="00A573B0" w:rsidRDefault="00A573B0" w:rsidP="00A573B0">
      <w:pPr>
        <w:spacing w:line="240" w:lineRule="exact"/>
        <w:ind w:right="1148"/>
        <w:rPr>
          <w:rFonts w:ascii="Times New Roman" w:hAnsi="Times New Roman" w:cs="Times New Roman"/>
          <w:color w:val="010302"/>
        </w:rPr>
      </w:pPr>
    </w:p>
    <w:p w14:paraId="2C21115C" w14:textId="77777777" w:rsidR="00A573B0" w:rsidRDefault="00A573B0" w:rsidP="00A573B0">
      <w:pPr>
        <w:spacing w:line="240" w:lineRule="exact"/>
        <w:ind w:right="1148"/>
        <w:rPr>
          <w:rFonts w:ascii="Times New Roman" w:hAnsi="Times New Roman" w:cs="Times New Roman"/>
          <w:color w:val="010302"/>
        </w:rPr>
      </w:pPr>
    </w:p>
    <w:p w14:paraId="24D89EC4" w14:textId="77777777" w:rsidR="00A573B0" w:rsidRDefault="00A573B0" w:rsidP="00A573B0">
      <w:pPr>
        <w:spacing w:line="240" w:lineRule="exact"/>
        <w:ind w:right="1148"/>
        <w:rPr>
          <w:rFonts w:ascii="Times New Roman" w:hAnsi="Times New Roman" w:cs="Times New Roman"/>
          <w:color w:val="010302"/>
        </w:rPr>
      </w:pPr>
    </w:p>
    <w:p w14:paraId="4BB9A037" w14:textId="5C094743" w:rsidR="00A573B0" w:rsidRDefault="00A573B0" w:rsidP="004209E2">
      <w:pPr>
        <w:spacing w:line="240" w:lineRule="exact"/>
        <w:ind w:right="1148"/>
        <w:rPr>
          <w:rFonts w:ascii="Times New Roman" w:hAnsi="Times New Roman" w:cs="Times New Roman"/>
          <w:color w:val="010302"/>
        </w:rPr>
      </w:pPr>
    </w:p>
    <w:p w14:paraId="6AFFBCE3" w14:textId="6FFE51B7" w:rsidR="004209E2" w:rsidRDefault="004209E2" w:rsidP="004209E2">
      <w:pPr>
        <w:spacing w:line="240" w:lineRule="exact"/>
        <w:ind w:right="1148"/>
        <w:rPr>
          <w:rFonts w:ascii="Times New Roman" w:hAnsi="Times New Roman" w:cs="Times New Roman"/>
          <w:color w:val="010302"/>
        </w:rPr>
      </w:pPr>
    </w:p>
    <w:p w14:paraId="0A91C010" w14:textId="1481CC8E" w:rsidR="004209E2" w:rsidRDefault="004209E2" w:rsidP="004209E2">
      <w:pPr>
        <w:spacing w:line="240" w:lineRule="exact"/>
        <w:ind w:right="1148"/>
        <w:rPr>
          <w:rFonts w:ascii="Times New Roman" w:hAnsi="Times New Roman" w:cs="Times New Roman"/>
          <w:color w:val="010302"/>
        </w:rPr>
      </w:pPr>
    </w:p>
    <w:p w14:paraId="5291138A" w14:textId="22A77891" w:rsidR="004209E2" w:rsidRDefault="004209E2" w:rsidP="004209E2">
      <w:pPr>
        <w:spacing w:line="240" w:lineRule="exact"/>
        <w:ind w:right="1148"/>
        <w:rPr>
          <w:rFonts w:ascii="Times New Roman" w:hAnsi="Times New Roman" w:cs="Times New Roman"/>
          <w:color w:val="010302"/>
        </w:rPr>
      </w:pPr>
    </w:p>
    <w:p w14:paraId="0DC90794" w14:textId="74347561" w:rsidR="004209E2" w:rsidRDefault="004209E2" w:rsidP="004209E2">
      <w:pPr>
        <w:spacing w:line="240" w:lineRule="exact"/>
        <w:ind w:right="1148"/>
        <w:rPr>
          <w:rFonts w:ascii="Times New Roman" w:hAnsi="Times New Roman" w:cs="Times New Roman"/>
          <w:color w:val="010302"/>
        </w:rPr>
      </w:pPr>
    </w:p>
    <w:p w14:paraId="1B88086C" w14:textId="4CB7C637" w:rsidR="004209E2" w:rsidRDefault="004209E2" w:rsidP="004209E2">
      <w:pPr>
        <w:spacing w:line="240" w:lineRule="exact"/>
        <w:ind w:right="1148"/>
        <w:rPr>
          <w:rFonts w:ascii="Times New Roman" w:hAnsi="Times New Roman" w:cs="Times New Roman"/>
          <w:color w:val="010302"/>
        </w:rPr>
      </w:pPr>
    </w:p>
    <w:p w14:paraId="48005D45" w14:textId="77777777" w:rsidR="004209E2" w:rsidRPr="004209E2" w:rsidRDefault="004209E2" w:rsidP="004209E2">
      <w:pPr>
        <w:jc w:val="center"/>
        <w:rPr>
          <w:b/>
          <w:bCs/>
          <w:sz w:val="36"/>
          <w:szCs w:val="36"/>
        </w:rPr>
      </w:pPr>
      <w:r w:rsidRPr="004209E2">
        <w:rPr>
          <w:b/>
          <w:bCs/>
          <w:sz w:val="36"/>
          <w:szCs w:val="36"/>
        </w:rPr>
        <w:t>Sustainable AI for Environmental Tracking &amp; Community Engagement</w:t>
      </w:r>
    </w:p>
    <w:p w14:paraId="51070E49" w14:textId="77777777" w:rsidR="004209E2" w:rsidRDefault="004209E2" w:rsidP="004209E2">
      <w:pPr>
        <w:jc w:val="center"/>
      </w:pPr>
    </w:p>
    <w:p w14:paraId="16BBE7C8" w14:textId="77777777" w:rsidR="004209E2" w:rsidRDefault="004209E2" w:rsidP="004209E2">
      <w:pPr>
        <w:rPr>
          <w:b/>
          <w:bCs/>
        </w:rPr>
      </w:pPr>
      <w:r>
        <w:rPr>
          <w:b/>
          <w:bCs/>
        </w:rPr>
        <w:t>1. Water Potability Prediction Models</w:t>
      </w:r>
    </w:p>
    <w:p w14:paraId="41B78E4A" w14:textId="77777777" w:rsidR="004209E2" w:rsidRDefault="004209E2" w:rsidP="004209E2">
      <w:pPr>
        <w:rPr>
          <w:b/>
          <w:bCs/>
        </w:rPr>
      </w:pPr>
      <w:r>
        <w:rPr>
          <w:b/>
          <w:bCs/>
        </w:rPr>
        <w:t xml:space="preserve">Objective: To build models that predict if water is potable (safe for drinking) based on its chemical properties using the </w:t>
      </w:r>
      <w:proofErr w:type="spellStart"/>
      <w:r>
        <w:rPr>
          <w:b/>
          <w:bCs/>
        </w:rPr>
        <w:t>water_dataX</w:t>
      </w:r>
      <w:proofErr w:type="spellEnd"/>
      <w:r>
        <w:rPr>
          <w:b/>
          <w:bCs/>
        </w:rPr>
        <w:t xml:space="preserve"> (1).csv dataset. The goal is to provide a reliable classification system for monitoring environmental water quality.</w:t>
      </w:r>
    </w:p>
    <w:tbl>
      <w:tblPr>
        <w:tblW w:w="0" w:type="auto"/>
        <w:tblCellSpacing w:w="15" w:type="dxa"/>
        <w:tblBorders>
          <w:insideH w:val="single" w:sz="4" w:space="0" w:color="auto"/>
          <w:insideV w:val="single" w:sz="4" w:space="0" w:color="auto"/>
        </w:tblBorders>
        <w:tblLook w:val="04A0" w:firstRow="1" w:lastRow="0" w:firstColumn="1" w:lastColumn="0" w:noHBand="0" w:noVBand="1"/>
      </w:tblPr>
      <w:tblGrid>
        <w:gridCol w:w="1004"/>
        <w:gridCol w:w="4378"/>
        <w:gridCol w:w="2883"/>
        <w:gridCol w:w="2640"/>
      </w:tblGrid>
      <w:tr w:rsidR="004209E2" w14:paraId="03490086" w14:textId="77777777" w:rsidTr="004209E2">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DA9449" w14:textId="77777777" w:rsidR="004209E2" w:rsidRDefault="004209E2">
            <w:pPr>
              <w:rPr>
                <w:b/>
                <w:bCs/>
              </w:rPr>
            </w:pPr>
            <w:r>
              <w:rPr>
                <w:b/>
                <w:bCs/>
              </w:rPr>
              <w:t>Model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778179" w14:textId="77777777" w:rsidR="004209E2" w:rsidRDefault="004209E2">
            <w:pPr>
              <w:rPr>
                <w:b/>
                <w:bCs/>
              </w:rPr>
            </w:pPr>
            <w:r>
              <w:rPr>
                <w:b/>
                <w:bCs/>
              </w:rPr>
              <w:t>How It Works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AEC757" w14:textId="77777777" w:rsidR="004209E2" w:rsidRDefault="004209E2">
            <w:pPr>
              <w:rPr>
                <w:b/>
                <w:bCs/>
              </w:rPr>
            </w:pPr>
            <w:r>
              <w:rPr>
                <w:b/>
                <w:bCs/>
              </w:rPr>
              <w:t>Key Strengths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2219EA" w14:textId="77777777" w:rsidR="004209E2" w:rsidRDefault="004209E2">
            <w:pPr>
              <w:rPr>
                <w:b/>
                <w:bCs/>
              </w:rPr>
            </w:pPr>
            <w:r>
              <w:rPr>
                <w:b/>
                <w:bCs/>
              </w:rPr>
              <w:t>Performance Metrics</w:t>
            </w:r>
          </w:p>
        </w:tc>
      </w:tr>
      <w:tr w:rsidR="004209E2" w14:paraId="4C5B837E" w14:textId="77777777" w:rsidTr="004209E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A5D858" w14:textId="77777777" w:rsidR="004209E2" w:rsidRDefault="004209E2">
            <w:pPr>
              <w:rPr>
                <w:b/>
                <w:bCs/>
              </w:rPr>
            </w:pPr>
            <w:r>
              <w:rPr>
                <w:b/>
                <w:bCs/>
              </w:rPr>
              <w:t>Decision Tree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695C45" w14:textId="77777777" w:rsidR="004209E2" w:rsidRDefault="004209E2">
            <w:pPr>
              <w:rPr>
                <w:b/>
                <w:bCs/>
              </w:rPr>
            </w:pPr>
            <w:r>
              <w:rPr>
                <w:b/>
                <w:bCs/>
              </w:rPr>
              <w:t>A hierarchical, flow-chart-like model that makes decisions by splitting data based on feature values. It is simple to understand and visualize.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05ABAB" w14:textId="77777777" w:rsidR="004209E2" w:rsidRDefault="004209E2">
            <w:pPr>
              <w:rPr>
                <w:b/>
                <w:bCs/>
              </w:rPr>
            </w:pPr>
            <w:r>
              <w:rPr>
                <w:b/>
                <w:bCs/>
              </w:rPr>
              <w:t>Intuitive, easy to interpret, and requires minimal data preparation.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97887A" w14:textId="77777777" w:rsidR="004209E2" w:rsidRDefault="004209E2">
            <w:pPr>
              <w:rPr>
                <w:b/>
                <w:bCs/>
              </w:rPr>
            </w:pPr>
            <w:r>
              <w:rPr>
                <w:b/>
                <w:bCs/>
              </w:rPr>
              <w:t>Accuracy: 77.44% Precision: 85.06% Recall: 85.62% F1 Score: 85.34% AUC-ROC: 68.08%</w:t>
            </w:r>
          </w:p>
        </w:tc>
      </w:tr>
      <w:tr w:rsidR="004209E2" w14:paraId="6CE1B670" w14:textId="77777777" w:rsidTr="004209E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D04413" w14:textId="77777777" w:rsidR="004209E2" w:rsidRDefault="004209E2">
            <w:pPr>
              <w:rPr>
                <w:b/>
                <w:bCs/>
              </w:rPr>
            </w:pPr>
            <w:r>
              <w:rPr>
                <w:b/>
                <w:bCs/>
              </w:rPr>
              <w:t>Random Forest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D07BCB" w14:textId="77777777" w:rsidR="004209E2" w:rsidRDefault="004209E2">
            <w:pPr>
              <w:rPr>
                <w:b/>
                <w:bCs/>
              </w:rPr>
            </w:pPr>
            <w:r>
              <w:rPr>
                <w:b/>
                <w:bCs/>
              </w:rPr>
              <w:t>An ensemble method that builds multiple Decision Trees and merges their outputs to get a more accurate and stable prediction. It addresses the overfitting issues of a single tree.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2A145A" w14:textId="77777777" w:rsidR="004209E2" w:rsidRDefault="004209E2">
            <w:pPr>
              <w:rPr>
                <w:b/>
                <w:bCs/>
              </w:rPr>
            </w:pPr>
            <w:r>
              <w:rPr>
                <w:b/>
                <w:bCs/>
              </w:rPr>
              <w:t>High accuracy, robust against overfitting, and can handle complex, non-linear data relationships.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5BB955" w14:textId="77777777" w:rsidR="004209E2" w:rsidRDefault="004209E2">
            <w:pPr>
              <w:rPr>
                <w:b/>
                <w:bCs/>
              </w:rPr>
            </w:pPr>
            <w:r>
              <w:rPr>
                <w:b/>
                <w:bCs/>
              </w:rPr>
              <w:t>Accuracy: 84.96% Precision: 86.18% Recall: 95.75% F1 Score: 90.71% AUC-ROC: 86.22%</w:t>
            </w:r>
          </w:p>
        </w:tc>
      </w:tr>
      <w:tr w:rsidR="004209E2" w14:paraId="60371553" w14:textId="77777777" w:rsidTr="004209E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20C83F" w14:textId="77777777" w:rsidR="004209E2" w:rsidRDefault="004209E2">
            <w:pPr>
              <w:rPr>
                <w:b/>
                <w:bCs/>
              </w:rPr>
            </w:pPr>
            <w:proofErr w:type="spellStart"/>
            <w:r>
              <w:rPr>
                <w:b/>
                <w:bCs/>
              </w:rPr>
              <w:t>XGBoost</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AEDF8B" w14:textId="77777777" w:rsidR="004209E2" w:rsidRDefault="004209E2">
            <w:pPr>
              <w:rPr>
                <w:b/>
                <w:bCs/>
              </w:rPr>
            </w:pPr>
            <w:r>
              <w:rPr>
                <w:b/>
                <w:bCs/>
              </w:rPr>
              <w:t>A powerful gradient boosting framework. It builds trees sequentially, where each new tree corrects the errors of the previous ones, leading to highly optimized performance.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C2BC5A" w14:textId="77777777" w:rsidR="004209E2" w:rsidRDefault="004209E2">
            <w:pPr>
              <w:rPr>
                <w:b/>
                <w:bCs/>
              </w:rPr>
            </w:pPr>
            <w:r>
              <w:rPr>
                <w:b/>
                <w:bCs/>
              </w:rPr>
              <w:t>High performance, speed, and regularization to prevent overfitting.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C08EE6" w14:textId="77777777" w:rsidR="004209E2" w:rsidRDefault="004209E2">
            <w:pPr>
              <w:rPr>
                <w:b/>
                <w:bCs/>
              </w:rPr>
            </w:pPr>
            <w:r>
              <w:rPr>
                <w:b/>
                <w:bCs/>
              </w:rPr>
              <w:t>Accuracy: 84.21% Precision: 86.91% Recall: 93.14% F1 Score: 90.05% AUC-ROC: 84.75%</w:t>
            </w:r>
          </w:p>
        </w:tc>
      </w:tr>
    </w:tbl>
    <w:p w14:paraId="3A84905A" w14:textId="77777777" w:rsidR="004209E2" w:rsidRDefault="004209E2" w:rsidP="004209E2">
      <w:pPr>
        <w:rPr>
          <w:b/>
          <w:bCs/>
        </w:rPr>
      </w:pPr>
    </w:p>
    <w:p w14:paraId="195ACFCB" w14:textId="15FA3B10" w:rsidR="004209E2" w:rsidRDefault="004209E2" w:rsidP="004209E2">
      <w:r>
        <w:rPr>
          <w:b/>
          <w:bCs/>
        </w:rPr>
        <w:t>Analysis</w:t>
      </w:r>
      <w:r>
        <w:t xml:space="preserve">: The </w:t>
      </w:r>
      <w:r>
        <w:rPr>
          <w:b/>
          <w:bCs/>
        </w:rPr>
        <w:t>Random Forest</w:t>
      </w:r>
      <w:r>
        <w:t xml:space="preserve"> model was the most effective in this scenario, providing the highest accuracy and a high F1 score, making it the most suitable choice for deployment. </w:t>
      </w:r>
    </w:p>
    <w:p w14:paraId="4BE2658E" w14:textId="77777777" w:rsidR="004209E2" w:rsidRDefault="004209E2" w:rsidP="004209E2"/>
    <w:p w14:paraId="475EC503" w14:textId="77777777" w:rsidR="004209E2" w:rsidRDefault="004209E2" w:rsidP="004209E2">
      <w:pPr>
        <w:rPr>
          <w:b/>
          <w:bCs/>
        </w:rPr>
      </w:pPr>
      <w:r>
        <w:t xml:space="preserve"> </w:t>
      </w:r>
      <w:r>
        <w:rPr>
          <w:b/>
          <w:bCs/>
        </w:rPr>
        <w:t>2. California Housing Prediction Model</w:t>
      </w:r>
    </w:p>
    <w:p w14:paraId="19B8E86C" w14:textId="77777777" w:rsidR="004209E2" w:rsidRDefault="004209E2" w:rsidP="004209E2">
      <w:r>
        <w:rPr>
          <w:b/>
          <w:bCs/>
        </w:rPr>
        <w:t>Objective</w:t>
      </w:r>
      <w:r>
        <w:t>: To predict the median house value in California using a regression model based on various features like median income, house age, and location coordinates.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4436"/>
        <w:gridCol w:w="2842"/>
        <w:gridCol w:w="2372"/>
      </w:tblGrid>
      <w:tr w:rsidR="004209E2" w14:paraId="4E2CC93E" w14:textId="77777777" w:rsidTr="004209E2">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B93306" w14:textId="77777777" w:rsidR="004209E2" w:rsidRDefault="004209E2">
            <w:r>
              <w:t>Model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E76B70" w14:textId="77777777" w:rsidR="004209E2" w:rsidRDefault="004209E2">
            <w:r>
              <w:t>How It Works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115DA3" w14:textId="77777777" w:rsidR="004209E2" w:rsidRDefault="004209E2">
            <w:r>
              <w:t>Key Strengths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4207AA" w14:textId="77777777" w:rsidR="004209E2" w:rsidRDefault="004209E2">
            <w:r>
              <w:t>Performance Metrics</w:t>
            </w:r>
          </w:p>
        </w:tc>
      </w:tr>
      <w:tr w:rsidR="004209E2" w14:paraId="3B83E850" w14:textId="77777777" w:rsidTr="004209E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312A1D" w14:textId="77777777" w:rsidR="004209E2" w:rsidRDefault="004209E2">
            <w:r>
              <w:rPr>
                <w:b/>
                <w:bCs/>
              </w:rPr>
              <w:t>Linear Regression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29652A" w14:textId="77777777" w:rsidR="004209E2" w:rsidRDefault="004209E2">
            <w:r>
              <w:t>A basic statistical model that finds the best-fit linear relationship between the input features and the target variable.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1AD2CC" w14:textId="77777777" w:rsidR="004209E2" w:rsidRDefault="004209E2">
            <w:r>
              <w:t>Simplicity, interpretability, and fast computation.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15D472" w14:textId="77777777" w:rsidR="004209E2" w:rsidRDefault="004209E2">
            <w:r>
              <w:rPr>
                <w:b/>
                <w:bCs/>
              </w:rPr>
              <w:t>Mean Squared Error (MSE)</w:t>
            </w:r>
            <w:r>
              <w:t xml:space="preserve">: 0.5559 </w:t>
            </w:r>
            <w:r>
              <w:rPr>
                <w:b/>
                <w:bCs/>
              </w:rPr>
              <w:t>R-squared (R2)</w:t>
            </w:r>
            <w:r>
              <w:t>: 0.5758</w:t>
            </w:r>
          </w:p>
        </w:tc>
      </w:tr>
      <w:tr w:rsidR="004209E2" w14:paraId="6A03BBD6" w14:textId="77777777" w:rsidTr="004209E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74292B" w14:textId="77777777" w:rsidR="004209E2" w:rsidRDefault="004209E2">
            <w:r>
              <w:rPr>
                <w:b/>
                <w:bCs/>
              </w:rPr>
              <w:t>Decision Tree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5C23DF" w14:textId="77777777" w:rsidR="004209E2" w:rsidRDefault="004209E2">
            <w:r>
              <w:t>As above, but adapted for continuous target variables (regression). It splits data into segments and predicts a constant value within each segment.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D90644" w14:textId="77777777" w:rsidR="004209E2" w:rsidRDefault="004209E2">
            <w:r>
              <w:t>Handles non-linear relationships well, requires little data preprocessing.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D239E5" w14:textId="77777777" w:rsidR="004209E2" w:rsidRDefault="004209E2">
            <w:r>
              <w:rPr>
                <w:b/>
                <w:bCs/>
              </w:rPr>
              <w:t>Mean Squared Error (MSE)</w:t>
            </w:r>
            <w:r>
              <w:t xml:space="preserve">: 0.4940 </w:t>
            </w:r>
            <w:r>
              <w:rPr>
                <w:b/>
                <w:bCs/>
              </w:rPr>
              <w:t>R-squared (R2)</w:t>
            </w:r>
            <w:r>
              <w:t>: 0.6230</w:t>
            </w:r>
          </w:p>
        </w:tc>
      </w:tr>
      <w:tr w:rsidR="004209E2" w14:paraId="0FF8009A" w14:textId="77777777" w:rsidTr="004209E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4A030B" w14:textId="77777777" w:rsidR="004209E2" w:rsidRDefault="004209E2">
            <w:r>
              <w:rPr>
                <w:b/>
                <w:bCs/>
              </w:rPr>
              <w:t>Random Forest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6391F7" w14:textId="77777777" w:rsidR="004209E2" w:rsidRDefault="004209E2">
            <w:r>
              <w:t>An ensemble of Decision Trees for regression. It averages the predictions of multiple trees to provide a more accurate and robust result.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E389D2" w14:textId="77777777" w:rsidR="004209E2" w:rsidRDefault="004209E2">
            <w:r>
              <w:t>High accuracy and robustness against noise and outliers.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2B1602" w14:textId="77777777" w:rsidR="004209E2" w:rsidRDefault="004209E2">
            <w:r>
              <w:rPr>
                <w:b/>
                <w:bCs/>
              </w:rPr>
              <w:t>Mean Squared Error (MSE)</w:t>
            </w:r>
            <w:r>
              <w:t xml:space="preserve">: </w:t>
            </w:r>
            <w:r>
              <w:rPr>
                <w:b/>
                <w:bCs/>
              </w:rPr>
              <w:t>0.2552</w:t>
            </w:r>
            <w:r>
              <w:t xml:space="preserve"> </w:t>
            </w:r>
            <w:r>
              <w:rPr>
                <w:b/>
                <w:bCs/>
              </w:rPr>
              <w:t>R-squared (R2)</w:t>
            </w:r>
            <w:r>
              <w:t xml:space="preserve">: </w:t>
            </w:r>
            <w:r>
              <w:rPr>
                <w:b/>
                <w:bCs/>
              </w:rPr>
              <w:t>0.8053</w:t>
            </w:r>
          </w:p>
        </w:tc>
      </w:tr>
    </w:tbl>
    <w:p w14:paraId="383BDE6D" w14:textId="77777777" w:rsidR="004209E2" w:rsidRDefault="004209E2" w:rsidP="004209E2">
      <w:pPr>
        <w:rPr>
          <w:kern w:val="2"/>
          <w14:ligatures w14:val="standardContextual"/>
        </w:rPr>
      </w:pPr>
    </w:p>
    <w:p w14:paraId="6BD0D291" w14:textId="6136A078" w:rsidR="004209E2" w:rsidRDefault="004209E2" w:rsidP="004209E2">
      <w:r>
        <w:rPr>
          <w:b/>
          <w:bCs/>
        </w:rPr>
        <w:lastRenderedPageBreak/>
        <w:t>Analysis</w:t>
      </w:r>
      <w:r>
        <w:t xml:space="preserve">: The </w:t>
      </w:r>
      <w:r>
        <w:rPr>
          <w:b/>
          <w:bCs/>
        </w:rPr>
        <w:t>Random Forest</w:t>
      </w:r>
      <w:r>
        <w:t xml:space="preserve"> model significantly outperformed both the Linear Regression and Decision Tree models, as evidenced by its much lower </w:t>
      </w:r>
      <w:r>
        <w:rPr>
          <w:b/>
          <w:bCs/>
        </w:rPr>
        <w:t>Mean Squared Error (MSE)</w:t>
      </w:r>
      <w:r>
        <w:t xml:space="preserve"> and higher </w:t>
      </w:r>
      <w:r>
        <w:rPr>
          <w:b/>
          <w:bCs/>
        </w:rPr>
        <w:t>R-squared (R2)</w:t>
      </w:r>
      <w:r>
        <w:t xml:space="preserve"> value. This suggests that the relationship between housing features and value is complex and non-linear, making the ensemble approach superior. </w:t>
      </w:r>
    </w:p>
    <w:p w14:paraId="452B0853" w14:textId="77777777" w:rsidR="004209E2" w:rsidRDefault="004209E2" w:rsidP="004209E2"/>
    <w:p w14:paraId="1EEB378A" w14:textId="77777777" w:rsidR="004209E2" w:rsidRDefault="004209E2" w:rsidP="004209E2">
      <w:pPr>
        <w:rPr>
          <w:b/>
          <w:bCs/>
        </w:rPr>
      </w:pPr>
      <w:r>
        <w:rPr>
          <w:b/>
          <w:bCs/>
        </w:rPr>
        <w:t>3. Eco-Planter Expert System</w:t>
      </w:r>
    </w:p>
    <w:p w14:paraId="40BE6560" w14:textId="77777777" w:rsidR="004209E2" w:rsidRDefault="004209E2" w:rsidP="004209E2">
      <w:r>
        <w:rPr>
          <w:b/>
          <w:bCs/>
        </w:rPr>
        <w:t>Objective</w:t>
      </w:r>
      <w:r>
        <w:t>: To provide an intelligent, rule-based system for recommending suitable trees for planting in different Egyptian cities. This system is a valuable part of a broader project to promote urban sustainability.</w:t>
      </w:r>
    </w:p>
    <w:p w14:paraId="6343EF36" w14:textId="77777777" w:rsidR="004209E2" w:rsidRDefault="004209E2" w:rsidP="004209E2">
      <w:r>
        <w:rPr>
          <w:b/>
          <w:bCs/>
        </w:rPr>
        <w:t>System Type</w:t>
      </w:r>
      <w:r>
        <w:t xml:space="preserve">: This is not a machine learning model, but a </w:t>
      </w:r>
      <w:r>
        <w:rPr>
          <w:b/>
          <w:bCs/>
        </w:rPr>
        <w:t>rule-based expert system</w:t>
      </w:r>
      <w:r>
        <w:t>.</w:t>
      </w:r>
    </w:p>
    <w:p w14:paraId="403CD491" w14:textId="77777777" w:rsidR="004209E2" w:rsidRDefault="004209E2" w:rsidP="004209E2">
      <w:r>
        <w:rPr>
          <w:b/>
          <w:bCs/>
        </w:rPr>
        <w:t>How It Works</w:t>
      </w:r>
      <w:r>
        <w:t>: The system operates on a predefined set of rules and a database of trees. It takes user input—such as the city, soil type, sunlight exposure, and pest resistance—and filters its database to recommend trees that match the specified criteria. The system also includes data visualizations to help users make informed decisions.</w:t>
      </w:r>
    </w:p>
    <w:p w14:paraId="78B3925E" w14:textId="77777777" w:rsidR="004209E2" w:rsidRDefault="004209E2" w:rsidP="004209E2">
      <w:r>
        <w:rPr>
          <w:b/>
          <w:bCs/>
        </w:rPr>
        <w:t>Key Features</w:t>
      </w:r>
      <w:r>
        <w:t>:</w:t>
      </w:r>
    </w:p>
    <w:p w14:paraId="1C031C3B" w14:textId="77777777" w:rsidR="004209E2" w:rsidRDefault="004209E2" w:rsidP="004209E2">
      <w:pPr>
        <w:numPr>
          <w:ilvl w:val="0"/>
          <w:numId w:val="16"/>
        </w:numPr>
        <w:spacing w:line="276" w:lineRule="auto"/>
      </w:pPr>
      <w:r>
        <w:rPr>
          <w:b/>
          <w:bCs/>
        </w:rPr>
        <w:t>Recommendation Engine</w:t>
      </w:r>
      <w:r>
        <w:t>: Recommends appropriate trees based on environmental factors.</w:t>
      </w:r>
    </w:p>
    <w:p w14:paraId="3E5ED57B" w14:textId="77777777" w:rsidR="004209E2" w:rsidRDefault="004209E2" w:rsidP="004209E2">
      <w:pPr>
        <w:numPr>
          <w:ilvl w:val="0"/>
          <w:numId w:val="16"/>
        </w:numPr>
        <w:spacing w:line="276" w:lineRule="auto"/>
      </w:pPr>
      <w:r>
        <w:rPr>
          <w:b/>
          <w:bCs/>
        </w:rPr>
        <w:t>Database</w:t>
      </w:r>
      <w:r>
        <w:t>: Contains information on 10 trees suitable for Egypt, including soil, sunlight, and pest resistance data.</w:t>
      </w:r>
    </w:p>
    <w:p w14:paraId="5730A58D" w14:textId="77777777" w:rsidR="004209E2" w:rsidRDefault="004209E2" w:rsidP="004209E2">
      <w:pPr>
        <w:numPr>
          <w:ilvl w:val="0"/>
          <w:numId w:val="16"/>
        </w:numPr>
        <w:spacing w:line="276" w:lineRule="auto"/>
      </w:pPr>
      <w:r>
        <w:rPr>
          <w:b/>
          <w:bCs/>
        </w:rPr>
        <w:t>Data Visualization</w:t>
      </w:r>
      <w:r>
        <w:t>: Generates a bar chart showing the CO2 absorption of recommended trees and a detailed table of their attributes.</w:t>
      </w:r>
    </w:p>
    <w:p w14:paraId="004BF236" w14:textId="77777777" w:rsidR="004209E2" w:rsidRDefault="004209E2" w:rsidP="004209E2"/>
    <w:p w14:paraId="7216710E" w14:textId="156576D7" w:rsidR="00A573B0" w:rsidRDefault="00A573B0" w:rsidP="00A573B0">
      <w:pPr>
        <w:spacing w:line="240" w:lineRule="exact"/>
        <w:ind w:right="1148"/>
        <w:rPr>
          <w:rFonts w:ascii="Times New Roman" w:hAnsi="Times New Roman" w:cs="Times New Roman"/>
          <w:color w:val="010302"/>
        </w:rPr>
        <w:sectPr w:rsidR="00A573B0">
          <w:type w:val="continuous"/>
          <w:pgSz w:w="11915" w:h="16847"/>
          <w:pgMar w:top="343" w:right="500" w:bottom="275" w:left="500" w:header="708" w:footer="708" w:gutter="0"/>
          <w:cols w:space="720"/>
          <w:docGrid w:linePitch="360"/>
        </w:sectPr>
      </w:pPr>
    </w:p>
    <w:p w14:paraId="4BB17EF0" w14:textId="77777777" w:rsidR="00A573B0" w:rsidRDefault="00A573B0"/>
    <w:sectPr w:rsidR="00A5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991"/>
    <w:multiLevelType w:val="multilevel"/>
    <w:tmpl w:val="843C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05363"/>
    <w:multiLevelType w:val="multilevel"/>
    <w:tmpl w:val="9398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600C6"/>
    <w:multiLevelType w:val="multilevel"/>
    <w:tmpl w:val="8ED4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416A"/>
    <w:multiLevelType w:val="multilevel"/>
    <w:tmpl w:val="61C2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E1DFA"/>
    <w:multiLevelType w:val="multilevel"/>
    <w:tmpl w:val="70C84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86ADA"/>
    <w:multiLevelType w:val="multilevel"/>
    <w:tmpl w:val="02F6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B62C5"/>
    <w:multiLevelType w:val="multilevel"/>
    <w:tmpl w:val="F11A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119EA"/>
    <w:multiLevelType w:val="multilevel"/>
    <w:tmpl w:val="DE5E5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56B9F"/>
    <w:multiLevelType w:val="multilevel"/>
    <w:tmpl w:val="F7F0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6370E"/>
    <w:multiLevelType w:val="multilevel"/>
    <w:tmpl w:val="B5BA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E77FA"/>
    <w:multiLevelType w:val="multilevel"/>
    <w:tmpl w:val="F21EF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8785A"/>
    <w:multiLevelType w:val="multilevel"/>
    <w:tmpl w:val="ED183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E7E80"/>
    <w:multiLevelType w:val="multilevel"/>
    <w:tmpl w:val="9B0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851E1"/>
    <w:multiLevelType w:val="multilevel"/>
    <w:tmpl w:val="CD36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40A2D"/>
    <w:multiLevelType w:val="multilevel"/>
    <w:tmpl w:val="1AA8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E37EA"/>
    <w:multiLevelType w:val="multilevel"/>
    <w:tmpl w:val="A26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2"/>
  </w:num>
  <w:num w:numId="4">
    <w:abstractNumId w:val="14"/>
  </w:num>
  <w:num w:numId="5">
    <w:abstractNumId w:val="6"/>
  </w:num>
  <w:num w:numId="6">
    <w:abstractNumId w:val="10"/>
  </w:num>
  <w:num w:numId="7">
    <w:abstractNumId w:val="0"/>
  </w:num>
  <w:num w:numId="8">
    <w:abstractNumId w:val="2"/>
  </w:num>
  <w:num w:numId="9">
    <w:abstractNumId w:val="9"/>
  </w:num>
  <w:num w:numId="10">
    <w:abstractNumId w:val="1"/>
  </w:num>
  <w:num w:numId="11">
    <w:abstractNumId w:val="3"/>
  </w:num>
  <w:num w:numId="12">
    <w:abstractNumId w:val="4"/>
  </w:num>
  <w:num w:numId="13">
    <w:abstractNumId w:val="15"/>
  </w:num>
  <w:num w:numId="14">
    <w:abstractNumId w:val="11"/>
  </w:num>
  <w:num w:numId="15">
    <w:abstractNumId w:val="7"/>
  </w:num>
  <w:num w:numId="16">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FE"/>
    <w:rsid w:val="00202E81"/>
    <w:rsid w:val="002F21FE"/>
    <w:rsid w:val="004209E2"/>
    <w:rsid w:val="00A5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4BCC"/>
  <w15:chartTrackingRefBased/>
  <w15:docId w15:val="{179156DE-7349-45B7-A6F7-7DE8806A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1FE"/>
  </w:style>
  <w:style w:type="paragraph" w:styleId="Heading3">
    <w:name w:val="heading 3"/>
    <w:basedOn w:val="Normal"/>
    <w:link w:val="Heading3Char"/>
    <w:uiPriority w:val="9"/>
    <w:qFormat/>
    <w:rsid w:val="002F2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21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1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F21FE"/>
    <w:rPr>
      <w:rFonts w:asciiTheme="majorHAnsi" w:eastAsiaTheme="majorEastAsia" w:hAnsiTheme="majorHAnsi" w:cstheme="majorBidi"/>
      <w:i/>
      <w:iCs/>
      <w:color w:val="2F5496" w:themeColor="accent1" w:themeShade="BF"/>
    </w:rPr>
  </w:style>
  <w:style w:type="paragraph" w:customStyle="1" w:styleId="cvgsua">
    <w:name w:val="cvgsua"/>
    <w:basedOn w:val="Normal"/>
    <w:rsid w:val="002F2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gcmg">
    <w:name w:val="a_gcmg"/>
    <w:basedOn w:val="DefaultParagraphFont"/>
    <w:rsid w:val="002F21FE"/>
  </w:style>
  <w:style w:type="character" w:styleId="Strong">
    <w:name w:val="Strong"/>
    <w:basedOn w:val="DefaultParagraphFont"/>
    <w:uiPriority w:val="22"/>
    <w:qFormat/>
    <w:rsid w:val="002F21FE"/>
    <w:rPr>
      <w:b/>
      <w:bCs/>
    </w:rPr>
  </w:style>
  <w:style w:type="paragraph" w:customStyle="1" w:styleId="ds-markdown-paragraph">
    <w:name w:val="ds-markdown-paragraph"/>
    <w:basedOn w:val="Normal"/>
    <w:rsid w:val="002F21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21FE"/>
    <w:rPr>
      <w:i/>
      <w:iCs/>
    </w:rPr>
  </w:style>
  <w:style w:type="table" w:styleId="TableGrid">
    <w:name w:val="Table Grid"/>
    <w:basedOn w:val="TableNormal"/>
    <w:uiPriority w:val="59"/>
    <w:rsid w:val="00A573B0"/>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NormalWeb">
    <w:name w:val="Normal (Web)"/>
    <w:basedOn w:val="Normal"/>
    <w:uiPriority w:val="99"/>
    <w:semiHidden/>
    <w:unhideWhenUsed/>
    <w:rsid w:val="00A573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34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Cities1%20(1)%20(1)&#1576;&#1593;&#1583;%20&#1575;&#1604;&#1578;&#1581;&#1604;&#1610;&#16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Cities1%20(1)%20(1)&#1576;&#1593;&#1583;%20&#1575;&#1604;&#1578;&#1581;&#1604;&#1610;&#16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[Cities1 (1) (1)بعد التحليل.xlsx]Sheet1!PivotTable5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Average of AirQuality</c:v>
                </c:pt>
              </c:strCache>
            </c:strRef>
          </c:tx>
          <c:spPr>
            <a:solidFill>
              <a:schemeClr val="accent1"/>
            </a:solidFill>
            <a:ln>
              <a:noFill/>
            </a:ln>
            <a:effectLst/>
          </c:spPr>
          <c:invertIfNegative val="0"/>
          <c:cat>
            <c:strRef>
              <c:f>Sheet1!$A$4:$A$181</c:f>
              <c:strCache>
                <c:ptCount val="177"/>
                <c:pt idx="0">
                  <c:v>Afghanistan</c:v>
                </c:pt>
                <c:pt idx="1">
                  <c:v>Albania</c:v>
                </c:pt>
                <c:pt idx="2">
                  <c:v>Algeria</c:v>
                </c:pt>
                <c:pt idx="3">
                  <c:v>Andorra</c:v>
                </c:pt>
                <c:pt idx="4">
                  <c:v>Angola</c:v>
                </c:pt>
                <c:pt idx="5">
                  <c:v>Argentina</c:v>
                </c:pt>
                <c:pt idx="6">
                  <c:v>Armenia</c:v>
                </c:pt>
                <c:pt idx="7">
                  <c:v>Australia</c:v>
                </c:pt>
                <c:pt idx="8">
                  <c:v>Austria</c:v>
                </c:pt>
                <c:pt idx="9">
                  <c:v>Azerbaijan</c:v>
                </c:pt>
                <c:pt idx="10">
                  <c:v>Bahrain</c:v>
                </c:pt>
                <c:pt idx="11">
                  <c:v>Bangladesh</c:v>
                </c:pt>
                <c:pt idx="12">
                  <c:v>Barbados</c:v>
                </c:pt>
                <c:pt idx="13">
                  <c:v>Belarus</c:v>
                </c:pt>
                <c:pt idx="14">
                  <c:v>Belgium</c:v>
                </c:pt>
                <c:pt idx="15">
                  <c:v>Belize</c:v>
                </c:pt>
                <c:pt idx="16">
                  <c:v>Benin</c:v>
                </c:pt>
                <c:pt idx="17">
                  <c:v>Bhutan</c:v>
                </c:pt>
                <c:pt idx="18">
                  <c:v>Bolivia</c:v>
                </c:pt>
                <c:pt idx="19">
                  <c:v>Bosnia and Herzegovina</c:v>
                </c:pt>
                <c:pt idx="20">
                  <c:v>Botswana</c:v>
                </c:pt>
                <c:pt idx="21">
                  <c:v>Brazil</c:v>
                </c:pt>
                <c:pt idx="22">
                  <c:v>Brunei</c:v>
                </c:pt>
                <c:pt idx="23">
                  <c:v>Bulgaria</c:v>
                </c:pt>
                <c:pt idx="24">
                  <c:v>Burundi</c:v>
                </c:pt>
                <c:pt idx="25">
                  <c:v>Cambodia</c:v>
                </c:pt>
                <c:pt idx="26">
                  <c:v>Cameroon</c:v>
                </c:pt>
                <c:pt idx="27">
                  <c:v>Canada</c:v>
                </c:pt>
                <c:pt idx="28">
                  <c:v>Central African Republic</c:v>
                </c:pt>
                <c:pt idx="29">
                  <c:v>Chad</c:v>
                </c:pt>
                <c:pt idx="30">
                  <c:v>Chile</c:v>
                </c:pt>
                <c:pt idx="31">
                  <c:v>Colombia</c:v>
                </c:pt>
                <c:pt idx="32">
                  <c:v>Costa Rica</c:v>
                </c:pt>
                <c:pt idx="33">
                  <c:v>Cote d'Ivoire</c:v>
                </c:pt>
                <c:pt idx="34">
                  <c:v>Croatia</c:v>
                </c:pt>
                <c:pt idx="35">
                  <c:v>Cuba</c:v>
                </c:pt>
                <c:pt idx="36">
                  <c:v>Cyprus</c:v>
                </c:pt>
                <c:pt idx="37">
                  <c:v>Czech Republic</c:v>
                </c:pt>
                <c:pt idx="38">
                  <c:v>Djibouti</c:v>
                </c:pt>
                <c:pt idx="39">
                  <c:v>Dominican Republic</c:v>
                </c:pt>
                <c:pt idx="40">
                  <c:v>Ecuador</c:v>
                </c:pt>
                <c:pt idx="41">
                  <c:v>Egypt</c:v>
                </c:pt>
                <c:pt idx="42">
                  <c:v>El Salvador</c:v>
                </c:pt>
                <c:pt idx="43">
                  <c:v>Equatorial Guinea</c:v>
                </c:pt>
                <c:pt idx="44">
                  <c:v>Eritrea</c:v>
                </c:pt>
                <c:pt idx="45">
                  <c:v>Estonia</c:v>
                </c:pt>
                <c:pt idx="46">
                  <c:v>Eswatini</c:v>
                </c:pt>
                <c:pt idx="47">
                  <c:v>Ethiopia</c:v>
                </c:pt>
                <c:pt idx="48">
                  <c:v>Federated States of Micronesia</c:v>
                </c:pt>
                <c:pt idx="49">
                  <c:v>Fiji</c:v>
                </c:pt>
                <c:pt idx="50">
                  <c:v>Finland</c:v>
                </c:pt>
                <c:pt idx="51">
                  <c:v>France</c:v>
                </c:pt>
                <c:pt idx="52">
                  <c:v>Gabon</c:v>
                </c:pt>
                <c:pt idx="53">
                  <c:v>Georgia</c:v>
                </c:pt>
                <c:pt idx="54">
                  <c:v>Germany</c:v>
                </c:pt>
                <c:pt idx="55">
                  <c:v>Ghana</c:v>
                </c:pt>
                <c:pt idx="56">
                  <c:v>Greece</c:v>
                </c:pt>
                <c:pt idx="57">
                  <c:v>Grenada</c:v>
                </c:pt>
                <c:pt idx="58">
                  <c:v>Guatemala</c:v>
                </c:pt>
                <c:pt idx="59">
                  <c:v>Guinea</c:v>
                </c:pt>
                <c:pt idx="60">
                  <c:v>Guyana</c:v>
                </c:pt>
                <c:pt idx="61">
                  <c:v>Haiti</c:v>
                </c:pt>
                <c:pt idx="62">
                  <c:v>Honduras</c:v>
                </c:pt>
                <c:pt idx="63">
                  <c:v>Hungary</c:v>
                </c:pt>
                <c:pt idx="64">
                  <c:v>Iceland</c:v>
                </c:pt>
                <c:pt idx="65">
                  <c:v>India</c:v>
                </c:pt>
                <c:pt idx="66">
                  <c:v>Indonesia</c:v>
                </c:pt>
                <c:pt idx="67">
                  <c:v>Iran</c:v>
                </c:pt>
                <c:pt idx="68">
                  <c:v>Iraq</c:v>
                </c:pt>
                <c:pt idx="69">
                  <c:v>Ireland</c:v>
                </c:pt>
                <c:pt idx="70">
                  <c:v>Israel</c:v>
                </c:pt>
                <c:pt idx="71">
                  <c:v>Italy</c:v>
                </c:pt>
                <c:pt idx="72">
                  <c:v>Jamaica</c:v>
                </c:pt>
                <c:pt idx="73">
                  <c:v>Japan</c:v>
                </c:pt>
                <c:pt idx="74">
                  <c:v>Jordan</c:v>
                </c:pt>
                <c:pt idx="75">
                  <c:v>Kazakhstan</c:v>
                </c:pt>
                <c:pt idx="76">
                  <c:v>Kenya</c:v>
                </c:pt>
                <c:pt idx="77">
                  <c:v>Kuwait</c:v>
                </c:pt>
                <c:pt idx="78">
                  <c:v>Kyrgyzstan</c:v>
                </c:pt>
                <c:pt idx="79">
                  <c:v>Laos</c:v>
                </c:pt>
                <c:pt idx="80">
                  <c:v>Latvia</c:v>
                </c:pt>
                <c:pt idx="81">
                  <c:v>Lebanon</c:v>
                </c:pt>
                <c:pt idx="82">
                  <c:v>Lesotho</c:v>
                </c:pt>
                <c:pt idx="83">
                  <c:v>Liberia</c:v>
                </c:pt>
                <c:pt idx="84">
                  <c:v>Libya</c:v>
                </c:pt>
                <c:pt idx="85">
                  <c:v>Liechtenstein</c:v>
                </c:pt>
                <c:pt idx="86">
                  <c:v>Lithuania</c:v>
                </c:pt>
                <c:pt idx="87">
                  <c:v>Luxembourg</c:v>
                </c:pt>
                <c:pt idx="88">
                  <c:v>Madagascar</c:v>
                </c:pt>
                <c:pt idx="89">
                  <c:v>Malawi</c:v>
                </c:pt>
                <c:pt idx="90">
                  <c:v>Malaysia</c:v>
                </c:pt>
                <c:pt idx="91">
                  <c:v>Maldives</c:v>
                </c:pt>
                <c:pt idx="92">
                  <c:v>Mali</c:v>
                </c:pt>
                <c:pt idx="93">
                  <c:v>Malta</c:v>
                </c:pt>
                <c:pt idx="94">
                  <c:v>Marshall Islands</c:v>
                </c:pt>
                <c:pt idx="95">
                  <c:v>Mauritania</c:v>
                </c:pt>
                <c:pt idx="96">
                  <c:v>Mauritius</c:v>
                </c:pt>
                <c:pt idx="97">
                  <c:v>Mexico</c:v>
                </c:pt>
                <c:pt idx="98">
                  <c:v>Moldova</c:v>
                </c:pt>
                <c:pt idx="99">
                  <c:v>Monaco</c:v>
                </c:pt>
                <c:pt idx="100">
                  <c:v>Mongolia</c:v>
                </c:pt>
                <c:pt idx="101">
                  <c:v>Montenegro</c:v>
                </c:pt>
                <c:pt idx="102">
                  <c:v>Morocco</c:v>
                </c:pt>
                <c:pt idx="103">
                  <c:v>Mozambique</c:v>
                </c:pt>
                <c:pt idx="104">
                  <c:v>Myanmar</c:v>
                </c:pt>
                <c:pt idx="105">
                  <c:v>Namibia</c:v>
                </c:pt>
                <c:pt idx="106">
                  <c:v>Nepal</c:v>
                </c:pt>
                <c:pt idx="107">
                  <c:v>New Zealand</c:v>
                </c:pt>
                <c:pt idx="108">
                  <c:v>Nicaragua</c:v>
                </c:pt>
                <c:pt idx="109">
                  <c:v>Niger</c:v>
                </c:pt>
                <c:pt idx="110">
                  <c:v>Nigeria</c:v>
                </c:pt>
                <c:pt idx="111">
                  <c:v>North Macedonia</c:v>
                </c:pt>
                <c:pt idx="112">
                  <c:v>Norway</c:v>
                </c:pt>
                <c:pt idx="113">
                  <c:v>Oman</c:v>
                </c:pt>
                <c:pt idx="114">
                  <c:v>Pakistan</c:v>
                </c:pt>
                <c:pt idx="115">
                  <c:v>Palau</c:v>
                </c:pt>
                <c:pt idx="116">
                  <c:v>Panama</c:v>
                </c:pt>
                <c:pt idx="117">
                  <c:v>Papua New Guinea</c:v>
                </c:pt>
                <c:pt idx="118">
                  <c:v>Paraguay</c:v>
                </c:pt>
                <c:pt idx="119">
                  <c:v>People's Republic of China</c:v>
                </c:pt>
                <c:pt idx="120">
                  <c:v>Peru</c:v>
                </c:pt>
                <c:pt idx="121">
                  <c:v>Philippines</c:v>
                </c:pt>
                <c:pt idx="122">
                  <c:v>Poland</c:v>
                </c:pt>
                <c:pt idx="123">
                  <c:v>Portugal</c:v>
                </c:pt>
                <c:pt idx="124">
                  <c:v>Qatar</c:v>
                </c:pt>
                <c:pt idx="125">
                  <c:v>Republic of the Congo</c:v>
                </c:pt>
                <c:pt idx="126">
                  <c:v>Romania</c:v>
                </c:pt>
                <c:pt idx="127">
                  <c:v>Russia</c:v>
                </c:pt>
                <c:pt idx="128">
                  <c:v>Rwanda</c:v>
                </c:pt>
                <c:pt idx="129">
                  <c:v>Saint Lucia</c:v>
                </c:pt>
                <c:pt idx="130">
                  <c:v>Samoa</c:v>
                </c:pt>
                <c:pt idx="131">
                  <c:v>San Marino</c:v>
                </c:pt>
                <c:pt idx="132">
                  <c:v>Saudi Arabia</c:v>
                </c:pt>
                <c:pt idx="133">
                  <c:v>Senegal</c:v>
                </c:pt>
                <c:pt idx="134">
                  <c:v>Serbia</c:v>
                </c:pt>
                <c:pt idx="135">
                  <c:v>Seychelles</c:v>
                </c:pt>
                <c:pt idx="136">
                  <c:v>Sierra Leone</c:v>
                </c:pt>
                <c:pt idx="137">
                  <c:v>Singapore</c:v>
                </c:pt>
                <c:pt idx="138">
                  <c:v>Slovakia</c:v>
                </c:pt>
                <c:pt idx="139">
                  <c:v>Slovenia</c:v>
                </c:pt>
                <c:pt idx="140">
                  <c:v>Solomon Islands</c:v>
                </c:pt>
                <c:pt idx="141">
                  <c:v>Somalia</c:v>
                </c:pt>
                <c:pt idx="142">
                  <c:v>South Africa</c:v>
                </c:pt>
                <c:pt idx="143">
                  <c:v>South Korea</c:v>
                </c:pt>
                <c:pt idx="144">
                  <c:v>South Sudan</c:v>
                </c:pt>
                <c:pt idx="145">
                  <c:v>Spain</c:v>
                </c:pt>
                <c:pt idx="146">
                  <c:v>Sri Lanka</c:v>
                </c:pt>
                <c:pt idx="147">
                  <c:v>Sudan</c:v>
                </c:pt>
                <c:pt idx="148">
                  <c:v>Suriname</c:v>
                </c:pt>
                <c:pt idx="149">
                  <c:v>Sweden</c:v>
                </c:pt>
                <c:pt idx="150">
                  <c:v>Switzerland</c:v>
                </c:pt>
                <c:pt idx="151">
                  <c:v>Syria</c:v>
                </c:pt>
                <c:pt idx="152">
                  <c:v>Taiwan</c:v>
                </c:pt>
                <c:pt idx="153">
                  <c:v>Tajikistan</c:v>
                </c:pt>
                <c:pt idx="154">
                  <c:v>Tanzania</c:v>
                </c:pt>
                <c:pt idx="155">
                  <c:v>Thailand</c:v>
                </c:pt>
                <c:pt idx="156">
                  <c:v>The Bahamas</c:v>
                </c:pt>
                <c:pt idx="157">
                  <c:v>The Gambia</c:v>
                </c:pt>
                <c:pt idx="158">
                  <c:v>Timor-Leste</c:v>
                </c:pt>
                <c:pt idx="159">
                  <c:v>Togo</c:v>
                </c:pt>
                <c:pt idx="160">
                  <c:v>Trinidad and Tobago</c:v>
                </c:pt>
                <c:pt idx="161">
                  <c:v>Tunisia</c:v>
                </c:pt>
                <c:pt idx="162">
                  <c:v>Turkey</c:v>
                </c:pt>
                <c:pt idx="163">
                  <c:v>Turkmenistan</c:v>
                </c:pt>
                <c:pt idx="164">
                  <c:v>Uganda</c:v>
                </c:pt>
                <c:pt idx="165">
                  <c:v>Ukraine</c:v>
                </c:pt>
                <c:pt idx="166">
                  <c:v>United Arab Emirates</c:v>
                </c:pt>
                <c:pt idx="167">
                  <c:v>United Kingdom</c:v>
                </c:pt>
                <c:pt idx="168">
                  <c:v>United States of America</c:v>
                </c:pt>
                <c:pt idx="169">
                  <c:v>Uruguay</c:v>
                </c:pt>
                <c:pt idx="170">
                  <c:v>Uzbekistan</c:v>
                </c:pt>
                <c:pt idx="171">
                  <c:v>Vanuatu</c:v>
                </c:pt>
                <c:pt idx="172">
                  <c:v>Venezuela</c:v>
                </c:pt>
                <c:pt idx="173">
                  <c:v>Vietnam</c:v>
                </c:pt>
                <c:pt idx="174">
                  <c:v>Yemen</c:v>
                </c:pt>
                <c:pt idx="175">
                  <c:v>Zambia</c:v>
                </c:pt>
                <c:pt idx="176">
                  <c:v>Zimbabwe</c:v>
                </c:pt>
              </c:strCache>
            </c:strRef>
          </c:cat>
          <c:val>
            <c:numRef>
              <c:f>Sheet1!$B$4:$B$181</c:f>
              <c:numCache>
                <c:formatCode>General</c:formatCode>
                <c:ptCount val="177"/>
                <c:pt idx="0">
                  <c:v>37.213693956666667</c:v>
                </c:pt>
                <c:pt idx="1">
                  <c:v>51.873624862500002</c:v>
                </c:pt>
                <c:pt idx="2">
                  <c:v>57.607466062941178</c:v>
                </c:pt>
                <c:pt idx="3">
                  <c:v>43.75</c:v>
                </c:pt>
                <c:pt idx="4">
                  <c:v>15</c:v>
                </c:pt>
                <c:pt idx="5">
                  <c:v>68.147780805909093</c:v>
                </c:pt>
                <c:pt idx="6">
                  <c:v>22.270114943333329</c:v>
                </c:pt>
                <c:pt idx="7">
                  <c:v>80.598013095555558</c:v>
                </c:pt>
                <c:pt idx="8">
                  <c:v>83.490955493888876</c:v>
                </c:pt>
                <c:pt idx="9">
                  <c:v>29.896907219999999</c:v>
                </c:pt>
                <c:pt idx="10">
                  <c:v>32.656695156666672</c:v>
                </c:pt>
                <c:pt idx="11">
                  <c:v>37.141523157777776</c:v>
                </c:pt>
                <c:pt idx="12">
                  <c:v>88.333333333333329</c:v>
                </c:pt>
                <c:pt idx="13">
                  <c:v>50.506834441999999</c:v>
                </c:pt>
                <c:pt idx="14">
                  <c:v>67.730261209428562</c:v>
                </c:pt>
                <c:pt idx="15">
                  <c:v>78.125</c:v>
                </c:pt>
                <c:pt idx="16">
                  <c:v>25</c:v>
                </c:pt>
                <c:pt idx="17">
                  <c:v>59.821428569999995</c:v>
                </c:pt>
                <c:pt idx="18">
                  <c:v>44.832516340000005</c:v>
                </c:pt>
                <c:pt idx="19">
                  <c:v>57.296646275454549</c:v>
                </c:pt>
                <c:pt idx="20">
                  <c:v>64.802631579999996</c:v>
                </c:pt>
                <c:pt idx="21">
                  <c:v>63.291875784368933</c:v>
                </c:pt>
                <c:pt idx="22">
                  <c:v>47.727272724999999</c:v>
                </c:pt>
                <c:pt idx="23">
                  <c:v>43.882158751481484</c:v>
                </c:pt>
                <c:pt idx="24">
                  <c:v>25</c:v>
                </c:pt>
                <c:pt idx="25">
                  <c:v>56.705082743333328</c:v>
                </c:pt>
                <c:pt idx="26">
                  <c:v>28.8125</c:v>
                </c:pt>
                <c:pt idx="27">
                  <c:v>84.293743715923583</c:v>
                </c:pt>
                <c:pt idx="28">
                  <c:v>0</c:v>
                </c:pt>
                <c:pt idx="29">
                  <c:v>68.055555556666661</c:v>
                </c:pt>
                <c:pt idx="30">
                  <c:v>35.986637938125</c:v>
                </c:pt>
                <c:pt idx="31">
                  <c:v>59.762014506249997</c:v>
                </c:pt>
                <c:pt idx="32">
                  <c:v>66.878619689999994</c:v>
                </c:pt>
                <c:pt idx="33">
                  <c:v>6.9444444440000002</c:v>
                </c:pt>
                <c:pt idx="34">
                  <c:v>76.910738391562489</c:v>
                </c:pt>
                <c:pt idx="35">
                  <c:v>15.555555556666667</c:v>
                </c:pt>
                <c:pt idx="36">
                  <c:v>62.934680452499997</c:v>
                </c:pt>
                <c:pt idx="37">
                  <c:v>70.562599533859654</c:v>
                </c:pt>
                <c:pt idx="38">
                  <c:v>54.166666669999998</c:v>
                </c:pt>
                <c:pt idx="39">
                  <c:v>30.929357591428573</c:v>
                </c:pt>
                <c:pt idx="40">
                  <c:v>57.433044652666666</c:v>
                </c:pt>
                <c:pt idx="41">
                  <c:v>46.002195220187502</c:v>
                </c:pt>
                <c:pt idx="42">
                  <c:v>18.421052629999998</c:v>
                </c:pt>
                <c:pt idx="43">
                  <c:v>31.666666666666668</c:v>
                </c:pt>
                <c:pt idx="44">
                  <c:v>100</c:v>
                </c:pt>
                <c:pt idx="45">
                  <c:v>94.190795976153851</c:v>
                </c:pt>
                <c:pt idx="46">
                  <c:v>93.75</c:v>
                </c:pt>
                <c:pt idx="47">
                  <c:v>52.424242423333332</c:v>
                </c:pt>
                <c:pt idx="48">
                  <c:v>100</c:v>
                </c:pt>
                <c:pt idx="49">
                  <c:v>41.160714284999997</c:v>
                </c:pt>
                <c:pt idx="50">
                  <c:v>95.771386222333319</c:v>
                </c:pt>
                <c:pt idx="51">
                  <c:v>72.381948989782614</c:v>
                </c:pt>
                <c:pt idx="52">
                  <c:v>37.5</c:v>
                </c:pt>
                <c:pt idx="53">
                  <c:v>48.055275537500002</c:v>
                </c:pt>
                <c:pt idx="54">
                  <c:v>83.768501685564516</c:v>
                </c:pt>
                <c:pt idx="55">
                  <c:v>50.185185186666672</c:v>
                </c:pt>
                <c:pt idx="56">
                  <c:v>76.590285026388898</c:v>
                </c:pt>
                <c:pt idx="57">
                  <c:v>57.222222223333326</c:v>
                </c:pt>
                <c:pt idx="58">
                  <c:v>33.531746033333334</c:v>
                </c:pt>
                <c:pt idx="59">
                  <c:v>5</c:v>
                </c:pt>
                <c:pt idx="60">
                  <c:v>62.938596490000002</c:v>
                </c:pt>
                <c:pt idx="61">
                  <c:v>12.5</c:v>
                </c:pt>
                <c:pt idx="62">
                  <c:v>37.738095238</c:v>
                </c:pt>
                <c:pt idx="63">
                  <c:v>69.938521098518521</c:v>
                </c:pt>
                <c:pt idx="64">
                  <c:v>78.798309178888886</c:v>
                </c:pt>
                <c:pt idx="65">
                  <c:v>44.122723331688306</c:v>
                </c:pt>
                <c:pt idx="66">
                  <c:v>65.997582512128204</c:v>
                </c:pt>
                <c:pt idx="67">
                  <c:v>30.255146665542856</c:v>
                </c:pt>
                <c:pt idx="68">
                  <c:v>20.189393938000002</c:v>
                </c:pt>
                <c:pt idx="69">
                  <c:v>82.843918611666666</c:v>
                </c:pt>
                <c:pt idx="70">
                  <c:v>33.384693543846154</c:v>
                </c:pt>
                <c:pt idx="71">
                  <c:v>58.028613395294123</c:v>
                </c:pt>
                <c:pt idx="72">
                  <c:v>66.155303029999999</c:v>
                </c:pt>
                <c:pt idx="73">
                  <c:v>76.354796054102565</c:v>
                </c:pt>
                <c:pt idx="74">
                  <c:v>42.884615385000004</c:v>
                </c:pt>
                <c:pt idx="75">
                  <c:v>13.737824674818182</c:v>
                </c:pt>
                <c:pt idx="76">
                  <c:v>75.568181818181813</c:v>
                </c:pt>
                <c:pt idx="77">
                  <c:v>35.135135140000003</c:v>
                </c:pt>
                <c:pt idx="78">
                  <c:v>39.523809523333334</c:v>
                </c:pt>
                <c:pt idx="79">
                  <c:v>43.542568539999998</c:v>
                </c:pt>
                <c:pt idx="80">
                  <c:v>84.517268445714294</c:v>
                </c:pt>
                <c:pt idx="81">
                  <c:v>29.935515872499998</c:v>
                </c:pt>
                <c:pt idx="82">
                  <c:v>45.833333330000002</c:v>
                </c:pt>
                <c:pt idx="83">
                  <c:v>8.3333333350000007</c:v>
                </c:pt>
                <c:pt idx="84">
                  <c:v>54.232804232857141</c:v>
                </c:pt>
                <c:pt idx="85">
                  <c:v>87.5</c:v>
                </c:pt>
                <c:pt idx="86">
                  <c:v>71.677727347999991</c:v>
                </c:pt>
                <c:pt idx="87">
                  <c:v>71.818693694999993</c:v>
                </c:pt>
                <c:pt idx="88">
                  <c:v>13.636363636666667</c:v>
                </c:pt>
                <c:pt idx="89">
                  <c:v>72.5</c:v>
                </c:pt>
                <c:pt idx="90">
                  <c:v>49.721906180000005</c:v>
                </c:pt>
                <c:pt idx="91">
                  <c:v>42.78846154</c:v>
                </c:pt>
                <c:pt idx="92">
                  <c:v>15</c:v>
                </c:pt>
                <c:pt idx="93">
                  <c:v>29.933862433333331</c:v>
                </c:pt>
                <c:pt idx="94">
                  <c:v>43.75</c:v>
                </c:pt>
                <c:pt idx="95">
                  <c:v>43.75</c:v>
                </c:pt>
                <c:pt idx="96">
                  <c:v>62.5</c:v>
                </c:pt>
                <c:pt idx="97">
                  <c:v>64.563552877608686</c:v>
                </c:pt>
                <c:pt idx="98">
                  <c:v>50</c:v>
                </c:pt>
                <c:pt idx="99">
                  <c:v>25.757575760000002</c:v>
                </c:pt>
                <c:pt idx="100">
                  <c:v>23.590686274500001</c:v>
                </c:pt>
                <c:pt idx="101">
                  <c:v>63.135521885555562</c:v>
                </c:pt>
                <c:pt idx="102">
                  <c:v>59.823288972777782</c:v>
                </c:pt>
                <c:pt idx="103">
                  <c:v>36.298076922500002</c:v>
                </c:pt>
                <c:pt idx="104">
                  <c:v>12.462207104285714</c:v>
                </c:pt>
                <c:pt idx="105">
                  <c:v>49.275362319999999</c:v>
                </c:pt>
                <c:pt idx="106">
                  <c:v>48.343506086923078</c:v>
                </c:pt>
                <c:pt idx="107">
                  <c:v>83.787404898620679</c:v>
                </c:pt>
                <c:pt idx="108">
                  <c:v>55</c:v>
                </c:pt>
                <c:pt idx="109">
                  <c:v>25</c:v>
                </c:pt>
                <c:pt idx="110">
                  <c:v>17.162162162307691</c:v>
                </c:pt>
                <c:pt idx="111">
                  <c:v>42.627699248571432</c:v>
                </c:pt>
                <c:pt idx="112">
                  <c:v>88.684587384642867</c:v>
                </c:pt>
                <c:pt idx="113">
                  <c:v>79.364754098000006</c:v>
                </c:pt>
                <c:pt idx="114">
                  <c:v>51.62116698129033</c:v>
                </c:pt>
                <c:pt idx="115">
                  <c:v>100</c:v>
                </c:pt>
                <c:pt idx="116">
                  <c:v>65.705128204999994</c:v>
                </c:pt>
                <c:pt idx="117">
                  <c:v>54.947916667499996</c:v>
                </c:pt>
                <c:pt idx="118">
                  <c:v>69.827586205000003</c:v>
                </c:pt>
                <c:pt idx="119">
                  <c:v>10.76106702620168</c:v>
                </c:pt>
                <c:pt idx="120">
                  <c:v>42.756944444166663</c:v>
                </c:pt>
                <c:pt idx="121">
                  <c:v>45.354397374909091</c:v>
                </c:pt>
                <c:pt idx="122">
                  <c:v>47.879595180106392</c:v>
                </c:pt>
                <c:pt idx="123">
                  <c:v>83.65267728188681</c:v>
                </c:pt>
                <c:pt idx="124">
                  <c:v>26.07942431</c:v>
                </c:pt>
                <c:pt idx="125">
                  <c:v>18.75</c:v>
                </c:pt>
                <c:pt idx="126">
                  <c:v>66.496775400000004</c:v>
                </c:pt>
                <c:pt idx="127">
                  <c:v>42.201368893046521</c:v>
                </c:pt>
                <c:pt idx="128">
                  <c:v>56.25</c:v>
                </c:pt>
                <c:pt idx="129">
                  <c:v>70.833333330000002</c:v>
                </c:pt>
                <c:pt idx="130">
                  <c:v>70.833333330000002</c:v>
                </c:pt>
                <c:pt idx="131">
                  <c:v>87.5</c:v>
                </c:pt>
                <c:pt idx="132">
                  <c:v>39.215604376428573</c:v>
                </c:pt>
                <c:pt idx="133">
                  <c:v>30.172413795000001</c:v>
                </c:pt>
                <c:pt idx="134">
                  <c:v>42.954924672173917</c:v>
                </c:pt>
                <c:pt idx="135">
                  <c:v>62.5</c:v>
                </c:pt>
                <c:pt idx="136">
                  <c:v>25</c:v>
                </c:pt>
                <c:pt idx="137">
                  <c:v>65.878378380000001</c:v>
                </c:pt>
                <c:pt idx="138">
                  <c:v>64.781846634800004</c:v>
                </c:pt>
                <c:pt idx="139">
                  <c:v>76.656342316315786</c:v>
                </c:pt>
                <c:pt idx="140">
                  <c:v>39.0625</c:v>
                </c:pt>
                <c:pt idx="141">
                  <c:v>80</c:v>
                </c:pt>
                <c:pt idx="142">
                  <c:v>52.794520960088896</c:v>
                </c:pt>
                <c:pt idx="143">
                  <c:v>24.597574614942857</c:v>
                </c:pt>
                <c:pt idx="144">
                  <c:v>62.5</c:v>
                </c:pt>
                <c:pt idx="145">
                  <c:v>79.896779062435897</c:v>
                </c:pt>
                <c:pt idx="146">
                  <c:v>53.701641892727274</c:v>
                </c:pt>
                <c:pt idx="147">
                  <c:v>66.964285715000003</c:v>
                </c:pt>
                <c:pt idx="148">
                  <c:v>61.363636360000001</c:v>
                </c:pt>
                <c:pt idx="149">
                  <c:v>82.938708292000001</c:v>
                </c:pt>
                <c:pt idx="150">
                  <c:v>82.955761575757577</c:v>
                </c:pt>
                <c:pt idx="151">
                  <c:v>31.547619047571427</c:v>
                </c:pt>
                <c:pt idx="152">
                  <c:v>33.663000323333335</c:v>
                </c:pt>
                <c:pt idx="153">
                  <c:v>41.666666669999998</c:v>
                </c:pt>
                <c:pt idx="154">
                  <c:v>62.838541667499996</c:v>
                </c:pt>
                <c:pt idx="155">
                  <c:v>42.74215502725</c:v>
                </c:pt>
                <c:pt idx="156">
                  <c:v>58.333333333333336</c:v>
                </c:pt>
                <c:pt idx="157">
                  <c:v>75</c:v>
                </c:pt>
                <c:pt idx="158">
                  <c:v>79.6875</c:v>
                </c:pt>
                <c:pt idx="159">
                  <c:v>37.5</c:v>
                </c:pt>
                <c:pt idx="160">
                  <c:v>51.375</c:v>
                </c:pt>
                <c:pt idx="161">
                  <c:v>22.037037036666664</c:v>
                </c:pt>
                <c:pt idx="162">
                  <c:v>33.10796034451613</c:v>
                </c:pt>
                <c:pt idx="163">
                  <c:v>80.555555554999998</c:v>
                </c:pt>
                <c:pt idx="164">
                  <c:v>56.333333333333336</c:v>
                </c:pt>
                <c:pt idx="165">
                  <c:v>51.769136026666665</c:v>
                </c:pt>
                <c:pt idx="166">
                  <c:v>47.263703644285712</c:v>
                </c:pt>
                <c:pt idx="167">
                  <c:v>70.716382439647035</c:v>
                </c:pt>
                <c:pt idx="168">
                  <c:v>80.603661354881197</c:v>
                </c:pt>
                <c:pt idx="169">
                  <c:v>85.617690058333338</c:v>
                </c:pt>
                <c:pt idx="170">
                  <c:v>56.451612900000001</c:v>
                </c:pt>
                <c:pt idx="171">
                  <c:v>75</c:v>
                </c:pt>
                <c:pt idx="172">
                  <c:v>36.514508929000002</c:v>
                </c:pt>
                <c:pt idx="173">
                  <c:v>44.557442896666664</c:v>
                </c:pt>
                <c:pt idx="174">
                  <c:v>39.583333334999999</c:v>
                </c:pt>
                <c:pt idx="175">
                  <c:v>45.833333332500004</c:v>
                </c:pt>
                <c:pt idx="176">
                  <c:v>45.329670329999999</c:v>
                </c:pt>
              </c:numCache>
            </c:numRef>
          </c:val>
          <c:extLst>
            <c:ext xmlns:c16="http://schemas.microsoft.com/office/drawing/2014/chart" uri="{C3380CC4-5D6E-409C-BE32-E72D297353CC}">
              <c16:uniqueId val="{00000000-C26D-4175-88AC-937FBD835C27}"/>
            </c:ext>
          </c:extLst>
        </c:ser>
        <c:ser>
          <c:idx val="1"/>
          <c:order val="1"/>
          <c:tx>
            <c:strRef>
              <c:f>Sheet1!$C$3</c:f>
              <c:strCache>
                <c:ptCount val="1"/>
                <c:pt idx="0">
                  <c:v>Average of WaterPollution</c:v>
                </c:pt>
              </c:strCache>
            </c:strRef>
          </c:tx>
          <c:spPr>
            <a:solidFill>
              <a:schemeClr val="accent2"/>
            </a:solidFill>
            <a:ln>
              <a:noFill/>
            </a:ln>
            <a:effectLst/>
          </c:spPr>
          <c:invertIfNegative val="0"/>
          <c:cat>
            <c:strRef>
              <c:f>Sheet1!$A$4:$A$181</c:f>
              <c:strCache>
                <c:ptCount val="177"/>
                <c:pt idx="0">
                  <c:v>Afghanistan</c:v>
                </c:pt>
                <c:pt idx="1">
                  <c:v>Albania</c:v>
                </c:pt>
                <c:pt idx="2">
                  <c:v>Algeria</c:v>
                </c:pt>
                <c:pt idx="3">
                  <c:v>Andorra</c:v>
                </c:pt>
                <c:pt idx="4">
                  <c:v>Angola</c:v>
                </c:pt>
                <c:pt idx="5">
                  <c:v>Argentina</c:v>
                </c:pt>
                <c:pt idx="6">
                  <c:v>Armenia</c:v>
                </c:pt>
                <c:pt idx="7">
                  <c:v>Australia</c:v>
                </c:pt>
                <c:pt idx="8">
                  <c:v>Austria</c:v>
                </c:pt>
                <c:pt idx="9">
                  <c:v>Azerbaijan</c:v>
                </c:pt>
                <c:pt idx="10">
                  <c:v>Bahrain</c:v>
                </c:pt>
                <c:pt idx="11">
                  <c:v>Bangladesh</c:v>
                </c:pt>
                <c:pt idx="12">
                  <c:v>Barbados</c:v>
                </c:pt>
                <c:pt idx="13">
                  <c:v>Belarus</c:v>
                </c:pt>
                <c:pt idx="14">
                  <c:v>Belgium</c:v>
                </c:pt>
                <c:pt idx="15">
                  <c:v>Belize</c:v>
                </c:pt>
                <c:pt idx="16">
                  <c:v>Benin</c:v>
                </c:pt>
                <c:pt idx="17">
                  <c:v>Bhutan</c:v>
                </c:pt>
                <c:pt idx="18">
                  <c:v>Bolivia</c:v>
                </c:pt>
                <c:pt idx="19">
                  <c:v>Bosnia and Herzegovina</c:v>
                </c:pt>
                <c:pt idx="20">
                  <c:v>Botswana</c:v>
                </c:pt>
                <c:pt idx="21">
                  <c:v>Brazil</c:v>
                </c:pt>
                <c:pt idx="22">
                  <c:v>Brunei</c:v>
                </c:pt>
                <c:pt idx="23">
                  <c:v>Bulgaria</c:v>
                </c:pt>
                <c:pt idx="24">
                  <c:v>Burundi</c:v>
                </c:pt>
                <c:pt idx="25">
                  <c:v>Cambodia</c:v>
                </c:pt>
                <c:pt idx="26">
                  <c:v>Cameroon</c:v>
                </c:pt>
                <c:pt idx="27">
                  <c:v>Canada</c:v>
                </c:pt>
                <c:pt idx="28">
                  <c:v>Central African Republic</c:v>
                </c:pt>
                <c:pt idx="29">
                  <c:v>Chad</c:v>
                </c:pt>
                <c:pt idx="30">
                  <c:v>Chile</c:v>
                </c:pt>
                <c:pt idx="31">
                  <c:v>Colombia</c:v>
                </c:pt>
                <c:pt idx="32">
                  <c:v>Costa Rica</c:v>
                </c:pt>
                <c:pt idx="33">
                  <c:v>Cote d'Ivoire</c:v>
                </c:pt>
                <c:pt idx="34">
                  <c:v>Croatia</c:v>
                </c:pt>
                <c:pt idx="35">
                  <c:v>Cuba</c:v>
                </c:pt>
                <c:pt idx="36">
                  <c:v>Cyprus</c:v>
                </c:pt>
                <c:pt idx="37">
                  <c:v>Czech Republic</c:v>
                </c:pt>
                <c:pt idx="38">
                  <c:v>Djibouti</c:v>
                </c:pt>
                <c:pt idx="39">
                  <c:v>Dominican Republic</c:v>
                </c:pt>
                <c:pt idx="40">
                  <c:v>Ecuador</c:v>
                </c:pt>
                <c:pt idx="41">
                  <c:v>Egypt</c:v>
                </c:pt>
                <c:pt idx="42">
                  <c:v>El Salvador</c:v>
                </c:pt>
                <c:pt idx="43">
                  <c:v>Equatorial Guinea</c:v>
                </c:pt>
                <c:pt idx="44">
                  <c:v>Eritrea</c:v>
                </c:pt>
                <c:pt idx="45">
                  <c:v>Estonia</c:v>
                </c:pt>
                <c:pt idx="46">
                  <c:v>Eswatini</c:v>
                </c:pt>
                <c:pt idx="47">
                  <c:v>Ethiopia</c:v>
                </c:pt>
                <c:pt idx="48">
                  <c:v>Federated States of Micronesia</c:v>
                </c:pt>
                <c:pt idx="49">
                  <c:v>Fiji</c:v>
                </c:pt>
                <c:pt idx="50">
                  <c:v>Finland</c:v>
                </c:pt>
                <c:pt idx="51">
                  <c:v>France</c:v>
                </c:pt>
                <c:pt idx="52">
                  <c:v>Gabon</c:v>
                </c:pt>
                <c:pt idx="53">
                  <c:v>Georgia</c:v>
                </c:pt>
                <c:pt idx="54">
                  <c:v>Germany</c:v>
                </c:pt>
                <c:pt idx="55">
                  <c:v>Ghana</c:v>
                </c:pt>
                <c:pt idx="56">
                  <c:v>Greece</c:v>
                </c:pt>
                <c:pt idx="57">
                  <c:v>Grenada</c:v>
                </c:pt>
                <c:pt idx="58">
                  <c:v>Guatemala</c:v>
                </c:pt>
                <c:pt idx="59">
                  <c:v>Guinea</c:v>
                </c:pt>
                <c:pt idx="60">
                  <c:v>Guyana</c:v>
                </c:pt>
                <c:pt idx="61">
                  <c:v>Haiti</c:v>
                </c:pt>
                <c:pt idx="62">
                  <c:v>Honduras</c:v>
                </c:pt>
                <c:pt idx="63">
                  <c:v>Hungary</c:v>
                </c:pt>
                <c:pt idx="64">
                  <c:v>Iceland</c:v>
                </c:pt>
                <c:pt idx="65">
                  <c:v>India</c:v>
                </c:pt>
                <c:pt idx="66">
                  <c:v>Indonesia</c:v>
                </c:pt>
                <c:pt idx="67">
                  <c:v>Iran</c:v>
                </c:pt>
                <c:pt idx="68">
                  <c:v>Iraq</c:v>
                </c:pt>
                <c:pt idx="69">
                  <c:v>Ireland</c:v>
                </c:pt>
                <c:pt idx="70">
                  <c:v>Israel</c:v>
                </c:pt>
                <c:pt idx="71">
                  <c:v>Italy</c:v>
                </c:pt>
                <c:pt idx="72">
                  <c:v>Jamaica</c:v>
                </c:pt>
                <c:pt idx="73">
                  <c:v>Japan</c:v>
                </c:pt>
                <c:pt idx="74">
                  <c:v>Jordan</c:v>
                </c:pt>
                <c:pt idx="75">
                  <c:v>Kazakhstan</c:v>
                </c:pt>
                <c:pt idx="76">
                  <c:v>Kenya</c:v>
                </c:pt>
                <c:pt idx="77">
                  <c:v>Kuwait</c:v>
                </c:pt>
                <c:pt idx="78">
                  <c:v>Kyrgyzstan</c:v>
                </c:pt>
                <c:pt idx="79">
                  <c:v>Laos</c:v>
                </c:pt>
                <c:pt idx="80">
                  <c:v>Latvia</c:v>
                </c:pt>
                <c:pt idx="81">
                  <c:v>Lebanon</c:v>
                </c:pt>
                <c:pt idx="82">
                  <c:v>Lesotho</c:v>
                </c:pt>
                <c:pt idx="83">
                  <c:v>Liberia</c:v>
                </c:pt>
                <c:pt idx="84">
                  <c:v>Libya</c:v>
                </c:pt>
                <c:pt idx="85">
                  <c:v>Liechtenstein</c:v>
                </c:pt>
                <c:pt idx="86">
                  <c:v>Lithuania</c:v>
                </c:pt>
                <c:pt idx="87">
                  <c:v>Luxembourg</c:v>
                </c:pt>
                <c:pt idx="88">
                  <c:v>Madagascar</c:v>
                </c:pt>
                <c:pt idx="89">
                  <c:v>Malawi</c:v>
                </c:pt>
                <c:pt idx="90">
                  <c:v>Malaysia</c:v>
                </c:pt>
                <c:pt idx="91">
                  <c:v>Maldives</c:v>
                </c:pt>
                <c:pt idx="92">
                  <c:v>Mali</c:v>
                </c:pt>
                <c:pt idx="93">
                  <c:v>Malta</c:v>
                </c:pt>
                <c:pt idx="94">
                  <c:v>Marshall Islands</c:v>
                </c:pt>
                <c:pt idx="95">
                  <c:v>Mauritania</c:v>
                </c:pt>
                <c:pt idx="96">
                  <c:v>Mauritius</c:v>
                </c:pt>
                <c:pt idx="97">
                  <c:v>Mexico</c:v>
                </c:pt>
                <c:pt idx="98">
                  <c:v>Moldova</c:v>
                </c:pt>
                <c:pt idx="99">
                  <c:v>Monaco</c:v>
                </c:pt>
                <c:pt idx="100">
                  <c:v>Mongolia</c:v>
                </c:pt>
                <c:pt idx="101">
                  <c:v>Montenegro</c:v>
                </c:pt>
                <c:pt idx="102">
                  <c:v>Morocco</c:v>
                </c:pt>
                <c:pt idx="103">
                  <c:v>Mozambique</c:v>
                </c:pt>
                <c:pt idx="104">
                  <c:v>Myanmar</c:v>
                </c:pt>
                <c:pt idx="105">
                  <c:v>Namibia</c:v>
                </c:pt>
                <c:pt idx="106">
                  <c:v>Nepal</c:v>
                </c:pt>
                <c:pt idx="107">
                  <c:v>New Zealand</c:v>
                </c:pt>
                <c:pt idx="108">
                  <c:v>Nicaragua</c:v>
                </c:pt>
                <c:pt idx="109">
                  <c:v>Niger</c:v>
                </c:pt>
                <c:pt idx="110">
                  <c:v>Nigeria</c:v>
                </c:pt>
                <c:pt idx="111">
                  <c:v>North Macedonia</c:v>
                </c:pt>
                <c:pt idx="112">
                  <c:v>Norway</c:v>
                </c:pt>
                <c:pt idx="113">
                  <c:v>Oman</c:v>
                </c:pt>
                <c:pt idx="114">
                  <c:v>Pakistan</c:v>
                </c:pt>
                <c:pt idx="115">
                  <c:v>Palau</c:v>
                </c:pt>
                <c:pt idx="116">
                  <c:v>Panama</c:v>
                </c:pt>
                <c:pt idx="117">
                  <c:v>Papua New Guinea</c:v>
                </c:pt>
                <c:pt idx="118">
                  <c:v>Paraguay</c:v>
                </c:pt>
                <c:pt idx="119">
                  <c:v>People's Republic of China</c:v>
                </c:pt>
                <c:pt idx="120">
                  <c:v>Peru</c:v>
                </c:pt>
                <c:pt idx="121">
                  <c:v>Philippines</c:v>
                </c:pt>
                <c:pt idx="122">
                  <c:v>Poland</c:v>
                </c:pt>
                <c:pt idx="123">
                  <c:v>Portugal</c:v>
                </c:pt>
                <c:pt idx="124">
                  <c:v>Qatar</c:v>
                </c:pt>
                <c:pt idx="125">
                  <c:v>Republic of the Congo</c:v>
                </c:pt>
                <c:pt idx="126">
                  <c:v>Romania</c:v>
                </c:pt>
                <c:pt idx="127">
                  <c:v>Russia</c:v>
                </c:pt>
                <c:pt idx="128">
                  <c:v>Rwanda</c:v>
                </c:pt>
                <c:pt idx="129">
                  <c:v>Saint Lucia</c:v>
                </c:pt>
                <c:pt idx="130">
                  <c:v>Samoa</c:v>
                </c:pt>
                <c:pt idx="131">
                  <c:v>San Marino</c:v>
                </c:pt>
                <c:pt idx="132">
                  <c:v>Saudi Arabia</c:v>
                </c:pt>
                <c:pt idx="133">
                  <c:v>Senegal</c:v>
                </c:pt>
                <c:pt idx="134">
                  <c:v>Serbia</c:v>
                </c:pt>
                <c:pt idx="135">
                  <c:v>Seychelles</c:v>
                </c:pt>
                <c:pt idx="136">
                  <c:v>Sierra Leone</c:v>
                </c:pt>
                <c:pt idx="137">
                  <c:v>Singapore</c:v>
                </c:pt>
                <c:pt idx="138">
                  <c:v>Slovakia</c:v>
                </c:pt>
                <c:pt idx="139">
                  <c:v>Slovenia</c:v>
                </c:pt>
                <c:pt idx="140">
                  <c:v>Solomon Islands</c:v>
                </c:pt>
                <c:pt idx="141">
                  <c:v>Somalia</c:v>
                </c:pt>
                <c:pt idx="142">
                  <c:v>South Africa</c:v>
                </c:pt>
                <c:pt idx="143">
                  <c:v>South Korea</c:v>
                </c:pt>
                <c:pt idx="144">
                  <c:v>South Sudan</c:v>
                </c:pt>
                <c:pt idx="145">
                  <c:v>Spain</c:v>
                </c:pt>
                <c:pt idx="146">
                  <c:v>Sri Lanka</c:v>
                </c:pt>
                <c:pt idx="147">
                  <c:v>Sudan</c:v>
                </c:pt>
                <c:pt idx="148">
                  <c:v>Suriname</c:v>
                </c:pt>
                <c:pt idx="149">
                  <c:v>Sweden</c:v>
                </c:pt>
                <c:pt idx="150">
                  <c:v>Switzerland</c:v>
                </c:pt>
                <c:pt idx="151">
                  <c:v>Syria</c:v>
                </c:pt>
                <c:pt idx="152">
                  <c:v>Taiwan</c:v>
                </c:pt>
                <c:pt idx="153">
                  <c:v>Tajikistan</c:v>
                </c:pt>
                <c:pt idx="154">
                  <c:v>Tanzania</c:v>
                </c:pt>
                <c:pt idx="155">
                  <c:v>Thailand</c:v>
                </c:pt>
                <c:pt idx="156">
                  <c:v>The Bahamas</c:v>
                </c:pt>
                <c:pt idx="157">
                  <c:v>The Gambia</c:v>
                </c:pt>
                <c:pt idx="158">
                  <c:v>Timor-Leste</c:v>
                </c:pt>
                <c:pt idx="159">
                  <c:v>Togo</c:v>
                </c:pt>
                <c:pt idx="160">
                  <c:v>Trinidad and Tobago</c:v>
                </c:pt>
                <c:pt idx="161">
                  <c:v>Tunisia</c:v>
                </c:pt>
                <c:pt idx="162">
                  <c:v>Turkey</c:v>
                </c:pt>
                <c:pt idx="163">
                  <c:v>Turkmenistan</c:v>
                </c:pt>
                <c:pt idx="164">
                  <c:v>Uganda</c:v>
                </c:pt>
                <c:pt idx="165">
                  <c:v>Ukraine</c:v>
                </c:pt>
                <c:pt idx="166">
                  <c:v>United Arab Emirates</c:v>
                </c:pt>
                <c:pt idx="167">
                  <c:v>United Kingdom</c:v>
                </c:pt>
                <c:pt idx="168">
                  <c:v>United States of America</c:v>
                </c:pt>
                <c:pt idx="169">
                  <c:v>Uruguay</c:v>
                </c:pt>
                <c:pt idx="170">
                  <c:v>Uzbekistan</c:v>
                </c:pt>
                <c:pt idx="171">
                  <c:v>Vanuatu</c:v>
                </c:pt>
                <c:pt idx="172">
                  <c:v>Venezuela</c:v>
                </c:pt>
                <c:pt idx="173">
                  <c:v>Vietnam</c:v>
                </c:pt>
                <c:pt idx="174">
                  <c:v>Yemen</c:v>
                </c:pt>
                <c:pt idx="175">
                  <c:v>Zambia</c:v>
                </c:pt>
                <c:pt idx="176">
                  <c:v>Zimbabwe</c:v>
                </c:pt>
              </c:strCache>
            </c:strRef>
          </c:cat>
          <c:val>
            <c:numRef>
              <c:f>Sheet1!$C$4:$C$181</c:f>
              <c:numCache>
                <c:formatCode>General</c:formatCode>
                <c:ptCount val="177"/>
                <c:pt idx="0">
                  <c:v>53.440656565000005</c:v>
                </c:pt>
                <c:pt idx="1">
                  <c:v>57.834201388333334</c:v>
                </c:pt>
                <c:pt idx="2">
                  <c:v>50.623043334705876</c:v>
                </c:pt>
                <c:pt idx="3">
                  <c:v>25</c:v>
                </c:pt>
                <c:pt idx="4">
                  <c:v>81.25</c:v>
                </c:pt>
                <c:pt idx="5">
                  <c:v>54.276152350909094</c:v>
                </c:pt>
                <c:pt idx="6">
                  <c:v>45</c:v>
                </c:pt>
                <c:pt idx="7">
                  <c:v>31.981841465285711</c:v>
                </c:pt>
                <c:pt idx="8">
                  <c:v>37.733800812499993</c:v>
                </c:pt>
                <c:pt idx="9">
                  <c:v>69.02173913</c:v>
                </c:pt>
                <c:pt idx="10">
                  <c:v>62.46639785</c:v>
                </c:pt>
                <c:pt idx="11">
                  <c:v>59.124719142222226</c:v>
                </c:pt>
                <c:pt idx="12">
                  <c:v>46.666666666666664</c:v>
                </c:pt>
                <c:pt idx="13">
                  <c:v>42.495535713999999</c:v>
                </c:pt>
                <c:pt idx="14">
                  <c:v>48.90779355228571</c:v>
                </c:pt>
                <c:pt idx="15">
                  <c:v>70.486111112499998</c:v>
                </c:pt>
                <c:pt idx="16">
                  <c:v>100</c:v>
                </c:pt>
                <c:pt idx="17">
                  <c:v>55</c:v>
                </c:pt>
                <c:pt idx="18">
                  <c:v>74.573863637499997</c:v>
                </c:pt>
                <c:pt idx="19">
                  <c:v>45.748106060909087</c:v>
                </c:pt>
                <c:pt idx="20">
                  <c:v>56.25</c:v>
                </c:pt>
                <c:pt idx="21">
                  <c:v>52.747594721067955</c:v>
                </c:pt>
                <c:pt idx="22">
                  <c:v>74.431818179999993</c:v>
                </c:pt>
                <c:pt idx="23">
                  <c:v>42.775743387518517</c:v>
                </c:pt>
                <c:pt idx="24">
                  <c:v>87.5</c:v>
                </c:pt>
                <c:pt idx="25">
                  <c:v>67.032828281666667</c:v>
                </c:pt>
                <c:pt idx="26">
                  <c:v>72.132034634000007</c:v>
                </c:pt>
                <c:pt idx="27">
                  <c:v>32.551674265961793</c:v>
                </c:pt>
                <c:pt idx="28">
                  <c:v>100</c:v>
                </c:pt>
                <c:pt idx="29">
                  <c:v>26.38888889</c:v>
                </c:pt>
                <c:pt idx="30">
                  <c:v>48.018795031562497</c:v>
                </c:pt>
                <c:pt idx="31">
                  <c:v>53.534586121250001</c:v>
                </c:pt>
                <c:pt idx="32">
                  <c:v>35.807291666666664</c:v>
                </c:pt>
                <c:pt idx="33">
                  <c:v>79.41176471</c:v>
                </c:pt>
                <c:pt idx="34">
                  <c:v>24.544349485187503</c:v>
                </c:pt>
                <c:pt idx="35">
                  <c:v>75</c:v>
                </c:pt>
                <c:pt idx="36">
                  <c:v>39.120370370000003</c:v>
                </c:pt>
                <c:pt idx="37">
                  <c:v>41.425413030701755</c:v>
                </c:pt>
                <c:pt idx="38">
                  <c:v>54.166666669999998</c:v>
                </c:pt>
                <c:pt idx="39">
                  <c:v>63.760669362857143</c:v>
                </c:pt>
                <c:pt idx="40">
                  <c:v>62.595525389999999</c:v>
                </c:pt>
                <c:pt idx="41">
                  <c:v>63.009184103124994</c:v>
                </c:pt>
                <c:pt idx="42">
                  <c:v>76.5625</c:v>
                </c:pt>
                <c:pt idx="43">
                  <c:v>53.333333333333336</c:v>
                </c:pt>
                <c:pt idx="44">
                  <c:v>25</c:v>
                </c:pt>
                <c:pt idx="45">
                  <c:v>28.313349463307695</c:v>
                </c:pt>
                <c:pt idx="46">
                  <c:v>52.083333333333336</c:v>
                </c:pt>
                <c:pt idx="47">
                  <c:v>64.848484849999991</c:v>
                </c:pt>
                <c:pt idx="48">
                  <c:v>100</c:v>
                </c:pt>
                <c:pt idx="49">
                  <c:v>78.973214284999997</c:v>
                </c:pt>
                <c:pt idx="50">
                  <c:v>19.231145328100002</c:v>
                </c:pt>
                <c:pt idx="51">
                  <c:v>34.768501002391304</c:v>
                </c:pt>
                <c:pt idx="52">
                  <c:v>87.5</c:v>
                </c:pt>
                <c:pt idx="53">
                  <c:v>54.605978261250002</c:v>
                </c:pt>
                <c:pt idx="54">
                  <c:v>33.495473876459684</c:v>
                </c:pt>
                <c:pt idx="55">
                  <c:v>69.152046783333333</c:v>
                </c:pt>
                <c:pt idx="56">
                  <c:v>33.779840317222224</c:v>
                </c:pt>
                <c:pt idx="57">
                  <c:v>52.777777776666674</c:v>
                </c:pt>
                <c:pt idx="58">
                  <c:v>66.034226189999998</c:v>
                </c:pt>
                <c:pt idx="59">
                  <c:v>93.75</c:v>
                </c:pt>
                <c:pt idx="60">
                  <c:v>65.277777776666667</c:v>
                </c:pt>
                <c:pt idx="61">
                  <c:v>68.75</c:v>
                </c:pt>
                <c:pt idx="62">
                  <c:v>76.263736264000002</c:v>
                </c:pt>
                <c:pt idx="63">
                  <c:v>31.924382716037034</c:v>
                </c:pt>
                <c:pt idx="64">
                  <c:v>35.290404040444443</c:v>
                </c:pt>
                <c:pt idx="65">
                  <c:v>62.491711723831152</c:v>
                </c:pt>
                <c:pt idx="66">
                  <c:v>30.449822299743584</c:v>
                </c:pt>
                <c:pt idx="67">
                  <c:v>47.777382413428576</c:v>
                </c:pt>
                <c:pt idx="68">
                  <c:v>72.537878788</c:v>
                </c:pt>
                <c:pt idx="69">
                  <c:v>34.479856452625</c:v>
                </c:pt>
                <c:pt idx="70">
                  <c:v>45.400911991153848</c:v>
                </c:pt>
                <c:pt idx="71">
                  <c:v>45.837283365338237</c:v>
                </c:pt>
                <c:pt idx="72">
                  <c:v>53.044569066363628</c:v>
                </c:pt>
                <c:pt idx="73">
                  <c:v>33.925384256410254</c:v>
                </c:pt>
                <c:pt idx="74">
                  <c:v>57.963709677499999</c:v>
                </c:pt>
                <c:pt idx="75">
                  <c:v>69.647776465454541</c:v>
                </c:pt>
                <c:pt idx="76">
                  <c:v>49.305555555454546</c:v>
                </c:pt>
                <c:pt idx="77">
                  <c:v>56.896551719999998</c:v>
                </c:pt>
                <c:pt idx="78">
                  <c:v>48.655913980000001</c:v>
                </c:pt>
                <c:pt idx="79">
                  <c:v>85.555555553333349</c:v>
                </c:pt>
                <c:pt idx="80">
                  <c:v>21.131815044928569</c:v>
                </c:pt>
                <c:pt idx="81">
                  <c:v>90.763449367500002</c:v>
                </c:pt>
                <c:pt idx="82">
                  <c:v>80</c:v>
                </c:pt>
                <c:pt idx="83">
                  <c:v>68.75</c:v>
                </c:pt>
                <c:pt idx="84">
                  <c:v>64.550264549999994</c:v>
                </c:pt>
                <c:pt idx="85">
                  <c:v>0</c:v>
                </c:pt>
                <c:pt idx="86">
                  <c:v>44.250326796666663</c:v>
                </c:pt>
                <c:pt idx="87">
                  <c:v>45.738636362500003</c:v>
                </c:pt>
                <c:pt idx="88">
                  <c:v>77.450980393333339</c:v>
                </c:pt>
                <c:pt idx="89">
                  <c:v>47.5</c:v>
                </c:pt>
                <c:pt idx="90">
                  <c:v>61.137062322424235</c:v>
                </c:pt>
                <c:pt idx="91">
                  <c:v>93.75</c:v>
                </c:pt>
                <c:pt idx="92">
                  <c:v>62.5</c:v>
                </c:pt>
                <c:pt idx="93">
                  <c:v>61.954887219999996</c:v>
                </c:pt>
                <c:pt idx="94">
                  <c:v>91.666666669999998</c:v>
                </c:pt>
                <c:pt idx="95">
                  <c:v>37.5</c:v>
                </c:pt>
                <c:pt idx="96">
                  <c:v>71.726190474999996</c:v>
                </c:pt>
                <c:pt idx="97">
                  <c:v>49.550056478260878</c:v>
                </c:pt>
                <c:pt idx="98">
                  <c:v>75</c:v>
                </c:pt>
                <c:pt idx="99">
                  <c:v>52.55681818</c:v>
                </c:pt>
                <c:pt idx="100">
                  <c:v>55.434782607499997</c:v>
                </c:pt>
                <c:pt idx="101">
                  <c:v>36.728395062222226</c:v>
                </c:pt>
                <c:pt idx="102">
                  <c:v>49.273226773333334</c:v>
                </c:pt>
                <c:pt idx="103">
                  <c:v>79.6875</c:v>
                </c:pt>
                <c:pt idx="104">
                  <c:v>51.049450550000003</c:v>
                </c:pt>
                <c:pt idx="105">
                  <c:v>54.227053140000002</c:v>
                </c:pt>
                <c:pt idx="106">
                  <c:v>60.834135196153845</c:v>
                </c:pt>
                <c:pt idx="107">
                  <c:v>39.909185641379302</c:v>
                </c:pt>
                <c:pt idx="108">
                  <c:v>67</c:v>
                </c:pt>
                <c:pt idx="109">
                  <c:v>100</c:v>
                </c:pt>
                <c:pt idx="110">
                  <c:v>71.303329023846146</c:v>
                </c:pt>
                <c:pt idx="111">
                  <c:v>50.376854858571427</c:v>
                </c:pt>
                <c:pt idx="112">
                  <c:v>26.712641119607145</c:v>
                </c:pt>
                <c:pt idx="113">
                  <c:v>55.929487180000002</c:v>
                </c:pt>
                <c:pt idx="114">
                  <c:v>67.889868777096765</c:v>
                </c:pt>
                <c:pt idx="115">
                  <c:v>0</c:v>
                </c:pt>
                <c:pt idx="116">
                  <c:v>44.302248676666665</c:v>
                </c:pt>
                <c:pt idx="117">
                  <c:v>69.230769229999993</c:v>
                </c:pt>
                <c:pt idx="118">
                  <c:v>33.5</c:v>
                </c:pt>
                <c:pt idx="119">
                  <c:v>54.617488335126048</c:v>
                </c:pt>
                <c:pt idx="120">
                  <c:v>60.572916666666664</c:v>
                </c:pt>
                <c:pt idx="121">
                  <c:v>65.772163692000007</c:v>
                </c:pt>
                <c:pt idx="122">
                  <c:v>43.860231733404255</c:v>
                </c:pt>
                <c:pt idx="123">
                  <c:v>37.52922010264151</c:v>
                </c:pt>
                <c:pt idx="124">
                  <c:v>35.584677419999998</c:v>
                </c:pt>
                <c:pt idx="125">
                  <c:v>81.25</c:v>
                </c:pt>
                <c:pt idx="126">
                  <c:v>43.620133641428573</c:v>
                </c:pt>
                <c:pt idx="127">
                  <c:v>57.089549757906987</c:v>
                </c:pt>
                <c:pt idx="128">
                  <c:v>50</c:v>
                </c:pt>
                <c:pt idx="129">
                  <c:v>33.333333330000002</c:v>
                </c:pt>
                <c:pt idx="130">
                  <c:v>40</c:v>
                </c:pt>
                <c:pt idx="131">
                  <c:v>50</c:v>
                </c:pt>
                <c:pt idx="132">
                  <c:v>47.937889996428567</c:v>
                </c:pt>
                <c:pt idx="133">
                  <c:v>53.5</c:v>
                </c:pt>
                <c:pt idx="134">
                  <c:v>50.437740719130431</c:v>
                </c:pt>
                <c:pt idx="135">
                  <c:v>25</c:v>
                </c:pt>
                <c:pt idx="136">
                  <c:v>100</c:v>
                </c:pt>
                <c:pt idx="137">
                  <c:v>24.204947000000001</c:v>
                </c:pt>
                <c:pt idx="138">
                  <c:v>36.026938835599999</c:v>
                </c:pt>
                <c:pt idx="139">
                  <c:v>22.613986890157896</c:v>
                </c:pt>
                <c:pt idx="140">
                  <c:v>84.722222220000006</c:v>
                </c:pt>
                <c:pt idx="141">
                  <c:v>28.75</c:v>
                </c:pt>
                <c:pt idx="142">
                  <c:v>56.744203858888888</c:v>
                </c:pt>
                <c:pt idx="143">
                  <c:v>48.526194276285715</c:v>
                </c:pt>
                <c:pt idx="144">
                  <c:v>75</c:v>
                </c:pt>
                <c:pt idx="145">
                  <c:v>36.747945476705127</c:v>
                </c:pt>
                <c:pt idx="146">
                  <c:v>59.091067314545462</c:v>
                </c:pt>
                <c:pt idx="147">
                  <c:v>41.40625</c:v>
                </c:pt>
                <c:pt idx="148">
                  <c:v>54.545454550000002</c:v>
                </c:pt>
                <c:pt idx="149">
                  <c:v>18.842412020133334</c:v>
                </c:pt>
                <c:pt idx="150">
                  <c:v>22.089956888575756</c:v>
                </c:pt>
                <c:pt idx="151">
                  <c:v>65.595238095714279</c:v>
                </c:pt>
                <c:pt idx="152">
                  <c:v>60.180352055000007</c:v>
                </c:pt>
                <c:pt idx="153">
                  <c:v>61.111111110000003</c:v>
                </c:pt>
                <c:pt idx="154">
                  <c:v>57</c:v>
                </c:pt>
                <c:pt idx="155">
                  <c:v>54.360891248750001</c:v>
                </c:pt>
                <c:pt idx="156">
                  <c:v>44.753086419999995</c:v>
                </c:pt>
                <c:pt idx="157">
                  <c:v>62.5</c:v>
                </c:pt>
                <c:pt idx="158">
                  <c:v>68.75</c:v>
                </c:pt>
                <c:pt idx="159">
                  <c:v>75</c:v>
                </c:pt>
                <c:pt idx="160">
                  <c:v>61.354166667000001</c:v>
                </c:pt>
                <c:pt idx="161">
                  <c:v>58.564814813333335</c:v>
                </c:pt>
                <c:pt idx="162">
                  <c:v>44.179933908709685</c:v>
                </c:pt>
                <c:pt idx="163">
                  <c:v>18.055555555000002</c:v>
                </c:pt>
                <c:pt idx="164">
                  <c:v>53.030303029999999</c:v>
                </c:pt>
                <c:pt idx="165">
                  <c:v>55.038346713333333</c:v>
                </c:pt>
                <c:pt idx="166">
                  <c:v>41.14073385857143</c:v>
                </c:pt>
                <c:pt idx="167">
                  <c:v>25.791132842505874</c:v>
                </c:pt>
                <c:pt idx="168">
                  <c:v>40.052396517167452</c:v>
                </c:pt>
                <c:pt idx="169">
                  <c:v>30.014430013333339</c:v>
                </c:pt>
                <c:pt idx="170">
                  <c:v>49.166666669999998</c:v>
                </c:pt>
                <c:pt idx="171">
                  <c:v>70</c:v>
                </c:pt>
                <c:pt idx="172">
                  <c:v>78.549636804000002</c:v>
                </c:pt>
                <c:pt idx="173">
                  <c:v>65.526917635000004</c:v>
                </c:pt>
                <c:pt idx="174">
                  <c:v>85.416666667499996</c:v>
                </c:pt>
                <c:pt idx="175">
                  <c:v>80.769230770000007</c:v>
                </c:pt>
                <c:pt idx="176">
                  <c:v>74.107142857500008</c:v>
                </c:pt>
              </c:numCache>
            </c:numRef>
          </c:val>
          <c:extLst>
            <c:ext xmlns:c16="http://schemas.microsoft.com/office/drawing/2014/chart" uri="{C3380CC4-5D6E-409C-BE32-E72D297353CC}">
              <c16:uniqueId val="{00000001-C26D-4175-88AC-937FBD835C27}"/>
            </c:ext>
          </c:extLst>
        </c:ser>
        <c:dLbls>
          <c:showLegendKey val="0"/>
          <c:showVal val="0"/>
          <c:showCatName val="0"/>
          <c:showSerName val="0"/>
          <c:showPercent val="0"/>
          <c:showBubbleSize val="0"/>
        </c:dLbls>
        <c:gapWidth val="219"/>
        <c:overlap val="-27"/>
        <c:axId val="1186801855"/>
        <c:axId val="1186808575"/>
      </c:barChart>
      <c:catAx>
        <c:axId val="1186801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808575"/>
        <c:crosses val="autoZero"/>
        <c:auto val="1"/>
        <c:lblAlgn val="ctr"/>
        <c:lblOffset val="100"/>
        <c:noMultiLvlLbl val="0"/>
      </c:catAx>
      <c:valAx>
        <c:axId val="1186808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8018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[Cities1 (1) (1)بعد التحليل.xlsx]Sheet1!PivotTable5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
        <c:idx val="111"/>
        <c:spPr>
          <a:solidFill>
            <a:schemeClr val="accent1"/>
          </a:solidFill>
          <a:ln w="19050">
            <a:solidFill>
              <a:schemeClr val="lt1"/>
            </a:solidFill>
          </a:ln>
          <a:effectLst/>
        </c:spPr>
      </c:pivotFmt>
      <c:pivotFmt>
        <c:idx val="112"/>
        <c:spPr>
          <a:solidFill>
            <a:schemeClr val="accent1"/>
          </a:solidFill>
          <a:ln w="19050">
            <a:solidFill>
              <a:schemeClr val="lt1"/>
            </a:solidFill>
          </a:ln>
          <a:effectLst/>
        </c:spPr>
      </c:pivotFmt>
      <c:pivotFmt>
        <c:idx val="113"/>
        <c:spPr>
          <a:solidFill>
            <a:schemeClr val="accent1"/>
          </a:solidFill>
          <a:ln w="19050">
            <a:solidFill>
              <a:schemeClr val="lt1"/>
            </a:solidFill>
          </a:ln>
          <a:effectLst/>
        </c:spPr>
      </c:pivotFmt>
      <c:pivotFmt>
        <c:idx val="114"/>
        <c:spPr>
          <a:solidFill>
            <a:schemeClr val="accent1"/>
          </a:solidFill>
          <a:ln w="19050">
            <a:solidFill>
              <a:schemeClr val="lt1"/>
            </a:solidFill>
          </a:ln>
          <a:effectLst/>
        </c:spPr>
      </c:pivotFmt>
      <c:pivotFmt>
        <c:idx val="115"/>
        <c:spPr>
          <a:solidFill>
            <a:schemeClr val="accent1"/>
          </a:solidFill>
          <a:ln w="19050">
            <a:solidFill>
              <a:schemeClr val="lt1"/>
            </a:solidFill>
          </a:ln>
          <a:effectLst/>
        </c:spPr>
      </c:pivotFmt>
      <c:pivotFmt>
        <c:idx val="116"/>
        <c:spPr>
          <a:solidFill>
            <a:schemeClr val="accent1"/>
          </a:solidFill>
          <a:ln w="19050">
            <a:solidFill>
              <a:schemeClr val="lt1"/>
            </a:solidFill>
          </a:ln>
          <a:effectLst/>
        </c:spPr>
      </c:pivotFmt>
      <c:pivotFmt>
        <c:idx val="117"/>
        <c:spPr>
          <a:solidFill>
            <a:schemeClr val="accent1"/>
          </a:solidFill>
          <a:ln w="19050">
            <a:solidFill>
              <a:schemeClr val="lt1"/>
            </a:solidFill>
          </a:ln>
          <a:effectLst/>
        </c:spPr>
      </c:pivotFmt>
      <c:pivotFmt>
        <c:idx val="118"/>
        <c:spPr>
          <a:solidFill>
            <a:schemeClr val="accent1"/>
          </a:solidFill>
          <a:ln w="19050">
            <a:solidFill>
              <a:schemeClr val="lt1"/>
            </a:solidFill>
          </a:ln>
          <a:effectLst/>
        </c:spPr>
      </c:pivotFmt>
      <c:pivotFmt>
        <c:idx val="119"/>
        <c:spPr>
          <a:solidFill>
            <a:schemeClr val="accent1"/>
          </a:solidFill>
          <a:ln w="19050">
            <a:solidFill>
              <a:schemeClr val="lt1"/>
            </a:solidFill>
          </a:ln>
          <a:effectLst/>
        </c:spPr>
      </c:pivotFmt>
      <c:pivotFmt>
        <c:idx val="120"/>
        <c:spPr>
          <a:solidFill>
            <a:schemeClr val="accent1"/>
          </a:solidFill>
          <a:ln w="19050">
            <a:solidFill>
              <a:schemeClr val="lt1"/>
            </a:solidFill>
          </a:ln>
          <a:effectLst/>
        </c:spPr>
      </c:pivotFmt>
      <c:pivotFmt>
        <c:idx val="121"/>
        <c:spPr>
          <a:solidFill>
            <a:schemeClr val="accent1"/>
          </a:solidFill>
          <a:ln w="19050">
            <a:solidFill>
              <a:schemeClr val="lt1"/>
            </a:solidFill>
          </a:ln>
          <a:effectLst/>
        </c:spPr>
      </c:pivotFmt>
      <c:pivotFmt>
        <c:idx val="122"/>
        <c:spPr>
          <a:solidFill>
            <a:schemeClr val="accent1"/>
          </a:solidFill>
          <a:ln w="19050">
            <a:solidFill>
              <a:schemeClr val="lt1"/>
            </a:solidFill>
          </a:ln>
          <a:effectLst/>
        </c:spPr>
      </c:pivotFmt>
      <c:pivotFmt>
        <c:idx val="123"/>
        <c:spPr>
          <a:solidFill>
            <a:schemeClr val="accent1"/>
          </a:solidFill>
          <a:ln w="19050">
            <a:solidFill>
              <a:schemeClr val="lt1"/>
            </a:solidFill>
          </a:ln>
          <a:effectLst/>
        </c:spPr>
      </c:pivotFmt>
      <c:pivotFmt>
        <c:idx val="124"/>
        <c:spPr>
          <a:solidFill>
            <a:schemeClr val="accent1"/>
          </a:solidFill>
          <a:ln w="19050">
            <a:solidFill>
              <a:schemeClr val="lt1"/>
            </a:solidFill>
          </a:ln>
          <a:effectLst/>
        </c:spPr>
      </c:pivotFmt>
      <c:pivotFmt>
        <c:idx val="125"/>
        <c:spPr>
          <a:solidFill>
            <a:schemeClr val="accent1"/>
          </a:solidFill>
          <a:ln w="19050">
            <a:solidFill>
              <a:schemeClr val="lt1"/>
            </a:solidFill>
          </a:ln>
          <a:effectLst/>
        </c:spPr>
      </c:pivotFmt>
      <c:pivotFmt>
        <c:idx val="126"/>
        <c:spPr>
          <a:solidFill>
            <a:schemeClr val="accent1"/>
          </a:solidFill>
          <a:ln w="19050">
            <a:solidFill>
              <a:schemeClr val="lt1"/>
            </a:solidFill>
          </a:ln>
          <a:effectLst/>
        </c:spPr>
      </c:pivotFmt>
      <c:pivotFmt>
        <c:idx val="127"/>
        <c:spPr>
          <a:solidFill>
            <a:schemeClr val="accent1"/>
          </a:solidFill>
          <a:ln w="19050">
            <a:solidFill>
              <a:schemeClr val="lt1"/>
            </a:solidFill>
          </a:ln>
          <a:effectLst/>
        </c:spPr>
      </c:pivotFmt>
      <c:pivotFmt>
        <c:idx val="128"/>
        <c:spPr>
          <a:solidFill>
            <a:schemeClr val="accent1"/>
          </a:solidFill>
          <a:ln w="19050">
            <a:solidFill>
              <a:schemeClr val="lt1"/>
            </a:solidFill>
          </a:ln>
          <a:effectLst/>
        </c:spPr>
      </c:pivotFmt>
      <c:pivotFmt>
        <c:idx val="129"/>
        <c:spPr>
          <a:solidFill>
            <a:schemeClr val="accent1"/>
          </a:solidFill>
          <a:ln w="19050">
            <a:solidFill>
              <a:schemeClr val="lt1"/>
            </a:solidFill>
          </a:ln>
          <a:effectLst/>
        </c:spPr>
      </c:pivotFmt>
      <c:pivotFmt>
        <c:idx val="130"/>
        <c:spPr>
          <a:solidFill>
            <a:schemeClr val="accent1"/>
          </a:solidFill>
          <a:ln w="19050">
            <a:solidFill>
              <a:schemeClr val="lt1"/>
            </a:solidFill>
          </a:ln>
          <a:effectLst/>
        </c:spPr>
      </c:pivotFmt>
      <c:pivotFmt>
        <c:idx val="131"/>
        <c:spPr>
          <a:solidFill>
            <a:schemeClr val="accent1"/>
          </a:solidFill>
          <a:ln w="19050">
            <a:solidFill>
              <a:schemeClr val="lt1"/>
            </a:solidFill>
          </a:ln>
          <a:effectLst/>
        </c:spPr>
      </c:pivotFmt>
      <c:pivotFmt>
        <c:idx val="132"/>
        <c:spPr>
          <a:solidFill>
            <a:schemeClr val="accent1"/>
          </a:solidFill>
          <a:ln w="19050">
            <a:solidFill>
              <a:schemeClr val="lt1"/>
            </a:solidFill>
          </a:ln>
          <a:effectLst/>
        </c:spPr>
      </c:pivotFmt>
      <c:pivotFmt>
        <c:idx val="133"/>
        <c:spPr>
          <a:solidFill>
            <a:schemeClr val="accent1"/>
          </a:solidFill>
          <a:ln w="19050">
            <a:solidFill>
              <a:schemeClr val="lt1"/>
            </a:solidFill>
          </a:ln>
          <a:effectLst/>
        </c:spPr>
      </c:pivotFmt>
      <c:pivotFmt>
        <c:idx val="134"/>
        <c:spPr>
          <a:solidFill>
            <a:schemeClr val="accent1"/>
          </a:solidFill>
          <a:ln w="19050">
            <a:solidFill>
              <a:schemeClr val="lt1"/>
            </a:solidFill>
          </a:ln>
          <a:effectLst/>
        </c:spPr>
      </c:pivotFmt>
      <c:pivotFmt>
        <c:idx val="135"/>
        <c:spPr>
          <a:solidFill>
            <a:schemeClr val="accent1"/>
          </a:solidFill>
          <a:ln w="19050">
            <a:solidFill>
              <a:schemeClr val="lt1"/>
            </a:solidFill>
          </a:ln>
          <a:effectLst/>
        </c:spPr>
      </c:pivotFmt>
      <c:pivotFmt>
        <c:idx val="136"/>
        <c:spPr>
          <a:solidFill>
            <a:schemeClr val="accent1"/>
          </a:solidFill>
          <a:ln w="19050">
            <a:solidFill>
              <a:schemeClr val="lt1"/>
            </a:solidFill>
          </a:ln>
          <a:effectLst/>
        </c:spPr>
      </c:pivotFmt>
      <c:pivotFmt>
        <c:idx val="137"/>
        <c:spPr>
          <a:solidFill>
            <a:schemeClr val="accent1"/>
          </a:solidFill>
          <a:ln w="19050">
            <a:solidFill>
              <a:schemeClr val="lt1"/>
            </a:solidFill>
          </a:ln>
          <a:effectLst/>
        </c:spPr>
      </c:pivotFmt>
      <c:pivotFmt>
        <c:idx val="138"/>
        <c:spPr>
          <a:solidFill>
            <a:schemeClr val="accent1"/>
          </a:solidFill>
          <a:ln w="19050">
            <a:solidFill>
              <a:schemeClr val="lt1"/>
            </a:solidFill>
          </a:ln>
          <a:effectLst/>
        </c:spPr>
      </c:pivotFmt>
      <c:pivotFmt>
        <c:idx val="139"/>
        <c:spPr>
          <a:solidFill>
            <a:schemeClr val="accent1"/>
          </a:solidFill>
          <a:ln w="19050">
            <a:solidFill>
              <a:schemeClr val="lt1"/>
            </a:solidFill>
          </a:ln>
          <a:effectLst/>
        </c:spPr>
      </c:pivotFmt>
      <c:pivotFmt>
        <c:idx val="140"/>
        <c:spPr>
          <a:solidFill>
            <a:schemeClr val="accent1"/>
          </a:solidFill>
          <a:ln w="19050">
            <a:solidFill>
              <a:schemeClr val="lt1"/>
            </a:solidFill>
          </a:ln>
          <a:effectLst/>
        </c:spPr>
      </c:pivotFmt>
      <c:pivotFmt>
        <c:idx val="141"/>
        <c:spPr>
          <a:solidFill>
            <a:schemeClr val="accent1"/>
          </a:solidFill>
          <a:ln w="19050">
            <a:solidFill>
              <a:schemeClr val="lt1"/>
            </a:solidFill>
          </a:ln>
          <a:effectLst/>
        </c:spPr>
      </c:pivotFmt>
      <c:pivotFmt>
        <c:idx val="142"/>
        <c:spPr>
          <a:solidFill>
            <a:schemeClr val="accent1"/>
          </a:solidFill>
          <a:ln w="19050">
            <a:solidFill>
              <a:schemeClr val="lt1"/>
            </a:solidFill>
          </a:ln>
          <a:effectLst/>
        </c:spPr>
      </c:pivotFmt>
      <c:pivotFmt>
        <c:idx val="143"/>
        <c:spPr>
          <a:solidFill>
            <a:schemeClr val="accent1"/>
          </a:solidFill>
          <a:ln w="19050">
            <a:solidFill>
              <a:schemeClr val="lt1"/>
            </a:solidFill>
          </a:ln>
          <a:effectLst/>
        </c:spPr>
      </c:pivotFmt>
      <c:pivotFmt>
        <c:idx val="144"/>
        <c:spPr>
          <a:solidFill>
            <a:schemeClr val="accent1"/>
          </a:solidFill>
          <a:ln w="19050">
            <a:solidFill>
              <a:schemeClr val="lt1"/>
            </a:solidFill>
          </a:ln>
          <a:effectLst/>
        </c:spPr>
      </c:pivotFmt>
      <c:pivotFmt>
        <c:idx val="145"/>
        <c:spPr>
          <a:solidFill>
            <a:schemeClr val="accent1"/>
          </a:solidFill>
          <a:ln w="19050">
            <a:solidFill>
              <a:schemeClr val="lt1"/>
            </a:solidFill>
          </a:ln>
          <a:effectLst/>
        </c:spPr>
      </c:pivotFmt>
      <c:pivotFmt>
        <c:idx val="146"/>
        <c:spPr>
          <a:solidFill>
            <a:schemeClr val="accent1"/>
          </a:solidFill>
          <a:ln w="19050">
            <a:solidFill>
              <a:schemeClr val="lt1"/>
            </a:solidFill>
          </a:ln>
          <a:effectLst/>
        </c:spPr>
      </c:pivotFmt>
      <c:pivotFmt>
        <c:idx val="147"/>
        <c:spPr>
          <a:solidFill>
            <a:schemeClr val="accent1"/>
          </a:solidFill>
          <a:ln w="19050">
            <a:solidFill>
              <a:schemeClr val="lt1"/>
            </a:solidFill>
          </a:ln>
          <a:effectLst/>
        </c:spPr>
      </c:pivotFmt>
      <c:pivotFmt>
        <c:idx val="148"/>
        <c:spPr>
          <a:solidFill>
            <a:schemeClr val="accent1"/>
          </a:solidFill>
          <a:ln w="19050">
            <a:solidFill>
              <a:schemeClr val="lt1"/>
            </a:solidFill>
          </a:ln>
          <a:effectLst/>
        </c:spPr>
      </c:pivotFmt>
      <c:pivotFmt>
        <c:idx val="149"/>
        <c:spPr>
          <a:solidFill>
            <a:schemeClr val="accent1"/>
          </a:solidFill>
          <a:ln w="19050">
            <a:solidFill>
              <a:schemeClr val="lt1"/>
            </a:solidFill>
          </a:ln>
          <a:effectLst/>
        </c:spPr>
      </c:pivotFmt>
      <c:pivotFmt>
        <c:idx val="150"/>
        <c:spPr>
          <a:solidFill>
            <a:schemeClr val="accent1"/>
          </a:solidFill>
          <a:ln w="19050">
            <a:solidFill>
              <a:schemeClr val="lt1"/>
            </a:solidFill>
          </a:ln>
          <a:effectLst/>
        </c:spPr>
      </c:pivotFmt>
      <c:pivotFmt>
        <c:idx val="151"/>
        <c:spPr>
          <a:solidFill>
            <a:schemeClr val="accent1"/>
          </a:solidFill>
          <a:ln w="19050">
            <a:solidFill>
              <a:schemeClr val="lt1"/>
            </a:solidFill>
          </a:ln>
          <a:effectLst/>
        </c:spPr>
      </c:pivotFmt>
      <c:pivotFmt>
        <c:idx val="152"/>
        <c:spPr>
          <a:solidFill>
            <a:schemeClr val="accent1"/>
          </a:solidFill>
          <a:ln w="19050">
            <a:solidFill>
              <a:schemeClr val="lt1"/>
            </a:solidFill>
          </a:ln>
          <a:effectLst/>
        </c:spPr>
      </c:pivotFmt>
      <c:pivotFmt>
        <c:idx val="153"/>
        <c:spPr>
          <a:solidFill>
            <a:schemeClr val="accent1"/>
          </a:solidFill>
          <a:ln w="19050">
            <a:solidFill>
              <a:schemeClr val="lt1"/>
            </a:solidFill>
          </a:ln>
          <a:effectLst/>
        </c:spPr>
      </c:pivotFmt>
      <c:pivotFmt>
        <c:idx val="154"/>
        <c:spPr>
          <a:solidFill>
            <a:schemeClr val="accent1"/>
          </a:solidFill>
          <a:ln w="19050">
            <a:solidFill>
              <a:schemeClr val="lt1"/>
            </a:solidFill>
          </a:ln>
          <a:effectLst/>
        </c:spPr>
      </c:pivotFmt>
      <c:pivotFmt>
        <c:idx val="155"/>
        <c:spPr>
          <a:solidFill>
            <a:schemeClr val="accent1"/>
          </a:solidFill>
          <a:ln w="19050">
            <a:solidFill>
              <a:schemeClr val="lt1"/>
            </a:solidFill>
          </a:ln>
          <a:effectLst/>
        </c:spPr>
      </c:pivotFmt>
      <c:pivotFmt>
        <c:idx val="156"/>
        <c:spPr>
          <a:solidFill>
            <a:schemeClr val="accent1"/>
          </a:solidFill>
          <a:ln w="19050">
            <a:solidFill>
              <a:schemeClr val="lt1"/>
            </a:solidFill>
          </a:ln>
          <a:effectLst/>
        </c:spPr>
      </c:pivotFmt>
      <c:pivotFmt>
        <c:idx val="157"/>
        <c:spPr>
          <a:solidFill>
            <a:schemeClr val="accent1"/>
          </a:solidFill>
          <a:ln w="19050">
            <a:solidFill>
              <a:schemeClr val="lt1"/>
            </a:solidFill>
          </a:ln>
          <a:effectLst/>
        </c:spPr>
      </c:pivotFmt>
      <c:pivotFmt>
        <c:idx val="158"/>
        <c:spPr>
          <a:solidFill>
            <a:schemeClr val="accent1"/>
          </a:solidFill>
          <a:ln w="19050">
            <a:solidFill>
              <a:schemeClr val="lt1"/>
            </a:solidFill>
          </a:ln>
          <a:effectLst/>
        </c:spPr>
      </c:pivotFmt>
      <c:pivotFmt>
        <c:idx val="159"/>
        <c:spPr>
          <a:solidFill>
            <a:schemeClr val="accent1"/>
          </a:solidFill>
          <a:ln w="19050">
            <a:solidFill>
              <a:schemeClr val="lt1"/>
            </a:solidFill>
          </a:ln>
          <a:effectLst/>
        </c:spPr>
      </c:pivotFmt>
      <c:pivotFmt>
        <c:idx val="160"/>
        <c:spPr>
          <a:solidFill>
            <a:schemeClr val="accent1"/>
          </a:solidFill>
          <a:ln w="19050">
            <a:solidFill>
              <a:schemeClr val="lt1"/>
            </a:solidFill>
          </a:ln>
          <a:effectLst/>
        </c:spPr>
      </c:pivotFmt>
      <c:pivotFmt>
        <c:idx val="161"/>
        <c:spPr>
          <a:solidFill>
            <a:schemeClr val="accent1"/>
          </a:solidFill>
          <a:ln w="19050">
            <a:solidFill>
              <a:schemeClr val="lt1"/>
            </a:solidFill>
          </a:ln>
          <a:effectLst/>
        </c:spPr>
      </c:pivotFmt>
      <c:pivotFmt>
        <c:idx val="162"/>
        <c:spPr>
          <a:solidFill>
            <a:schemeClr val="accent1"/>
          </a:solidFill>
          <a:ln w="19050">
            <a:solidFill>
              <a:schemeClr val="lt1"/>
            </a:solidFill>
          </a:ln>
          <a:effectLst/>
        </c:spPr>
      </c:pivotFmt>
      <c:pivotFmt>
        <c:idx val="163"/>
        <c:spPr>
          <a:solidFill>
            <a:schemeClr val="accent1"/>
          </a:solidFill>
          <a:ln w="19050">
            <a:solidFill>
              <a:schemeClr val="lt1"/>
            </a:solidFill>
          </a:ln>
          <a:effectLst/>
        </c:spPr>
      </c:pivotFmt>
      <c:pivotFmt>
        <c:idx val="164"/>
        <c:spPr>
          <a:solidFill>
            <a:schemeClr val="accent1"/>
          </a:solidFill>
          <a:ln w="19050">
            <a:solidFill>
              <a:schemeClr val="lt1"/>
            </a:solidFill>
          </a:ln>
          <a:effectLst/>
        </c:spPr>
      </c:pivotFmt>
      <c:pivotFmt>
        <c:idx val="165"/>
        <c:spPr>
          <a:solidFill>
            <a:schemeClr val="accent1"/>
          </a:solidFill>
          <a:ln w="19050">
            <a:solidFill>
              <a:schemeClr val="lt1"/>
            </a:solidFill>
          </a:ln>
          <a:effectLst/>
        </c:spPr>
      </c:pivotFmt>
      <c:pivotFmt>
        <c:idx val="166"/>
        <c:spPr>
          <a:solidFill>
            <a:schemeClr val="accent1"/>
          </a:solidFill>
          <a:ln w="19050">
            <a:solidFill>
              <a:schemeClr val="lt1"/>
            </a:solidFill>
          </a:ln>
          <a:effectLst/>
        </c:spPr>
      </c:pivotFmt>
      <c:pivotFmt>
        <c:idx val="167"/>
        <c:spPr>
          <a:solidFill>
            <a:schemeClr val="accent1"/>
          </a:solidFill>
          <a:ln w="19050">
            <a:solidFill>
              <a:schemeClr val="lt1"/>
            </a:solidFill>
          </a:ln>
          <a:effectLst/>
        </c:spPr>
      </c:pivotFmt>
      <c:pivotFmt>
        <c:idx val="168"/>
        <c:spPr>
          <a:solidFill>
            <a:schemeClr val="accent1"/>
          </a:solidFill>
          <a:ln w="19050">
            <a:solidFill>
              <a:schemeClr val="lt1"/>
            </a:solidFill>
          </a:ln>
          <a:effectLst/>
        </c:spPr>
      </c:pivotFmt>
      <c:pivotFmt>
        <c:idx val="169"/>
        <c:spPr>
          <a:solidFill>
            <a:schemeClr val="accent1"/>
          </a:solidFill>
          <a:ln w="19050">
            <a:solidFill>
              <a:schemeClr val="lt1"/>
            </a:solidFill>
          </a:ln>
          <a:effectLst/>
        </c:spPr>
      </c:pivotFmt>
      <c:pivotFmt>
        <c:idx val="170"/>
        <c:spPr>
          <a:solidFill>
            <a:schemeClr val="accent1"/>
          </a:solidFill>
          <a:ln w="19050">
            <a:solidFill>
              <a:schemeClr val="lt1"/>
            </a:solidFill>
          </a:ln>
          <a:effectLst/>
        </c:spPr>
      </c:pivotFmt>
      <c:pivotFmt>
        <c:idx val="171"/>
        <c:spPr>
          <a:solidFill>
            <a:schemeClr val="accent1"/>
          </a:solidFill>
          <a:ln w="19050">
            <a:solidFill>
              <a:schemeClr val="lt1"/>
            </a:solidFill>
          </a:ln>
          <a:effectLst/>
        </c:spPr>
      </c:pivotFmt>
      <c:pivotFmt>
        <c:idx val="172"/>
        <c:spPr>
          <a:solidFill>
            <a:schemeClr val="accent1"/>
          </a:solidFill>
          <a:ln w="19050">
            <a:solidFill>
              <a:schemeClr val="lt1"/>
            </a:solidFill>
          </a:ln>
          <a:effectLst/>
        </c:spPr>
      </c:pivotFmt>
      <c:pivotFmt>
        <c:idx val="173"/>
        <c:spPr>
          <a:solidFill>
            <a:schemeClr val="accent1"/>
          </a:solidFill>
          <a:ln w="19050">
            <a:solidFill>
              <a:schemeClr val="lt1"/>
            </a:solidFill>
          </a:ln>
          <a:effectLst/>
        </c:spPr>
      </c:pivotFmt>
      <c:pivotFmt>
        <c:idx val="174"/>
        <c:spPr>
          <a:solidFill>
            <a:schemeClr val="accent1"/>
          </a:solidFill>
          <a:ln w="19050">
            <a:solidFill>
              <a:schemeClr val="lt1"/>
            </a:solidFill>
          </a:ln>
          <a:effectLst/>
        </c:spPr>
      </c:pivotFmt>
      <c:pivotFmt>
        <c:idx val="175"/>
        <c:spPr>
          <a:solidFill>
            <a:schemeClr val="accent1"/>
          </a:solidFill>
          <a:ln w="19050">
            <a:solidFill>
              <a:schemeClr val="lt1"/>
            </a:solidFill>
          </a:ln>
          <a:effectLst/>
        </c:spPr>
      </c:pivotFmt>
      <c:pivotFmt>
        <c:idx val="176"/>
        <c:spPr>
          <a:solidFill>
            <a:schemeClr val="accent1"/>
          </a:solidFill>
          <a:ln w="19050">
            <a:solidFill>
              <a:schemeClr val="lt1"/>
            </a:solidFill>
          </a:ln>
          <a:effectLst/>
        </c:spPr>
      </c:pivotFmt>
      <c:pivotFmt>
        <c:idx val="177"/>
        <c:spPr>
          <a:solidFill>
            <a:schemeClr val="accent1"/>
          </a:solidFill>
          <a:ln w="19050">
            <a:solidFill>
              <a:schemeClr val="lt1"/>
            </a:solidFill>
          </a:ln>
          <a:effectLst/>
        </c:spPr>
      </c:pivotFmt>
      <c:pivotFmt>
        <c:idx val="178"/>
        <c:spPr>
          <a:solidFill>
            <a:schemeClr val="accent1"/>
          </a:solidFill>
          <a:ln w="19050">
            <a:solidFill>
              <a:schemeClr val="lt1"/>
            </a:solidFill>
          </a:ln>
          <a:effectLst/>
        </c:spPr>
      </c:pivotFmt>
      <c:pivotFmt>
        <c:idx val="179"/>
        <c:spPr>
          <a:solidFill>
            <a:schemeClr val="accent1"/>
          </a:solidFill>
          <a:ln w="19050">
            <a:solidFill>
              <a:schemeClr val="lt1"/>
            </a:solidFill>
          </a:ln>
          <a:effectLst/>
        </c:spPr>
      </c:pivotFmt>
      <c:pivotFmt>
        <c:idx val="180"/>
        <c:spPr>
          <a:solidFill>
            <a:schemeClr val="accent1"/>
          </a:solidFill>
          <a:ln w="19050">
            <a:solidFill>
              <a:schemeClr val="lt1"/>
            </a:solidFill>
          </a:ln>
          <a:effectLst/>
        </c:spPr>
      </c:pivotFmt>
      <c:pivotFmt>
        <c:idx val="181"/>
        <c:spPr>
          <a:solidFill>
            <a:schemeClr val="accent1"/>
          </a:solidFill>
          <a:ln w="19050">
            <a:solidFill>
              <a:schemeClr val="lt1"/>
            </a:solidFill>
          </a:ln>
          <a:effectLst/>
        </c:spPr>
      </c:pivotFmt>
      <c:pivotFmt>
        <c:idx val="182"/>
        <c:spPr>
          <a:solidFill>
            <a:schemeClr val="accent1"/>
          </a:solidFill>
          <a:ln w="19050">
            <a:solidFill>
              <a:schemeClr val="lt1"/>
            </a:solidFill>
          </a:ln>
          <a:effectLst/>
        </c:spPr>
      </c:pivotFmt>
      <c:pivotFmt>
        <c:idx val="183"/>
        <c:spPr>
          <a:solidFill>
            <a:schemeClr val="accent1"/>
          </a:solidFill>
          <a:ln w="19050">
            <a:solidFill>
              <a:schemeClr val="lt1"/>
            </a:solidFill>
          </a:ln>
          <a:effectLst/>
        </c:spPr>
      </c:pivotFmt>
      <c:pivotFmt>
        <c:idx val="184"/>
        <c:spPr>
          <a:solidFill>
            <a:schemeClr val="accent1"/>
          </a:solidFill>
          <a:ln w="19050">
            <a:solidFill>
              <a:schemeClr val="lt1"/>
            </a:solidFill>
          </a:ln>
          <a:effectLst/>
        </c:spPr>
      </c:pivotFmt>
      <c:pivotFmt>
        <c:idx val="185"/>
        <c:spPr>
          <a:solidFill>
            <a:schemeClr val="accent1"/>
          </a:solidFill>
          <a:ln w="19050">
            <a:solidFill>
              <a:schemeClr val="lt1"/>
            </a:solidFill>
          </a:ln>
          <a:effectLst/>
        </c:spPr>
      </c:pivotFmt>
      <c:pivotFmt>
        <c:idx val="186"/>
        <c:spPr>
          <a:solidFill>
            <a:schemeClr val="accent1"/>
          </a:solidFill>
          <a:ln w="19050">
            <a:solidFill>
              <a:schemeClr val="lt1"/>
            </a:solidFill>
          </a:ln>
          <a:effectLst/>
        </c:spPr>
      </c:pivotFmt>
      <c:pivotFmt>
        <c:idx val="187"/>
        <c:spPr>
          <a:solidFill>
            <a:schemeClr val="accent1"/>
          </a:solidFill>
          <a:ln w="19050">
            <a:solidFill>
              <a:schemeClr val="lt1"/>
            </a:solidFill>
          </a:ln>
          <a:effectLst/>
        </c:spPr>
      </c:pivotFmt>
      <c:pivotFmt>
        <c:idx val="188"/>
        <c:spPr>
          <a:solidFill>
            <a:schemeClr val="accent1"/>
          </a:solidFill>
          <a:ln w="19050">
            <a:solidFill>
              <a:schemeClr val="lt1"/>
            </a:solidFill>
          </a:ln>
          <a:effectLst/>
        </c:spPr>
      </c:pivotFmt>
      <c:pivotFmt>
        <c:idx val="189"/>
        <c:spPr>
          <a:solidFill>
            <a:schemeClr val="accent1"/>
          </a:solidFill>
          <a:ln w="19050">
            <a:solidFill>
              <a:schemeClr val="lt1"/>
            </a:solidFill>
          </a:ln>
          <a:effectLst/>
        </c:spPr>
      </c:pivotFmt>
      <c:pivotFmt>
        <c:idx val="190"/>
        <c:spPr>
          <a:solidFill>
            <a:schemeClr val="accent1"/>
          </a:solidFill>
          <a:ln w="19050">
            <a:solidFill>
              <a:schemeClr val="lt1"/>
            </a:solidFill>
          </a:ln>
          <a:effectLst/>
        </c:spPr>
      </c:pivotFmt>
      <c:pivotFmt>
        <c:idx val="191"/>
        <c:spPr>
          <a:solidFill>
            <a:schemeClr val="accent1"/>
          </a:solidFill>
          <a:ln w="19050">
            <a:solidFill>
              <a:schemeClr val="lt1"/>
            </a:solidFill>
          </a:ln>
          <a:effectLst/>
        </c:spPr>
      </c:pivotFmt>
      <c:pivotFmt>
        <c:idx val="192"/>
        <c:spPr>
          <a:solidFill>
            <a:schemeClr val="accent1"/>
          </a:solidFill>
          <a:ln w="19050">
            <a:solidFill>
              <a:schemeClr val="lt1"/>
            </a:solidFill>
          </a:ln>
          <a:effectLst/>
        </c:spPr>
      </c:pivotFmt>
      <c:pivotFmt>
        <c:idx val="193"/>
        <c:spPr>
          <a:solidFill>
            <a:schemeClr val="accent1"/>
          </a:solidFill>
          <a:ln w="19050">
            <a:solidFill>
              <a:schemeClr val="lt1"/>
            </a:solidFill>
          </a:ln>
          <a:effectLst/>
        </c:spPr>
      </c:pivotFmt>
      <c:pivotFmt>
        <c:idx val="194"/>
        <c:spPr>
          <a:solidFill>
            <a:schemeClr val="accent1"/>
          </a:solidFill>
          <a:ln w="19050">
            <a:solidFill>
              <a:schemeClr val="lt1"/>
            </a:solidFill>
          </a:ln>
          <a:effectLst/>
        </c:spPr>
      </c:pivotFmt>
      <c:pivotFmt>
        <c:idx val="195"/>
        <c:spPr>
          <a:solidFill>
            <a:schemeClr val="accent1"/>
          </a:solidFill>
          <a:ln w="19050">
            <a:solidFill>
              <a:schemeClr val="lt1"/>
            </a:solidFill>
          </a:ln>
          <a:effectLst/>
        </c:spPr>
      </c:pivotFmt>
      <c:pivotFmt>
        <c:idx val="196"/>
        <c:spPr>
          <a:solidFill>
            <a:schemeClr val="accent1"/>
          </a:solidFill>
          <a:ln w="19050">
            <a:solidFill>
              <a:schemeClr val="lt1"/>
            </a:solidFill>
          </a:ln>
          <a:effectLst/>
        </c:spPr>
      </c:pivotFmt>
      <c:pivotFmt>
        <c:idx val="197"/>
        <c:spPr>
          <a:solidFill>
            <a:schemeClr val="accent1"/>
          </a:solidFill>
          <a:ln w="19050">
            <a:solidFill>
              <a:schemeClr val="lt1"/>
            </a:solidFill>
          </a:ln>
          <a:effectLst/>
        </c:spPr>
      </c:pivotFmt>
      <c:pivotFmt>
        <c:idx val="198"/>
        <c:spPr>
          <a:solidFill>
            <a:schemeClr val="accent1"/>
          </a:solidFill>
          <a:ln w="19050">
            <a:solidFill>
              <a:schemeClr val="lt1"/>
            </a:solidFill>
          </a:ln>
          <a:effectLst/>
        </c:spPr>
      </c:pivotFmt>
      <c:pivotFmt>
        <c:idx val="199"/>
        <c:spPr>
          <a:solidFill>
            <a:schemeClr val="accent1"/>
          </a:solidFill>
          <a:ln w="19050">
            <a:solidFill>
              <a:schemeClr val="lt1"/>
            </a:solidFill>
          </a:ln>
          <a:effectLst/>
        </c:spPr>
      </c:pivotFmt>
      <c:pivotFmt>
        <c:idx val="200"/>
        <c:spPr>
          <a:solidFill>
            <a:schemeClr val="accent1"/>
          </a:solidFill>
          <a:ln w="19050">
            <a:solidFill>
              <a:schemeClr val="lt1"/>
            </a:solidFill>
          </a:ln>
          <a:effectLst/>
        </c:spPr>
      </c:pivotFmt>
      <c:pivotFmt>
        <c:idx val="201"/>
        <c:spPr>
          <a:solidFill>
            <a:schemeClr val="accent1"/>
          </a:solidFill>
          <a:ln w="19050">
            <a:solidFill>
              <a:schemeClr val="lt1"/>
            </a:solidFill>
          </a:ln>
          <a:effectLst/>
        </c:spPr>
      </c:pivotFmt>
      <c:pivotFmt>
        <c:idx val="202"/>
        <c:spPr>
          <a:solidFill>
            <a:schemeClr val="accent1"/>
          </a:solidFill>
          <a:ln w="19050">
            <a:solidFill>
              <a:schemeClr val="lt1"/>
            </a:solidFill>
          </a:ln>
          <a:effectLst/>
        </c:spPr>
      </c:pivotFmt>
      <c:pivotFmt>
        <c:idx val="203"/>
        <c:spPr>
          <a:solidFill>
            <a:schemeClr val="accent1"/>
          </a:solidFill>
          <a:ln w="19050">
            <a:solidFill>
              <a:schemeClr val="lt1"/>
            </a:solidFill>
          </a:ln>
          <a:effectLst/>
        </c:spPr>
      </c:pivotFmt>
      <c:pivotFmt>
        <c:idx val="204"/>
        <c:spPr>
          <a:solidFill>
            <a:schemeClr val="accent1"/>
          </a:solidFill>
          <a:ln w="19050">
            <a:solidFill>
              <a:schemeClr val="lt1"/>
            </a:solidFill>
          </a:ln>
          <a:effectLst/>
        </c:spPr>
      </c:pivotFmt>
      <c:pivotFmt>
        <c:idx val="205"/>
        <c:spPr>
          <a:solidFill>
            <a:schemeClr val="accent1"/>
          </a:solidFill>
          <a:ln w="19050">
            <a:solidFill>
              <a:schemeClr val="lt1"/>
            </a:solidFill>
          </a:ln>
          <a:effectLst/>
        </c:spPr>
      </c:pivotFmt>
      <c:pivotFmt>
        <c:idx val="206"/>
        <c:spPr>
          <a:solidFill>
            <a:schemeClr val="accent1"/>
          </a:solidFill>
          <a:ln w="19050">
            <a:solidFill>
              <a:schemeClr val="lt1"/>
            </a:solidFill>
          </a:ln>
          <a:effectLst/>
        </c:spPr>
      </c:pivotFmt>
      <c:pivotFmt>
        <c:idx val="207"/>
        <c:spPr>
          <a:solidFill>
            <a:schemeClr val="accent1"/>
          </a:solidFill>
          <a:ln w="19050">
            <a:solidFill>
              <a:schemeClr val="lt1"/>
            </a:solidFill>
          </a:ln>
          <a:effectLst/>
        </c:spPr>
      </c:pivotFmt>
      <c:pivotFmt>
        <c:idx val="208"/>
        <c:spPr>
          <a:solidFill>
            <a:schemeClr val="accent1"/>
          </a:solidFill>
          <a:ln w="19050">
            <a:solidFill>
              <a:schemeClr val="lt1"/>
            </a:solidFill>
          </a:ln>
          <a:effectLst/>
        </c:spPr>
      </c:pivotFmt>
      <c:pivotFmt>
        <c:idx val="209"/>
        <c:spPr>
          <a:solidFill>
            <a:schemeClr val="accent1"/>
          </a:solidFill>
          <a:ln w="19050">
            <a:solidFill>
              <a:schemeClr val="lt1"/>
            </a:solidFill>
          </a:ln>
          <a:effectLst/>
        </c:spPr>
      </c:pivotFmt>
      <c:pivotFmt>
        <c:idx val="210"/>
        <c:spPr>
          <a:solidFill>
            <a:schemeClr val="accent1"/>
          </a:solidFill>
          <a:ln w="19050">
            <a:solidFill>
              <a:schemeClr val="lt1"/>
            </a:solidFill>
          </a:ln>
          <a:effectLst/>
        </c:spPr>
      </c:pivotFmt>
      <c:pivotFmt>
        <c:idx val="211"/>
        <c:spPr>
          <a:solidFill>
            <a:schemeClr val="accent1"/>
          </a:solidFill>
          <a:ln w="19050">
            <a:solidFill>
              <a:schemeClr val="lt1"/>
            </a:solidFill>
          </a:ln>
          <a:effectLst/>
        </c:spPr>
      </c:pivotFmt>
      <c:pivotFmt>
        <c:idx val="212"/>
        <c:spPr>
          <a:solidFill>
            <a:schemeClr val="accent1"/>
          </a:solidFill>
          <a:ln w="19050">
            <a:solidFill>
              <a:schemeClr val="lt1"/>
            </a:solidFill>
          </a:ln>
          <a:effectLst/>
        </c:spPr>
      </c:pivotFmt>
      <c:pivotFmt>
        <c:idx val="213"/>
        <c:spPr>
          <a:solidFill>
            <a:schemeClr val="accent1"/>
          </a:solidFill>
          <a:ln w="19050">
            <a:solidFill>
              <a:schemeClr val="lt1"/>
            </a:solidFill>
          </a:ln>
          <a:effectLst/>
        </c:spPr>
      </c:pivotFmt>
      <c:pivotFmt>
        <c:idx val="214"/>
        <c:spPr>
          <a:solidFill>
            <a:schemeClr val="accent1"/>
          </a:solidFill>
          <a:ln w="19050">
            <a:solidFill>
              <a:schemeClr val="lt1"/>
            </a:solidFill>
          </a:ln>
          <a:effectLst/>
        </c:spPr>
      </c:pivotFmt>
      <c:pivotFmt>
        <c:idx val="215"/>
        <c:spPr>
          <a:solidFill>
            <a:schemeClr val="accent1"/>
          </a:solidFill>
          <a:ln w="19050">
            <a:solidFill>
              <a:schemeClr val="lt1"/>
            </a:solidFill>
          </a:ln>
          <a:effectLst/>
        </c:spPr>
      </c:pivotFmt>
      <c:pivotFmt>
        <c:idx val="216"/>
        <c:spPr>
          <a:solidFill>
            <a:schemeClr val="accent1"/>
          </a:solidFill>
          <a:ln w="19050">
            <a:solidFill>
              <a:schemeClr val="lt1"/>
            </a:solidFill>
          </a:ln>
          <a:effectLst/>
        </c:spPr>
      </c:pivotFmt>
      <c:pivotFmt>
        <c:idx val="217"/>
        <c:spPr>
          <a:solidFill>
            <a:schemeClr val="accent1"/>
          </a:solidFill>
          <a:ln w="19050">
            <a:solidFill>
              <a:schemeClr val="lt1"/>
            </a:solidFill>
          </a:ln>
          <a:effectLst/>
        </c:spPr>
      </c:pivotFmt>
      <c:pivotFmt>
        <c:idx val="218"/>
        <c:spPr>
          <a:solidFill>
            <a:schemeClr val="accent1"/>
          </a:solidFill>
          <a:ln w="19050">
            <a:solidFill>
              <a:schemeClr val="lt1"/>
            </a:solidFill>
          </a:ln>
          <a:effectLst/>
        </c:spPr>
      </c:pivotFmt>
      <c:pivotFmt>
        <c:idx val="219"/>
        <c:spPr>
          <a:solidFill>
            <a:schemeClr val="accent1"/>
          </a:solidFill>
          <a:ln w="19050">
            <a:solidFill>
              <a:schemeClr val="lt1"/>
            </a:solidFill>
          </a:ln>
          <a:effectLst/>
        </c:spPr>
      </c:pivotFmt>
      <c:pivotFmt>
        <c:idx val="220"/>
        <c:spPr>
          <a:solidFill>
            <a:schemeClr val="accent1"/>
          </a:solidFill>
          <a:ln w="19050">
            <a:solidFill>
              <a:schemeClr val="lt1"/>
            </a:solidFill>
          </a:ln>
          <a:effectLst/>
        </c:spPr>
      </c:pivotFmt>
      <c:pivotFmt>
        <c:idx val="221"/>
        <c:spPr>
          <a:solidFill>
            <a:schemeClr val="accent1"/>
          </a:solidFill>
          <a:ln w="19050">
            <a:solidFill>
              <a:schemeClr val="lt1"/>
            </a:solidFill>
          </a:ln>
          <a:effectLst/>
        </c:spPr>
      </c:pivotFmt>
      <c:pivotFmt>
        <c:idx val="222"/>
        <c:spPr>
          <a:solidFill>
            <a:schemeClr val="accent1"/>
          </a:solidFill>
          <a:ln w="19050">
            <a:solidFill>
              <a:schemeClr val="lt1"/>
            </a:solidFill>
          </a:ln>
          <a:effectLst/>
        </c:spPr>
      </c:pivotFmt>
      <c:pivotFmt>
        <c:idx val="223"/>
        <c:spPr>
          <a:solidFill>
            <a:schemeClr val="accent1"/>
          </a:solidFill>
          <a:ln w="19050">
            <a:solidFill>
              <a:schemeClr val="lt1"/>
            </a:solidFill>
          </a:ln>
          <a:effectLst/>
        </c:spPr>
      </c:pivotFmt>
      <c:pivotFmt>
        <c:idx val="224"/>
        <c:spPr>
          <a:solidFill>
            <a:schemeClr val="accent1"/>
          </a:solidFill>
          <a:ln w="19050">
            <a:solidFill>
              <a:schemeClr val="lt1"/>
            </a:solidFill>
          </a:ln>
          <a:effectLst/>
        </c:spPr>
      </c:pivotFmt>
      <c:pivotFmt>
        <c:idx val="225"/>
        <c:spPr>
          <a:solidFill>
            <a:schemeClr val="accent1"/>
          </a:solidFill>
          <a:ln w="19050">
            <a:solidFill>
              <a:schemeClr val="lt1"/>
            </a:solidFill>
          </a:ln>
          <a:effectLst/>
        </c:spPr>
      </c:pivotFmt>
      <c:pivotFmt>
        <c:idx val="226"/>
        <c:spPr>
          <a:solidFill>
            <a:schemeClr val="accent1"/>
          </a:solidFill>
          <a:ln w="19050">
            <a:solidFill>
              <a:schemeClr val="lt1"/>
            </a:solidFill>
          </a:ln>
          <a:effectLst/>
        </c:spPr>
      </c:pivotFmt>
      <c:pivotFmt>
        <c:idx val="227"/>
        <c:spPr>
          <a:solidFill>
            <a:schemeClr val="accent1"/>
          </a:solidFill>
          <a:ln w="19050">
            <a:solidFill>
              <a:schemeClr val="lt1"/>
            </a:solidFill>
          </a:ln>
          <a:effectLst/>
        </c:spPr>
      </c:pivotFmt>
      <c:pivotFmt>
        <c:idx val="228"/>
        <c:spPr>
          <a:solidFill>
            <a:schemeClr val="accent1"/>
          </a:solidFill>
          <a:ln w="19050">
            <a:solidFill>
              <a:schemeClr val="lt1"/>
            </a:solidFill>
          </a:ln>
          <a:effectLst/>
        </c:spPr>
      </c:pivotFmt>
      <c:pivotFmt>
        <c:idx val="229"/>
        <c:spPr>
          <a:solidFill>
            <a:schemeClr val="accent1"/>
          </a:solidFill>
          <a:ln w="19050">
            <a:solidFill>
              <a:schemeClr val="lt1"/>
            </a:solidFill>
          </a:ln>
          <a:effectLst/>
        </c:spPr>
      </c:pivotFmt>
      <c:pivotFmt>
        <c:idx val="230"/>
        <c:spPr>
          <a:solidFill>
            <a:schemeClr val="accent1"/>
          </a:solidFill>
          <a:ln w="19050">
            <a:solidFill>
              <a:schemeClr val="lt1"/>
            </a:solidFill>
          </a:ln>
          <a:effectLst/>
        </c:spPr>
      </c:pivotFmt>
      <c:pivotFmt>
        <c:idx val="231"/>
        <c:spPr>
          <a:solidFill>
            <a:schemeClr val="accent1"/>
          </a:solidFill>
          <a:ln w="19050">
            <a:solidFill>
              <a:schemeClr val="lt1"/>
            </a:solidFill>
          </a:ln>
          <a:effectLst/>
        </c:spPr>
      </c:pivotFmt>
      <c:pivotFmt>
        <c:idx val="232"/>
        <c:spPr>
          <a:solidFill>
            <a:schemeClr val="accent1"/>
          </a:solidFill>
          <a:ln w="19050">
            <a:solidFill>
              <a:schemeClr val="lt1"/>
            </a:solidFill>
          </a:ln>
          <a:effectLst/>
        </c:spPr>
      </c:pivotFmt>
      <c:pivotFmt>
        <c:idx val="233"/>
        <c:spPr>
          <a:solidFill>
            <a:schemeClr val="accent1"/>
          </a:solidFill>
          <a:ln w="19050">
            <a:solidFill>
              <a:schemeClr val="lt1"/>
            </a:solidFill>
          </a:ln>
          <a:effectLst/>
        </c:spPr>
      </c:pivotFmt>
      <c:pivotFmt>
        <c:idx val="234"/>
        <c:spPr>
          <a:solidFill>
            <a:schemeClr val="accent1"/>
          </a:solidFill>
          <a:ln w="19050">
            <a:solidFill>
              <a:schemeClr val="lt1"/>
            </a:solidFill>
          </a:ln>
          <a:effectLst/>
        </c:spPr>
      </c:pivotFmt>
      <c:pivotFmt>
        <c:idx val="235"/>
        <c:spPr>
          <a:solidFill>
            <a:schemeClr val="accent1"/>
          </a:solidFill>
          <a:ln w="19050">
            <a:solidFill>
              <a:schemeClr val="lt1"/>
            </a:solidFill>
          </a:ln>
          <a:effectLst/>
        </c:spPr>
      </c:pivotFmt>
      <c:pivotFmt>
        <c:idx val="236"/>
        <c:spPr>
          <a:solidFill>
            <a:schemeClr val="accent1"/>
          </a:solidFill>
          <a:ln w="19050">
            <a:solidFill>
              <a:schemeClr val="lt1"/>
            </a:solidFill>
          </a:ln>
          <a:effectLst/>
        </c:spPr>
      </c:pivotFmt>
      <c:pivotFmt>
        <c:idx val="237"/>
        <c:spPr>
          <a:solidFill>
            <a:schemeClr val="accent1"/>
          </a:solidFill>
          <a:ln w="19050">
            <a:solidFill>
              <a:schemeClr val="lt1"/>
            </a:solidFill>
          </a:ln>
          <a:effectLst/>
        </c:spPr>
      </c:pivotFmt>
      <c:pivotFmt>
        <c:idx val="238"/>
        <c:spPr>
          <a:solidFill>
            <a:schemeClr val="accent1"/>
          </a:solidFill>
          <a:ln w="19050">
            <a:solidFill>
              <a:schemeClr val="lt1"/>
            </a:solidFill>
          </a:ln>
          <a:effectLst/>
        </c:spPr>
      </c:pivotFmt>
      <c:pivotFmt>
        <c:idx val="239"/>
        <c:spPr>
          <a:solidFill>
            <a:schemeClr val="accent1"/>
          </a:solidFill>
          <a:ln w="19050">
            <a:solidFill>
              <a:schemeClr val="lt1"/>
            </a:solidFill>
          </a:ln>
          <a:effectLst/>
        </c:spPr>
      </c:pivotFmt>
      <c:pivotFmt>
        <c:idx val="240"/>
        <c:spPr>
          <a:solidFill>
            <a:schemeClr val="accent1"/>
          </a:solidFill>
          <a:ln w="19050">
            <a:solidFill>
              <a:schemeClr val="lt1"/>
            </a:solidFill>
          </a:ln>
          <a:effectLst/>
        </c:spPr>
      </c:pivotFmt>
      <c:pivotFmt>
        <c:idx val="241"/>
        <c:spPr>
          <a:solidFill>
            <a:schemeClr val="accent1"/>
          </a:solidFill>
          <a:ln w="19050">
            <a:solidFill>
              <a:schemeClr val="lt1"/>
            </a:solidFill>
          </a:ln>
          <a:effectLst/>
        </c:spPr>
      </c:pivotFmt>
      <c:pivotFmt>
        <c:idx val="242"/>
        <c:spPr>
          <a:solidFill>
            <a:schemeClr val="accent1"/>
          </a:solidFill>
          <a:ln w="19050">
            <a:solidFill>
              <a:schemeClr val="lt1"/>
            </a:solidFill>
          </a:ln>
          <a:effectLst/>
        </c:spPr>
      </c:pivotFmt>
      <c:pivotFmt>
        <c:idx val="243"/>
        <c:spPr>
          <a:solidFill>
            <a:schemeClr val="accent1"/>
          </a:solidFill>
          <a:ln w="19050">
            <a:solidFill>
              <a:schemeClr val="lt1"/>
            </a:solidFill>
          </a:ln>
          <a:effectLst/>
        </c:spPr>
      </c:pivotFmt>
      <c:pivotFmt>
        <c:idx val="244"/>
        <c:spPr>
          <a:solidFill>
            <a:schemeClr val="accent1"/>
          </a:solidFill>
          <a:ln w="19050">
            <a:solidFill>
              <a:schemeClr val="lt1"/>
            </a:solidFill>
          </a:ln>
          <a:effectLst/>
        </c:spPr>
      </c:pivotFmt>
      <c:pivotFmt>
        <c:idx val="245"/>
        <c:spPr>
          <a:solidFill>
            <a:schemeClr val="accent1"/>
          </a:solidFill>
          <a:ln w="19050">
            <a:solidFill>
              <a:schemeClr val="lt1"/>
            </a:solidFill>
          </a:ln>
          <a:effectLst/>
        </c:spPr>
      </c:pivotFmt>
      <c:pivotFmt>
        <c:idx val="246"/>
        <c:spPr>
          <a:solidFill>
            <a:schemeClr val="accent1"/>
          </a:solidFill>
          <a:ln w="19050">
            <a:solidFill>
              <a:schemeClr val="lt1"/>
            </a:solidFill>
          </a:ln>
          <a:effectLst/>
        </c:spPr>
      </c:pivotFmt>
      <c:pivotFmt>
        <c:idx val="247"/>
        <c:spPr>
          <a:solidFill>
            <a:schemeClr val="accent1"/>
          </a:solidFill>
          <a:ln w="19050">
            <a:solidFill>
              <a:schemeClr val="lt1"/>
            </a:solidFill>
          </a:ln>
          <a:effectLst/>
        </c:spPr>
      </c:pivotFmt>
      <c:pivotFmt>
        <c:idx val="248"/>
        <c:spPr>
          <a:solidFill>
            <a:schemeClr val="accent1"/>
          </a:solidFill>
          <a:ln w="19050">
            <a:solidFill>
              <a:schemeClr val="lt1"/>
            </a:solidFill>
          </a:ln>
          <a:effectLst/>
        </c:spPr>
      </c:pivotFmt>
      <c:pivotFmt>
        <c:idx val="249"/>
        <c:spPr>
          <a:solidFill>
            <a:schemeClr val="accent1"/>
          </a:solidFill>
          <a:ln w="19050">
            <a:solidFill>
              <a:schemeClr val="lt1"/>
            </a:solidFill>
          </a:ln>
          <a:effectLst/>
        </c:spPr>
      </c:pivotFmt>
      <c:pivotFmt>
        <c:idx val="250"/>
        <c:spPr>
          <a:solidFill>
            <a:schemeClr val="accent1"/>
          </a:solidFill>
          <a:ln w="19050">
            <a:solidFill>
              <a:schemeClr val="lt1"/>
            </a:solidFill>
          </a:ln>
          <a:effectLst/>
        </c:spPr>
      </c:pivotFmt>
      <c:pivotFmt>
        <c:idx val="251"/>
        <c:spPr>
          <a:solidFill>
            <a:schemeClr val="accent1"/>
          </a:solidFill>
          <a:ln w="19050">
            <a:solidFill>
              <a:schemeClr val="lt1"/>
            </a:solidFill>
          </a:ln>
          <a:effectLst/>
        </c:spPr>
      </c:pivotFmt>
      <c:pivotFmt>
        <c:idx val="252"/>
        <c:spPr>
          <a:solidFill>
            <a:schemeClr val="accent1"/>
          </a:solidFill>
          <a:ln w="19050">
            <a:solidFill>
              <a:schemeClr val="lt1"/>
            </a:solidFill>
          </a:ln>
          <a:effectLst/>
        </c:spPr>
      </c:pivotFmt>
      <c:pivotFmt>
        <c:idx val="253"/>
        <c:spPr>
          <a:solidFill>
            <a:schemeClr val="accent1"/>
          </a:solidFill>
          <a:ln w="19050">
            <a:solidFill>
              <a:schemeClr val="lt1"/>
            </a:solidFill>
          </a:ln>
          <a:effectLst/>
        </c:spPr>
      </c:pivotFmt>
      <c:pivotFmt>
        <c:idx val="254"/>
        <c:spPr>
          <a:solidFill>
            <a:schemeClr val="accent1"/>
          </a:solidFill>
          <a:ln w="19050">
            <a:solidFill>
              <a:schemeClr val="lt1"/>
            </a:solidFill>
          </a:ln>
          <a:effectLst/>
        </c:spPr>
      </c:pivotFmt>
      <c:pivotFmt>
        <c:idx val="255"/>
        <c:spPr>
          <a:solidFill>
            <a:schemeClr val="accent1"/>
          </a:solidFill>
          <a:ln w="19050">
            <a:solidFill>
              <a:schemeClr val="lt1"/>
            </a:solidFill>
          </a:ln>
          <a:effectLst/>
        </c:spPr>
      </c:pivotFmt>
      <c:pivotFmt>
        <c:idx val="256"/>
        <c:spPr>
          <a:solidFill>
            <a:schemeClr val="accent1"/>
          </a:solidFill>
          <a:ln w="19050">
            <a:solidFill>
              <a:schemeClr val="lt1"/>
            </a:solidFill>
          </a:ln>
          <a:effectLst/>
        </c:spPr>
      </c:pivotFmt>
      <c:pivotFmt>
        <c:idx val="257"/>
        <c:spPr>
          <a:solidFill>
            <a:schemeClr val="accent1"/>
          </a:solidFill>
          <a:ln w="19050">
            <a:solidFill>
              <a:schemeClr val="lt1"/>
            </a:solidFill>
          </a:ln>
          <a:effectLst/>
        </c:spPr>
      </c:pivotFmt>
      <c:pivotFmt>
        <c:idx val="258"/>
        <c:spPr>
          <a:solidFill>
            <a:schemeClr val="accent1"/>
          </a:solidFill>
          <a:ln w="19050">
            <a:solidFill>
              <a:schemeClr val="lt1"/>
            </a:solidFill>
          </a:ln>
          <a:effectLst/>
        </c:spPr>
      </c:pivotFmt>
      <c:pivotFmt>
        <c:idx val="259"/>
        <c:spPr>
          <a:solidFill>
            <a:schemeClr val="accent1"/>
          </a:solidFill>
          <a:ln w="19050">
            <a:solidFill>
              <a:schemeClr val="lt1"/>
            </a:solidFill>
          </a:ln>
          <a:effectLst/>
        </c:spPr>
      </c:pivotFmt>
      <c:pivotFmt>
        <c:idx val="260"/>
        <c:spPr>
          <a:solidFill>
            <a:schemeClr val="accent1"/>
          </a:solidFill>
          <a:ln w="19050">
            <a:solidFill>
              <a:schemeClr val="lt1"/>
            </a:solidFill>
          </a:ln>
          <a:effectLst/>
        </c:spPr>
      </c:pivotFmt>
      <c:pivotFmt>
        <c:idx val="261"/>
        <c:spPr>
          <a:solidFill>
            <a:schemeClr val="accent1"/>
          </a:solidFill>
          <a:ln w="19050">
            <a:solidFill>
              <a:schemeClr val="lt1"/>
            </a:solidFill>
          </a:ln>
          <a:effectLst/>
        </c:spPr>
      </c:pivotFmt>
      <c:pivotFmt>
        <c:idx val="262"/>
        <c:spPr>
          <a:solidFill>
            <a:schemeClr val="accent1"/>
          </a:solidFill>
          <a:ln w="19050">
            <a:solidFill>
              <a:schemeClr val="lt1"/>
            </a:solidFill>
          </a:ln>
          <a:effectLst/>
        </c:spPr>
      </c:pivotFmt>
      <c:pivotFmt>
        <c:idx val="263"/>
        <c:spPr>
          <a:solidFill>
            <a:schemeClr val="accent1"/>
          </a:solidFill>
          <a:ln w="19050">
            <a:solidFill>
              <a:schemeClr val="lt1"/>
            </a:solidFill>
          </a:ln>
          <a:effectLst/>
        </c:spPr>
      </c:pivotFmt>
      <c:pivotFmt>
        <c:idx val="264"/>
        <c:spPr>
          <a:solidFill>
            <a:schemeClr val="accent1"/>
          </a:solidFill>
          <a:ln w="19050">
            <a:solidFill>
              <a:schemeClr val="lt1"/>
            </a:solidFill>
          </a:ln>
          <a:effectLst/>
        </c:spPr>
      </c:pivotFmt>
      <c:pivotFmt>
        <c:idx val="265"/>
        <c:spPr>
          <a:solidFill>
            <a:schemeClr val="accent1"/>
          </a:solidFill>
          <a:ln w="19050">
            <a:solidFill>
              <a:schemeClr val="lt1"/>
            </a:solidFill>
          </a:ln>
          <a:effectLst/>
        </c:spPr>
      </c:pivotFmt>
      <c:pivotFmt>
        <c:idx val="266"/>
        <c:spPr>
          <a:solidFill>
            <a:schemeClr val="accent1"/>
          </a:solidFill>
          <a:ln w="19050">
            <a:solidFill>
              <a:schemeClr val="lt1"/>
            </a:solidFill>
          </a:ln>
          <a:effectLst/>
        </c:spPr>
      </c:pivotFmt>
      <c:pivotFmt>
        <c:idx val="267"/>
        <c:spPr>
          <a:solidFill>
            <a:schemeClr val="accent1"/>
          </a:solidFill>
          <a:ln w="19050">
            <a:solidFill>
              <a:schemeClr val="lt1"/>
            </a:solidFill>
          </a:ln>
          <a:effectLst/>
        </c:spPr>
      </c:pivotFmt>
      <c:pivotFmt>
        <c:idx val="268"/>
        <c:spPr>
          <a:solidFill>
            <a:schemeClr val="accent1"/>
          </a:solidFill>
          <a:ln w="19050">
            <a:solidFill>
              <a:schemeClr val="lt1"/>
            </a:solidFill>
          </a:ln>
          <a:effectLst/>
        </c:spPr>
      </c:pivotFmt>
      <c:pivotFmt>
        <c:idx val="269"/>
        <c:spPr>
          <a:solidFill>
            <a:schemeClr val="accent1"/>
          </a:solidFill>
          <a:ln w="19050">
            <a:solidFill>
              <a:schemeClr val="lt1"/>
            </a:solidFill>
          </a:ln>
          <a:effectLst/>
        </c:spPr>
      </c:pivotFmt>
      <c:pivotFmt>
        <c:idx val="270"/>
        <c:spPr>
          <a:solidFill>
            <a:schemeClr val="accent1"/>
          </a:solidFill>
          <a:ln w="19050">
            <a:solidFill>
              <a:schemeClr val="lt1"/>
            </a:solidFill>
          </a:ln>
          <a:effectLst/>
        </c:spPr>
      </c:pivotFmt>
      <c:pivotFmt>
        <c:idx val="271"/>
        <c:spPr>
          <a:solidFill>
            <a:schemeClr val="accent1"/>
          </a:solidFill>
          <a:ln w="19050">
            <a:solidFill>
              <a:schemeClr val="lt1"/>
            </a:solidFill>
          </a:ln>
          <a:effectLst/>
        </c:spPr>
      </c:pivotFmt>
      <c:pivotFmt>
        <c:idx val="272"/>
        <c:spPr>
          <a:solidFill>
            <a:schemeClr val="accent1"/>
          </a:solidFill>
          <a:ln w="19050">
            <a:solidFill>
              <a:schemeClr val="lt1"/>
            </a:solidFill>
          </a:ln>
          <a:effectLst/>
        </c:spPr>
      </c:pivotFmt>
      <c:pivotFmt>
        <c:idx val="273"/>
        <c:spPr>
          <a:solidFill>
            <a:schemeClr val="accent1"/>
          </a:solidFill>
          <a:ln w="19050">
            <a:solidFill>
              <a:schemeClr val="lt1"/>
            </a:solidFill>
          </a:ln>
          <a:effectLst/>
        </c:spPr>
      </c:pivotFmt>
      <c:pivotFmt>
        <c:idx val="274"/>
        <c:spPr>
          <a:solidFill>
            <a:schemeClr val="accent1"/>
          </a:solidFill>
          <a:ln w="19050">
            <a:solidFill>
              <a:schemeClr val="lt1"/>
            </a:solidFill>
          </a:ln>
          <a:effectLst/>
        </c:spPr>
      </c:pivotFmt>
      <c:pivotFmt>
        <c:idx val="275"/>
        <c:spPr>
          <a:solidFill>
            <a:schemeClr val="accent1"/>
          </a:solidFill>
          <a:ln w="19050">
            <a:solidFill>
              <a:schemeClr val="lt1"/>
            </a:solidFill>
          </a:ln>
          <a:effectLst/>
        </c:spPr>
      </c:pivotFmt>
      <c:pivotFmt>
        <c:idx val="276"/>
        <c:spPr>
          <a:solidFill>
            <a:schemeClr val="accent1"/>
          </a:solidFill>
          <a:ln w="19050">
            <a:solidFill>
              <a:schemeClr val="lt1"/>
            </a:solidFill>
          </a:ln>
          <a:effectLst/>
        </c:spPr>
      </c:pivotFmt>
      <c:pivotFmt>
        <c:idx val="277"/>
        <c:spPr>
          <a:solidFill>
            <a:schemeClr val="accent1"/>
          </a:solidFill>
          <a:ln w="19050">
            <a:solidFill>
              <a:schemeClr val="lt1"/>
            </a:solidFill>
          </a:ln>
          <a:effectLst/>
        </c:spPr>
      </c:pivotFmt>
      <c:pivotFmt>
        <c:idx val="278"/>
        <c:spPr>
          <a:solidFill>
            <a:schemeClr val="accent1"/>
          </a:solidFill>
          <a:ln w="19050">
            <a:solidFill>
              <a:schemeClr val="lt1"/>
            </a:solidFill>
          </a:ln>
          <a:effectLst/>
        </c:spPr>
      </c:pivotFmt>
      <c:pivotFmt>
        <c:idx val="279"/>
        <c:spPr>
          <a:solidFill>
            <a:schemeClr val="accent1"/>
          </a:solidFill>
          <a:ln w="19050">
            <a:solidFill>
              <a:schemeClr val="lt1"/>
            </a:solidFill>
          </a:ln>
          <a:effectLst/>
        </c:spPr>
      </c:pivotFmt>
      <c:pivotFmt>
        <c:idx val="280"/>
        <c:spPr>
          <a:solidFill>
            <a:schemeClr val="accent1"/>
          </a:solidFill>
          <a:ln w="19050">
            <a:solidFill>
              <a:schemeClr val="lt1"/>
            </a:solidFill>
          </a:ln>
          <a:effectLst/>
        </c:spPr>
      </c:pivotFmt>
      <c:pivotFmt>
        <c:idx val="281"/>
        <c:spPr>
          <a:solidFill>
            <a:schemeClr val="accent1"/>
          </a:solidFill>
          <a:ln w="19050">
            <a:solidFill>
              <a:schemeClr val="lt1"/>
            </a:solidFill>
          </a:ln>
          <a:effectLst/>
        </c:spPr>
      </c:pivotFmt>
      <c:pivotFmt>
        <c:idx val="282"/>
        <c:spPr>
          <a:solidFill>
            <a:schemeClr val="accent1"/>
          </a:solidFill>
          <a:ln w="19050">
            <a:solidFill>
              <a:schemeClr val="lt1"/>
            </a:solidFill>
          </a:ln>
          <a:effectLst/>
        </c:spPr>
      </c:pivotFmt>
      <c:pivotFmt>
        <c:idx val="283"/>
        <c:spPr>
          <a:solidFill>
            <a:schemeClr val="accent1"/>
          </a:solidFill>
          <a:ln w="19050">
            <a:solidFill>
              <a:schemeClr val="lt1"/>
            </a:solidFill>
          </a:ln>
          <a:effectLst/>
        </c:spPr>
      </c:pivotFmt>
      <c:pivotFmt>
        <c:idx val="284"/>
        <c:spPr>
          <a:solidFill>
            <a:schemeClr val="accent1"/>
          </a:solidFill>
          <a:ln w="19050">
            <a:solidFill>
              <a:schemeClr val="lt1"/>
            </a:solidFill>
          </a:ln>
          <a:effectLst/>
        </c:spPr>
      </c:pivotFmt>
      <c:pivotFmt>
        <c:idx val="285"/>
        <c:spPr>
          <a:solidFill>
            <a:schemeClr val="accent1"/>
          </a:solidFill>
          <a:ln w="19050">
            <a:solidFill>
              <a:schemeClr val="lt1"/>
            </a:solidFill>
          </a:ln>
          <a:effectLst/>
        </c:spPr>
      </c:pivotFmt>
      <c:pivotFmt>
        <c:idx val="286"/>
        <c:spPr>
          <a:solidFill>
            <a:schemeClr val="accent1"/>
          </a:solidFill>
          <a:ln w="19050">
            <a:solidFill>
              <a:schemeClr val="lt1"/>
            </a:solidFill>
          </a:ln>
          <a:effectLst/>
        </c:spPr>
      </c:pivotFmt>
      <c:pivotFmt>
        <c:idx val="287"/>
        <c:spPr>
          <a:solidFill>
            <a:schemeClr val="accent1"/>
          </a:solidFill>
          <a:ln w="19050">
            <a:solidFill>
              <a:schemeClr val="lt1"/>
            </a:solidFill>
          </a:ln>
          <a:effectLst/>
        </c:spPr>
      </c:pivotFmt>
      <c:pivotFmt>
        <c:idx val="288"/>
        <c:spPr>
          <a:solidFill>
            <a:schemeClr val="accent1"/>
          </a:solidFill>
          <a:ln w="19050">
            <a:solidFill>
              <a:schemeClr val="lt1"/>
            </a:solidFill>
          </a:ln>
          <a:effectLst/>
        </c:spPr>
      </c:pivotFmt>
      <c:pivotFmt>
        <c:idx val="289"/>
        <c:spPr>
          <a:solidFill>
            <a:schemeClr val="accent1"/>
          </a:solidFill>
          <a:ln w="19050">
            <a:solidFill>
              <a:schemeClr val="lt1"/>
            </a:solidFill>
          </a:ln>
          <a:effectLst/>
        </c:spPr>
      </c:pivotFmt>
      <c:pivotFmt>
        <c:idx val="290"/>
        <c:spPr>
          <a:solidFill>
            <a:schemeClr val="accent1"/>
          </a:solidFill>
          <a:ln w="19050">
            <a:solidFill>
              <a:schemeClr val="lt1"/>
            </a:solidFill>
          </a:ln>
          <a:effectLst/>
        </c:spPr>
      </c:pivotFmt>
      <c:pivotFmt>
        <c:idx val="291"/>
        <c:spPr>
          <a:solidFill>
            <a:schemeClr val="accent1"/>
          </a:solidFill>
          <a:ln w="19050">
            <a:solidFill>
              <a:schemeClr val="lt1"/>
            </a:solidFill>
          </a:ln>
          <a:effectLst/>
        </c:spPr>
      </c:pivotFmt>
      <c:pivotFmt>
        <c:idx val="292"/>
        <c:spPr>
          <a:solidFill>
            <a:schemeClr val="accent1"/>
          </a:solidFill>
          <a:ln w="19050">
            <a:solidFill>
              <a:schemeClr val="lt1"/>
            </a:solidFill>
          </a:ln>
          <a:effectLst/>
        </c:spPr>
      </c:pivotFmt>
      <c:pivotFmt>
        <c:idx val="293"/>
        <c:spPr>
          <a:solidFill>
            <a:schemeClr val="accent1"/>
          </a:solidFill>
          <a:ln w="19050">
            <a:solidFill>
              <a:schemeClr val="lt1"/>
            </a:solidFill>
          </a:ln>
          <a:effectLst/>
        </c:spPr>
      </c:pivotFmt>
      <c:pivotFmt>
        <c:idx val="294"/>
        <c:spPr>
          <a:solidFill>
            <a:schemeClr val="accent1"/>
          </a:solidFill>
          <a:ln w="19050">
            <a:solidFill>
              <a:schemeClr val="lt1"/>
            </a:solidFill>
          </a:ln>
          <a:effectLst/>
        </c:spPr>
      </c:pivotFmt>
      <c:pivotFmt>
        <c:idx val="295"/>
        <c:spPr>
          <a:solidFill>
            <a:schemeClr val="accent1"/>
          </a:solidFill>
          <a:ln w="19050">
            <a:solidFill>
              <a:schemeClr val="lt1"/>
            </a:solidFill>
          </a:ln>
          <a:effectLst/>
        </c:spPr>
      </c:pivotFmt>
      <c:pivotFmt>
        <c:idx val="296"/>
        <c:spPr>
          <a:solidFill>
            <a:schemeClr val="accent1"/>
          </a:solidFill>
          <a:ln w="19050">
            <a:solidFill>
              <a:schemeClr val="lt1"/>
            </a:solidFill>
          </a:ln>
          <a:effectLst/>
        </c:spPr>
      </c:pivotFmt>
      <c:pivotFmt>
        <c:idx val="297"/>
        <c:spPr>
          <a:solidFill>
            <a:schemeClr val="accent1"/>
          </a:solidFill>
          <a:ln w="19050">
            <a:solidFill>
              <a:schemeClr val="lt1"/>
            </a:solidFill>
          </a:ln>
          <a:effectLst/>
        </c:spPr>
      </c:pivotFmt>
      <c:pivotFmt>
        <c:idx val="298"/>
        <c:spPr>
          <a:solidFill>
            <a:schemeClr val="accent1"/>
          </a:solidFill>
          <a:ln w="19050">
            <a:solidFill>
              <a:schemeClr val="lt1"/>
            </a:solidFill>
          </a:ln>
          <a:effectLst/>
        </c:spPr>
      </c:pivotFmt>
      <c:pivotFmt>
        <c:idx val="299"/>
        <c:spPr>
          <a:solidFill>
            <a:schemeClr val="accent1"/>
          </a:solidFill>
          <a:ln w="19050">
            <a:solidFill>
              <a:schemeClr val="lt1"/>
            </a:solidFill>
          </a:ln>
          <a:effectLst/>
        </c:spPr>
      </c:pivotFmt>
      <c:pivotFmt>
        <c:idx val="300"/>
        <c:spPr>
          <a:solidFill>
            <a:schemeClr val="accent1"/>
          </a:solidFill>
          <a:ln w="19050">
            <a:solidFill>
              <a:schemeClr val="lt1"/>
            </a:solidFill>
          </a:ln>
          <a:effectLst/>
        </c:spPr>
      </c:pivotFmt>
      <c:pivotFmt>
        <c:idx val="301"/>
        <c:spPr>
          <a:solidFill>
            <a:schemeClr val="accent1"/>
          </a:solidFill>
          <a:ln w="19050">
            <a:solidFill>
              <a:schemeClr val="lt1"/>
            </a:solidFill>
          </a:ln>
          <a:effectLst/>
        </c:spPr>
      </c:pivotFmt>
      <c:pivotFmt>
        <c:idx val="302"/>
        <c:spPr>
          <a:solidFill>
            <a:schemeClr val="accent1"/>
          </a:solidFill>
          <a:ln w="19050">
            <a:solidFill>
              <a:schemeClr val="lt1"/>
            </a:solidFill>
          </a:ln>
          <a:effectLst/>
        </c:spPr>
      </c:pivotFmt>
      <c:pivotFmt>
        <c:idx val="303"/>
        <c:spPr>
          <a:solidFill>
            <a:schemeClr val="accent1"/>
          </a:solidFill>
          <a:ln w="19050">
            <a:solidFill>
              <a:schemeClr val="lt1"/>
            </a:solidFill>
          </a:ln>
          <a:effectLst/>
        </c:spPr>
      </c:pivotFmt>
      <c:pivotFmt>
        <c:idx val="304"/>
        <c:spPr>
          <a:solidFill>
            <a:schemeClr val="accent1"/>
          </a:solidFill>
          <a:ln w="19050">
            <a:solidFill>
              <a:schemeClr val="lt1"/>
            </a:solidFill>
          </a:ln>
          <a:effectLst/>
        </c:spPr>
      </c:pivotFmt>
      <c:pivotFmt>
        <c:idx val="305"/>
        <c:spPr>
          <a:solidFill>
            <a:schemeClr val="accent1"/>
          </a:solidFill>
          <a:ln w="19050">
            <a:solidFill>
              <a:schemeClr val="lt1"/>
            </a:solidFill>
          </a:ln>
          <a:effectLst/>
        </c:spPr>
      </c:pivotFmt>
      <c:pivotFmt>
        <c:idx val="306"/>
        <c:spPr>
          <a:solidFill>
            <a:schemeClr val="accent1"/>
          </a:solidFill>
          <a:ln w="19050">
            <a:solidFill>
              <a:schemeClr val="lt1"/>
            </a:solidFill>
          </a:ln>
          <a:effectLst/>
        </c:spPr>
      </c:pivotFmt>
      <c:pivotFmt>
        <c:idx val="307"/>
        <c:spPr>
          <a:solidFill>
            <a:schemeClr val="accent1"/>
          </a:solidFill>
          <a:ln w="19050">
            <a:solidFill>
              <a:schemeClr val="lt1"/>
            </a:solidFill>
          </a:ln>
          <a:effectLst/>
        </c:spPr>
      </c:pivotFmt>
      <c:pivotFmt>
        <c:idx val="308"/>
        <c:spPr>
          <a:solidFill>
            <a:schemeClr val="accent1"/>
          </a:solidFill>
          <a:ln w="19050">
            <a:solidFill>
              <a:schemeClr val="lt1"/>
            </a:solidFill>
          </a:ln>
          <a:effectLst/>
        </c:spPr>
      </c:pivotFmt>
      <c:pivotFmt>
        <c:idx val="309"/>
        <c:spPr>
          <a:solidFill>
            <a:schemeClr val="accent1"/>
          </a:solidFill>
          <a:ln w="19050">
            <a:solidFill>
              <a:schemeClr val="lt1"/>
            </a:solidFill>
          </a:ln>
          <a:effectLst/>
        </c:spPr>
      </c:pivotFmt>
      <c:pivotFmt>
        <c:idx val="310"/>
        <c:spPr>
          <a:solidFill>
            <a:schemeClr val="accent1"/>
          </a:solidFill>
          <a:ln w="19050">
            <a:solidFill>
              <a:schemeClr val="lt1"/>
            </a:solidFill>
          </a:ln>
          <a:effectLst/>
        </c:spPr>
      </c:pivotFmt>
      <c:pivotFmt>
        <c:idx val="311"/>
        <c:spPr>
          <a:solidFill>
            <a:schemeClr val="accent1"/>
          </a:solidFill>
          <a:ln w="19050">
            <a:solidFill>
              <a:schemeClr val="lt1"/>
            </a:solidFill>
          </a:ln>
          <a:effectLst/>
        </c:spPr>
      </c:pivotFmt>
      <c:pivotFmt>
        <c:idx val="312"/>
        <c:spPr>
          <a:solidFill>
            <a:schemeClr val="accent1"/>
          </a:solidFill>
          <a:ln w="19050">
            <a:solidFill>
              <a:schemeClr val="lt1"/>
            </a:solidFill>
          </a:ln>
          <a:effectLst/>
        </c:spPr>
      </c:pivotFmt>
      <c:pivotFmt>
        <c:idx val="313"/>
        <c:spPr>
          <a:solidFill>
            <a:schemeClr val="accent1"/>
          </a:solidFill>
          <a:ln w="19050">
            <a:solidFill>
              <a:schemeClr val="lt1"/>
            </a:solidFill>
          </a:ln>
          <a:effectLst/>
        </c:spPr>
      </c:pivotFmt>
      <c:pivotFmt>
        <c:idx val="314"/>
        <c:spPr>
          <a:solidFill>
            <a:schemeClr val="accent1"/>
          </a:solidFill>
          <a:ln w="19050">
            <a:solidFill>
              <a:schemeClr val="lt1"/>
            </a:solidFill>
          </a:ln>
          <a:effectLst/>
        </c:spPr>
      </c:pivotFmt>
      <c:pivotFmt>
        <c:idx val="315"/>
        <c:spPr>
          <a:solidFill>
            <a:schemeClr val="accent1"/>
          </a:solidFill>
          <a:ln w="19050">
            <a:solidFill>
              <a:schemeClr val="lt1"/>
            </a:solidFill>
          </a:ln>
          <a:effectLst/>
        </c:spPr>
      </c:pivotFmt>
      <c:pivotFmt>
        <c:idx val="316"/>
        <c:spPr>
          <a:solidFill>
            <a:schemeClr val="accent1"/>
          </a:solidFill>
          <a:ln w="19050">
            <a:solidFill>
              <a:schemeClr val="lt1"/>
            </a:solidFill>
          </a:ln>
          <a:effectLst/>
        </c:spPr>
      </c:pivotFmt>
      <c:pivotFmt>
        <c:idx val="317"/>
        <c:spPr>
          <a:solidFill>
            <a:schemeClr val="accent1"/>
          </a:solidFill>
          <a:ln w="19050">
            <a:solidFill>
              <a:schemeClr val="lt1"/>
            </a:solidFill>
          </a:ln>
          <a:effectLst/>
        </c:spPr>
      </c:pivotFmt>
      <c:pivotFmt>
        <c:idx val="318"/>
        <c:spPr>
          <a:solidFill>
            <a:schemeClr val="accent1"/>
          </a:solidFill>
          <a:ln w="19050">
            <a:solidFill>
              <a:schemeClr val="lt1"/>
            </a:solidFill>
          </a:ln>
          <a:effectLst/>
        </c:spPr>
      </c:pivotFmt>
      <c:pivotFmt>
        <c:idx val="319"/>
        <c:spPr>
          <a:solidFill>
            <a:schemeClr val="accent1"/>
          </a:solidFill>
          <a:ln w="19050">
            <a:solidFill>
              <a:schemeClr val="lt1"/>
            </a:solidFill>
          </a:ln>
          <a:effectLst/>
        </c:spPr>
      </c:pivotFmt>
      <c:pivotFmt>
        <c:idx val="320"/>
        <c:spPr>
          <a:solidFill>
            <a:schemeClr val="accent1"/>
          </a:solidFill>
          <a:ln w="19050">
            <a:solidFill>
              <a:schemeClr val="lt1"/>
            </a:solidFill>
          </a:ln>
          <a:effectLst/>
        </c:spPr>
      </c:pivotFmt>
      <c:pivotFmt>
        <c:idx val="321"/>
        <c:spPr>
          <a:solidFill>
            <a:schemeClr val="accent1"/>
          </a:solidFill>
          <a:ln w="19050">
            <a:solidFill>
              <a:schemeClr val="lt1"/>
            </a:solidFill>
          </a:ln>
          <a:effectLst/>
        </c:spPr>
      </c:pivotFmt>
      <c:pivotFmt>
        <c:idx val="322"/>
        <c:spPr>
          <a:solidFill>
            <a:schemeClr val="accent1"/>
          </a:solidFill>
          <a:ln w="19050">
            <a:solidFill>
              <a:schemeClr val="lt1"/>
            </a:solidFill>
          </a:ln>
          <a:effectLst/>
        </c:spPr>
      </c:pivotFmt>
      <c:pivotFmt>
        <c:idx val="323"/>
        <c:spPr>
          <a:solidFill>
            <a:schemeClr val="accent1"/>
          </a:solidFill>
          <a:ln w="19050">
            <a:solidFill>
              <a:schemeClr val="lt1"/>
            </a:solidFill>
          </a:ln>
          <a:effectLst/>
        </c:spPr>
      </c:pivotFmt>
      <c:pivotFmt>
        <c:idx val="324"/>
        <c:spPr>
          <a:solidFill>
            <a:schemeClr val="accent1"/>
          </a:solidFill>
          <a:ln w="19050">
            <a:solidFill>
              <a:schemeClr val="lt1"/>
            </a:solidFill>
          </a:ln>
          <a:effectLst/>
        </c:spPr>
      </c:pivotFmt>
      <c:pivotFmt>
        <c:idx val="325"/>
        <c:spPr>
          <a:solidFill>
            <a:schemeClr val="accent1"/>
          </a:solidFill>
          <a:ln w="19050">
            <a:solidFill>
              <a:schemeClr val="lt1"/>
            </a:solidFill>
          </a:ln>
          <a:effectLst/>
        </c:spPr>
      </c:pivotFmt>
      <c:pivotFmt>
        <c:idx val="326"/>
        <c:spPr>
          <a:solidFill>
            <a:schemeClr val="accent1"/>
          </a:solidFill>
          <a:ln w="19050">
            <a:solidFill>
              <a:schemeClr val="lt1"/>
            </a:solidFill>
          </a:ln>
          <a:effectLst/>
        </c:spPr>
      </c:pivotFmt>
      <c:pivotFmt>
        <c:idx val="327"/>
        <c:spPr>
          <a:solidFill>
            <a:schemeClr val="accent1"/>
          </a:solidFill>
          <a:ln w="19050">
            <a:solidFill>
              <a:schemeClr val="lt1"/>
            </a:solidFill>
          </a:ln>
          <a:effectLst/>
        </c:spPr>
      </c:pivotFmt>
      <c:pivotFmt>
        <c:idx val="328"/>
        <c:spPr>
          <a:solidFill>
            <a:schemeClr val="accent1"/>
          </a:solidFill>
          <a:ln w="19050">
            <a:solidFill>
              <a:schemeClr val="lt1"/>
            </a:solidFill>
          </a:ln>
          <a:effectLst/>
        </c:spPr>
      </c:pivotFmt>
      <c:pivotFmt>
        <c:idx val="329"/>
        <c:spPr>
          <a:solidFill>
            <a:schemeClr val="accent1"/>
          </a:solidFill>
          <a:ln w="19050">
            <a:solidFill>
              <a:schemeClr val="lt1"/>
            </a:solidFill>
          </a:ln>
          <a:effectLst/>
        </c:spPr>
      </c:pivotFmt>
      <c:pivotFmt>
        <c:idx val="330"/>
        <c:spPr>
          <a:solidFill>
            <a:schemeClr val="accent1"/>
          </a:solidFill>
          <a:ln w="19050">
            <a:solidFill>
              <a:schemeClr val="lt1"/>
            </a:solidFill>
          </a:ln>
          <a:effectLst/>
        </c:spPr>
      </c:pivotFmt>
      <c:pivotFmt>
        <c:idx val="331"/>
        <c:spPr>
          <a:solidFill>
            <a:schemeClr val="accent1"/>
          </a:solidFill>
          <a:ln w="19050">
            <a:solidFill>
              <a:schemeClr val="lt1"/>
            </a:solidFill>
          </a:ln>
          <a:effectLst/>
        </c:spPr>
      </c:pivotFmt>
      <c:pivotFmt>
        <c:idx val="332"/>
        <c:spPr>
          <a:solidFill>
            <a:schemeClr val="accent1"/>
          </a:solidFill>
          <a:ln w="19050">
            <a:solidFill>
              <a:schemeClr val="lt1"/>
            </a:solidFill>
          </a:ln>
          <a:effectLst/>
        </c:spPr>
      </c:pivotFmt>
      <c:pivotFmt>
        <c:idx val="333"/>
        <c:spPr>
          <a:solidFill>
            <a:schemeClr val="accent1"/>
          </a:solidFill>
          <a:ln w="19050">
            <a:solidFill>
              <a:schemeClr val="lt1"/>
            </a:solidFill>
          </a:ln>
          <a:effectLst/>
        </c:spPr>
      </c:pivotFmt>
      <c:pivotFmt>
        <c:idx val="334"/>
        <c:spPr>
          <a:solidFill>
            <a:schemeClr val="accent1"/>
          </a:solidFill>
          <a:ln w="19050">
            <a:solidFill>
              <a:schemeClr val="lt1"/>
            </a:solidFill>
          </a:ln>
          <a:effectLst/>
        </c:spPr>
      </c:pivotFmt>
      <c:pivotFmt>
        <c:idx val="335"/>
        <c:spPr>
          <a:solidFill>
            <a:schemeClr val="accent1"/>
          </a:solidFill>
          <a:ln w="19050">
            <a:solidFill>
              <a:schemeClr val="lt1"/>
            </a:solidFill>
          </a:ln>
          <a:effectLst/>
        </c:spPr>
      </c:pivotFmt>
      <c:pivotFmt>
        <c:idx val="336"/>
        <c:spPr>
          <a:solidFill>
            <a:schemeClr val="accent1"/>
          </a:solidFill>
          <a:ln w="19050">
            <a:solidFill>
              <a:schemeClr val="lt1"/>
            </a:solidFill>
          </a:ln>
          <a:effectLst/>
        </c:spPr>
      </c:pivotFmt>
      <c:pivotFmt>
        <c:idx val="337"/>
        <c:spPr>
          <a:solidFill>
            <a:schemeClr val="accent1"/>
          </a:solidFill>
          <a:ln w="19050">
            <a:solidFill>
              <a:schemeClr val="lt1"/>
            </a:solidFill>
          </a:ln>
          <a:effectLst/>
        </c:spPr>
      </c:pivotFmt>
      <c:pivotFmt>
        <c:idx val="338"/>
        <c:spPr>
          <a:solidFill>
            <a:schemeClr val="accent1"/>
          </a:solidFill>
          <a:ln w="19050">
            <a:solidFill>
              <a:schemeClr val="lt1"/>
            </a:solidFill>
          </a:ln>
          <a:effectLst/>
        </c:spPr>
      </c:pivotFmt>
      <c:pivotFmt>
        <c:idx val="339"/>
        <c:spPr>
          <a:solidFill>
            <a:schemeClr val="accent1"/>
          </a:solidFill>
          <a:ln w="19050">
            <a:solidFill>
              <a:schemeClr val="lt1"/>
            </a:solidFill>
          </a:ln>
          <a:effectLst/>
        </c:spPr>
      </c:pivotFmt>
      <c:pivotFmt>
        <c:idx val="340"/>
        <c:spPr>
          <a:solidFill>
            <a:schemeClr val="accent1"/>
          </a:solidFill>
          <a:ln w="19050">
            <a:solidFill>
              <a:schemeClr val="lt1"/>
            </a:solidFill>
          </a:ln>
          <a:effectLst/>
        </c:spPr>
      </c:pivotFmt>
      <c:pivotFmt>
        <c:idx val="341"/>
        <c:spPr>
          <a:solidFill>
            <a:schemeClr val="accent1"/>
          </a:solidFill>
          <a:ln w="19050">
            <a:solidFill>
              <a:schemeClr val="lt1"/>
            </a:solidFill>
          </a:ln>
          <a:effectLst/>
        </c:spPr>
      </c:pivotFmt>
      <c:pivotFmt>
        <c:idx val="342"/>
        <c:spPr>
          <a:solidFill>
            <a:schemeClr val="accent1"/>
          </a:solidFill>
          <a:ln w="19050">
            <a:solidFill>
              <a:schemeClr val="lt1"/>
            </a:solidFill>
          </a:ln>
          <a:effectLst/>
        </c:spPr>
      </c:pivotFmt>
      <c:pivotFmt>
        <c:idx val="343"/>
        <c:spPr>
          <a:solidFill>
            <a:schemeClr val="accent1"/>
          </a:solidFill>
          <a:ln w="19050">
            <a:solidFill>
              <a:schemeClr val="lt1"/>
            </a:solidFill>
          </a:ln>
          <a:effectLst/>
        </c:spPr>
      </c:pivotFmt>
      <c:pivotFmt>
        <c:idx val="344"/>
        <c:spPr>
          <a:solidFill>
            <a:schemeClr val="accent1"/>
          </a:solidFill>
          <a:ln w="19050">
            <a:solidFill>
              <a:schemeClr val="lt1"/>
            </a:solidFill>
          </a:ln>
          <a:effectLst/>
        </c:spPr>
      </c:pivotFmt>
      <c:pivotFmt>
        <c:idx val="345"/>
        <c:spPr>
          <a:solidFill>
            <a:schemeClr val="accent1"/>
          </a:solidFill>
          <a:ln w="19050">
            <a:solidFill>
              <a:schemeClr val="lt1"/>
            </a:solidFill>
          </a:ln>
          <a:effectLst/>
        </c:spPr>
      </c:pivotFmt>
      <c:pivotFmt>
        <c:idx val="346"/>
        <c:spPr>
          <a:solidFill>
            <a:schemeClr val="accent1"/>
          </a:solidFill>
          <a:ln w="19050">
            <a:solidFill>
              <a:schemeClr val="lt1"/>
            </a:solidFill>
          </a:ln>
          <a:effectLst/>
        </c:spPr>
      </c:pivotFmt>
      <c:pivotFmt>
        <c:idx val="347"/>
        <c:spPr>
          <a:solidFill>
            <a:schemeClr val="accent1"/>
          </a:solidFill>
          <a:ln w="19050">
            <a:solidFill>
              <a:schemeClr val="lt1"/>
            </a:solidFill>
          </a:ln>
          <a:effectLst/>
        </c:spPr>
      </c:pivotFmt>
      <c:pivotFmt>
        <c:idx val="348"/>
        <c:spPr>
          <a:solidFill>
            <a:schemeClr val="accent1"/>
          </a:solidFill>
          <a:ln w="19050">
            <a:solidFill>
              <a:schemeClr val="lt1"/>
            </a:solidFill>
          </a:ln>
          <a:effectLst/>
        </c:spPr>
      </c:pivotFmt>
      <c:pivotFmt>
        <c:idx val="349"/>
        <c:spPr>
          <a:solidFill>
            <a:schemeClr val="accent1"/>
          </a:solidFill>
          <a:ln w="19050">
            <a:solidFill>
              <a:schemeClr val="lt1"/>
            </a:solidFill>
          </a:ln>
          <a:effectLst/>
        </c:spPr>
      </c:pivotFmt>
      <c:pivotFmt>
        <c:idx val="350"/>
        <c:spPr>
          <a:solidFill>
            <a:schemeClr val="accent1"/>
          </a:solidFill>
          <a:ln w="19050">
            <a:solidFill>
              <a:schemeClr val="lt1"/>
            </a:solidFill>
          </a:ln>
          <a:effectLst/>
        </c:spPr>
      </c:pivotFmt>
      <c:pivotFmt>
        <c:idx val="351"/>
        <c:spPr>
          <a:solidFill>
            <a:schemeClr val="accent1"/>
          </a:solidFill>
          <a:ln w="19050">
            <a:solidFill>
              <a:schemeClr val="lt1"/>
            </a:solidFill>
          </a:ln>
          <a:effectLst/>
        </c:spPr>
      </c:pivotFmt>
      <c:pivotFmt>
        <c:idx val="352"/>
        <c:spPr>
          <a:solidFill>
            <a:schemeClr val="accent1"/>
          </a:solidFill>
          <a:ln w="19050">
            <a:solidFill>
              <a:schemeClr val="lt1"/>
            </a:solidFill>
          </a:ln>
          <a:effectLst/>
        </c:spPr>
      </c:pivotFmt>
      <c:pivotFmt>
        <c:idx val="353"/>
        <c:spPr>
          <a:solidFill>
            <a:schemeClr val="accent1"/>
          </a:solidFill>
          <a:ln w="19050">
            <a:solidFill>
              <a:schemeClr val="lt1"/>
            </a:solidFill>
          </a:ln>
          <a:effectLst/>
        </c:spPr>
      </c:pivotFmt>
      <c:pivotFmt>
        <c:idx val="354"/>
        <c:spPr>
          <a:solidFill>
            <a:schemeClr val="accent1"/>
          </a:solidFill>
          <a:ln w="19050">
            <a:solidFill>
              <a:schemeClr val="lt1"/>
            </a:solidFill>
          </a:ln>
          <a:effectLst/>
        </c:spPr>
      </c:pivotFmt>
      <c:pivotFmt>
        <c:idx val="355"/>
        <c:spPr>
          <a:solidFill>
            <a:schemeClr val="accent1"/>
          </a:solidFill>
          <a:ln w="19050">
            <a:solidFill>
              <a:schemeClr val="lt1"/>
            </a:solidFill>
          </a:ln>
          <a:effectLst/>
        </c:spPr>
      </c:pivotFmt>
      <c:pivotFmt>
        <c:idx val="35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7"/>
        <c:spPr>
          <a:solidFill>
            <a:schemeClr val="accent1"/>
          </a:solidFill>
          <a:ln w="19050">
            <a:solidFill>
              <a:schemeClr val="lt1"/>
            </a:solidFill>
          </a:ln>
          <a:effectLst/>
        </c:spPr>
      </c:pivotFmt>
      <c:pivotFmt>
        <c:idx val="358"/>
        <c:spPr>
          <a:solidFill>
            <a:schemeClr val="accent1"/>
          </a:solidFill>
          <a:ln w="19050">
            <a:solidFill>
              <a:schemeClr val="lt1"/>
            </a:solidFill>
          </a:ln>
          <a:effectLst/>
        </c:spPr>
      </c:pivotFmt>
      <c:pivotFmt>
        <c:idx val="359"/>
        <c:spPr>
          <a:solidFill>
            <a:schemeClr val="accent1"/>
          </a:solidFill>
          <a:ln w="19050">
            <a:solidFill>
              <a:schemeClr val="lt1"/>
            </a:solidFill>
          </a:ln>
          <a:effectLst/>
        </c:spPr>
      </c:pivotFmt>
      <c:pivotFmt>
        <c:idx val="360"/>
        <c:spPr>
          <a:solidFill>
            <a:schemeClr val="accent1"/>
          </a:solidFill>
          <a:ln w="19050">
            <a:solidFill>
              <a:schemeClr val="lt1"/>
            </a:solidFill>
          </a:ln>
          <a:effectLst/>
        </c:spPr>
      </c:pivotFmt>
      <c:pivotFmt>
        <c:idx val="361"/>
        <c:spPr>
          <a:solidFill>
            <a:schemeClr val="accent1"/>
          </a:solidFill>
          <a:ln w="19050">
            <a:solidFill>
              <a:schemeClr val="lt1"/>
            </a:solidFill>
          </a:ln>
          <a:effectLst/>
        </c:spPr>
      </c:pivotFmt>
      <c:pivotFmt>
        <c:idx val="362"/>
        <c:spPr>
          <a:solidFill>
            <a:schemeClr val="accent1"/>
          </a:solidFill>
          <a:ln w="19050">
            <a:solidFill>
              <a:schemeClr val="lt1"/>
            </a:solidFill>
          </a:ln>
          <a:effectLst/>
        </c:spPr>
      </c:pivotFmt>
      <c:pivotFmt>
        <c:idx val="363"/>
        <c:spPr>
          <a:solidFill>
            <a:schemeClr val="accent1"/>
          </a:solidFill>
          <a:ln w="19050">
            <a:solidFill>
              <a:schemeClr val="lt1"/>
            </a:solidFill>
          </a:ln>
          <a:effectLst/>
        </c:spPr>
      </c:pivotFmt>
      <c:pivotFmt>
        <c:idx val="364"/>
        <c:spPr>
          <a:solidFill>
            <a:schemeClr val="accent1"/>
          </a:solidFill>
          <a:ln w="19050">
            <a:solidFill>
              <a:schemeClr val="lt1"/>
            </a:solidFill>
          </a:ln>
          <a:effectLst/>
        </c:spPr>
      </c:pivotFmt>
      <c:pivotFmt>
        <c:idx val="365"/>
        <c:spPr>
          <a:solidFill>
            <a:schemeClr val="accent1"/>
          </a:solidFill>
          <a:ln w="19050">
            <a:solidFill>
              <a:schemeClr val="lt1"/>
            </a:solidFill>
          </a:ln>
          <a:effectLst/>
        </c:spPr>
      </c:pivotFmt>
      <c:pivotFmt>
        <c:idx val="366"/>
        <c:spPr>
          <a:solidFill>
            <a:schemeClr val="accent1"/>
          </a:solidFill>
          <a:ln w="19050">
            <a:solidFill>
              <a:schemeClr val="lt1"/>
            </a:solidFill>
          </a:ln>
          <a:effectLst/>
        </c:spPr>
      </c:pivotFmt>
      <c:pivotFmt>
        <c:idx val="367"/>
        <c:spPr>
          <a:solidFill>
            <a:schemeClr val="accent1"/>
          </a:solidFill>
          <a:ln w="19050">
            <a:solidFill>
              <a:schemeClr val="lt1"/>
            </a:solidFill>
          </a:ln>
          <a:effectLst/>
        </c:spPr>
      </c:pivotFmt>
      <c:pivotFmt>
        <c:idx val="368"/>
        <c:spPr>
          <a:solidFill>
            <a:schemeClr val="accent1"/>
          </a:solidFill>
          <a:ln w="19050">
            <a:solidFill>
              <a:schemeClr val="lt1"/>
            </a:solidFill>
          </a:ln>
          <a:effectLst/>
        </c:spPr>
      </c:pivotFmt>
      <c:pivotFmt>
        <c:idx val="369"/>
        <c:spPr>
          <a:solidFill>
            <a:schemeClr val="accent1"/>
          </a:solidFill>
          <a:ln w="19050">
            <a:solidFill>
              <a:schemeClr val="lt1"/>
            </a:solidFill>
          </a:ln>
          <a:effectLst/>
        </c:spPr>
      </c:pivotFmt>
      <c:pivotFmt>
        <c:idx val="370"/>
        <c:spPr>
          <a:solidFill>
            <a:schemeClr val="accent1"/>
          </a:solidFill>
          <a:ln w="19050">
            <a:solidFill>
              <a:schemeClr val="lt1"/>
            </a:solidFill>
          </a:ln>
          <a:effectLst/>
        </c:spPr>
      </c:pivotFmt>
      <c:pivotFmt>
        <c:idx val="371"/>
        <c:spPr>
          <a:solidFill>
            <a:schemeClr val="accent1"/>
          </a:solidFill>
          <a:ln w="19050">
            <a:solidFill>
              <a:schemeClr val="lt1"/>
            </a:solidFill>
          </a:ln>
          <a:effectLst/>
        </c:spPr>
      </c:pivotFmt>
      <c:pivotFmt>
        <c:idx val="372"/>
        <c:spPr>
          <a:solidFill>
            <a:schemeClr val="accent1"/>
          </a:solidFill>
          <a:ln w="19050">
            <a:solidFill>
              <a:schemeClr val="lt1"/>
            </a:solidFill>
          </a:ln>
          <a:effectLst/>
        </c:spPr>
      </c:pivotFmt>
      <c:pivotFmt>
        <c:idx val="373"/>
        <c:spPr>
          <a:solidFill>
            <a:schemeClr val="accent1"/>
          </a:solidFill>
          <a:ln w="19050">
            <a:solidFill>
              <a:schemeClr val="lt1"/>
            </a:solidFill>
          </a:ln>
          <a:effectLst/>
        </c:spPr>
      </c:pivotFmt>
      <c:pivotFmt>
        <c:idx val="374"/>
        <c:spPr>
          <a:solidFill>
            <a:schemeClr val="accent1"/>
          </a:solidFill>
          <a:ln w="19050">
            <a:solidFill>
              <a:schemeClr val="lt1"/>
            </a:solidFill>
          </a:ln>
          <a:effectLst/>
        </c:spPr>
      </c:pivotFmt>
      <c:pivotFmt>
        <c:idx val="375"/>
        <c:spPr>
          <a:solidFill>
            <a:schemeClr val="accent1"/>
          </a:solidFill>
          <a:ln w="19050">
            <a:solidFill>
              <a:schemeClr val="lt1"/>
            </a:solidFill>
          </a:ln>
          <a:effectLst/>
        </c:spPr>
      </c:pivotFmt>
      <c:pivotFmt>
        <c:idx val="376"/>
        <c:spPr>
          <a:solidFill>
            <a:schemeClr val="accent1"/>
          </a:solidFill>
          <a:ln w="19050">
            <a:solidFill>
              <a:schemeClr val="lt1"/>
            </a:solidFill>
          </a:ln>
          <a:effectLst/>
        </c:spPr>
      </c:pivotFmt>
      <c:pivotFmt>
        <c:idx val="377"/>
        <c:spPr>
          <a:solidFill>
            <a:schemeClr val="accent1"/>
          </a:solidFill>
          <a:ln w="19050">
            <a:solidFill>
              <a:schemeClr val="lt1"/>
            </a:solidFill>
          </a:ln>
          <a:effectLst/>
        </c:spPr>
      </c:pivotFmt>
      <c:pivotFmt>
        <c:idx val="378"/>
        <c:spPr>
          <a:solidFill>
            <a:schemeClr val="accent1"/>
          </a:solidFill>
          <a:ln w="19050">
            <a:solidFill>
              <a:schemeClr val="lt1"/>
            </a:solidFill>
          </a:ln>
          <a:effectLst/>
        </c:spPr>
      </c:pivotFmt>
      <c:pivotFmt>
        <c:idx val="379"/>
        <c:spPr>
          <a:solidFill>
            <a:schemeClr val="accent1"/>
          </a:solidFill>
          <a:ln w="19050">
            <a:solidFill>
              <a:schemeClr val="lt1"/>
            </a:solidFill>
          </a:ln>
          <a:effectLst/>
        </c:spPr>
      </c:pivotFmt>
      <c:pivotFmt>
        <c:idx val="380"/>
        <c:spPr>
          <a:solidFill>
            <a:schemeClr val="accent1"/>
          </a:solidFill>
          <a:ln w="19050">
            <a:solidFill>
              <a:schemeClr val="lt1"/>
            </a:solidFill>
          </a:ln>
          <a:effectLst/>
        </c:spPr>
      </c:pivotFmt>
      <c:pivotFmt>
        <c:idx val="381"/>
        <c:spPr>
          <a:solidFill>
            <a:schemeClr val="accent1"/>
          </a:solidFill>
          <a:ln w="19050">
            <a:solidFill>
              <a:schemeClr val="lt1"/>
            </a:solidFill>
          </a:ln>
          <a:effectLst/>
        </c:spPr>
      </c:pivotFmt>
      <c:pivotFmt>
        <c:idx val="382"/>
        <c:spPr>
          <a:solidFill>
            <a:schemeClr val="accent1"/>
          </a:solidFill>
          <a:ln w="19050">
            <a:solidFill>
              <a:schemeClr val="lt1"/>
            </a:solidFill>
          </a:ln>
          <a:effectLst/>
        </c:spPr>
      </c:pivotFmt>
      <c:pivotFmt>
        <c:idx val="383"/>
        <c:spPr>
          <a:solidFill>
            <a:schemeClr val="accent1"/>
          </a:solidFill>
          <a:ln w="19050">
            <a:solidFill>
              <a:schemeClr val="lt1"/>
            </a:solidFill>
          </a:ln>
          <a:effectLst/>
        </c:spPr>
      </c:pivotFmt>
      <c:pivotFmt>
        <c:idx val="384"/>
        <c:spPr>
          <a:solidFill>
            <a:schemeClr val="accent1"/>
          </a:solidFill>
          <a:ln w="19050">
            <a:solidFill>
              <a:schemeClr val="lt1"/>
            </a:solidFill>
          </a:ln>
          <a:effectLst/>
        </c:spPr>
      </c:pivotFmt>
      <c:pivotFmt>
        <c:idx val="385"/>
        <c:spPr>
          <a:solidFill>
            <a:schemeClr val="accent1"/>
          </a:solidFill>
          <a:ln w="19050">
            <a:solidFill>
              <a:schemeClr val="lt1"/>
            </a:solidFill>
          </a:ln>
          <a:effectLst/>
        </c:spPr>
      </c:pivotFmt>
      <c:pivotFmt>
        <c:idx val="386"/>
        <c:spPr>
          <a:solidFill>
            <a:schemeClr val="accent1"/>
          </a:solidFill>
          <a:ln w="19050">
            <a:solidFill>
              <a:schemeClr val="lt1"/>
            </a:solidFill>
          </a:ln>
          <a:effectLst/>
        </c:spPr>
      </c:pivotFmt>
      <c:pivotFmt>
        <c:idx val="387"/>
        <c:spPr>
          <a:solidFill>
            <a:schemeClr val="accent1"/>
          </a:solidFill>
          <a:ln w="19050">
            <a:solidFill>
              <a:schemeClr val="lt1"/>
            </a:solidFill>
          </a:ln>
          <a:effectLst/>
        </c:spPr>
      </c:pivotFmt>
      <c:pivotFmt>
        <c:idx val="388"/>
        <c:spPr>
          <a:solidFill>
            <a:schemeClr val="accent1"/>
          </a:solidFill>
          <a:ln w="19050">
            <a:solidFill>
              <a:schemeClr val="lt1"/>
            </a:solidFill>
          </a:ln>
          <a:effectLst/>
        </c:spPr>
      </c:pivotFmt>
      <c:pivotFmt>
        <c:idx val="389"/>
        <c:spPr>
          <a:solidFill>
            <a:schemeClr val="accent1"/>
          </a:solidFill>
          <a:ln w="19050">
            <a:solidFill>
              <a:schemeClr val="lt1"/>
            </a:solidFill>
          </a:ln>
          <a:effectLst/>
        </c:spPr>
      </c:pivotFmt>
      <c:pivotFmt>
        <c:idx val="390"/>
        <c:spPr>
          <a:solidFill>
            <a:schemeClr val="accent1"/>
          </a:solidFill>
          <a:ln w="19050">
            <a:solidFill>
              <a:schemeClr val="lt1"/>
            </a:solidFill>
          </a:ln>
          <a:effectLst/>
        </c:spPr>
      </c:pivotFmt>
      <c:pivotFmt>
        <c:idx val="391"/>
        <c:spPr>
          <a:solidFill>
            <a:schemeClr val="accent1"/>
          </a:solidFill>
          <a:ln w="19050">
            <a:solidFill>
              <a:schemeClr val="lt1"/>
            </a:solidFill>
          </a:ln>
          <a:effectLst/>
        </c:spPr>
      </c:pivotFmt>
      <c:pivotFmt>
        <c:idx val="392"/>
        <c:spPr>
          <a:solidFill>
            <a:schemeClr val="accent1"/>
          </a:solidFill>
          <a:ln w="19050">
            <a:solidFill>
              <a:schemeClr val="lt1"/>
            </a:solidFill>
          </a:ln>
          <a:effectLst/>
        </c:spPr>
      </c:pivotFmt>
      <c:pivotFmt>
        <c:idx val="393"/>
        <c:spPr>
          <a:solidFill>
            <a:schemeClr val="accent1"/>
          </a:solidFill>
          <a:ln w="19050">
            <a:solidFill>
              <a:schemeClr val="lt1"/>
            </a:solidFill>
          </a:ln>
          <a:effectLst/>
        </c:spPr>
      </c:pivotFmt>
      <c:pivotFmt>
        <c:idx val="394"/>
        <c:spPr>
          <a:solidFill>
            <a:schemeClr val="accent1"/>
          </a:solidFill>
          <a:ln w="19050">
            <a:solidFill>
              <a:schemeClr val="lt1"/>
            </a:solidFill>
          </a:ln>
          <a:effectLst/>
        </c:spPr>
      </c:pivotFmt>
      <c:pivotFmt>
        <c:idx val="395"/>
        <c:spPr>
          <a:solidFill>
            <a:schemeClr val="accent1"/>
          </a:solidFill>
          <a:ln w="19050">
            <a:solidFill>
              <a:schemeClr val="lt1"/>
            </a:solidFill>
          </a:ln>
          <a:effectLst/>
        </c:spPr>
      </c:pivotFmt>
      <c:pivotFmt>
        <c:idx val="396"/>
        <c:spPr>
          <a:solidFill>
            <a:schemeClr val="accent1"/>
          </a:solidFill>
          <a:ln w="19050">
            <a:solidFill>
              <a:schemeClr val="lt1"/>
            </a:solidFill>
          </a:ln>
          <a:effectLst/>
        </c:spPr>
      </c:pivotFmt>
      <c:pivotFmt>
        <c:idx val="397"/>
        <c:spPr>
          <a:solidFill>
            <a:schemeClr val="accent1"/>
          </a:solidFill>
          <a:ln w="19050">
            <a:solidFill>
              <a:schemeClr val="lt1"/>
            </a:solidFill>
          </a:ln>
          <a:effectLst/>
        </c:spPr>
      </c:pivotFmt>
      <c:pivotFmt>
        <c:idx val="398"/>
        <c:spPr>
          <a:solidFill>
            <a:schemeClr val="accent1"/>
          </a:solidFill>
          <a:ln w="19050">
            <a:solidFill>
              <a:schemeClr val="lt1"/>
            </a:solidFill>
          </a:ln>
          <a:effectLst/>
        </c:spPr>
      </c:pivotFmt>
      <c:pivotFmt>
        <c:idx val="399"/>
        <c:spPr>
          <a:solidFill>
            <a:schemeClr val="accent1"/>
          </a:solidFill>
          <a:ln w="19050">
            <a:solidFill>
              <a:schemeClr val="lt1"/>
            </a:solidFill>
          </a:ln>
          <a:effectLst/>
        </c:spPr>
      </c:pivotFmt>
      <c:pivotFmt>
        <c:idx val="400"/>
        <c:spPr>
          <a:solidFill>
            <a:schemeClr val="accent1"/>
          </a:solidFill>
          <a:ln w="19050">
            <a:solidFill>
              <a:schemeClr val="lt1"/>
            </a:solidFill>
          </a:ln>
          <a:effectLst/>
        </c:spPr>
      </c:pivotFmt>
      <c:pivotFmt>
        <c:idx val="401"/>
        <c:spPr>
          <a:solidFill>
            <a:schemeClr val="accent1"/>
          </a:solidFill>
          <a:ln w="19050">
            <a:solidFill>
              <a:schemeClr val="lt1"/>
            </a:solidFill>
          </a:ln>
          <a:effectLst/>
        </c:spPr>
      </c:pivotFmt>
      <c:pivotFmt>
        <c:idx val="402"/>
        <c:spPr>
          <a:solidFill>
            <a:schemeClr val="accent1"/>
          </a:solidFill>
          <a:ln w="19050">
            <a:solidFill>
              <a:schemeClr val="lt1"/>
            </a:solidFill>
          </a:ln>
          <a:effectLst/>
        </c:spPr>
      </c:pivotFmt>
      <c:pivotFmt>
        <c:idx val="403"/>
        <c:spPr>
          <a:solidFill>
            <a:schemeClr val="accent1"/>
          </a:solidFill>
          <a:ln w="19050">
            <a:solidFill>
              <a:schemeClr val="lt1"/>
            </a:solidFill>
          </a:ln>
          <a:effectLst/>
        </c:spPr>
      </c:pivotFmt>
      <c:pivotFmt>
        <c:idx val="404"/>
        <c:spPr>
          <a:solidFill>
            <a:schemeClr val="accent1"/>
          </a:solidFill>
          <a:ln w="19050">
            <a:solidFill>
              <a:schemeClr val="lt1"/>
            </a:solidFill>
          </a:ln>
          <a:effectLst/>
        </c:spPr>
      </c:pivotFmt>
      <c:pivotFmt>
        <c:idx val="405"/>
        <c:spPr>
          <a:solidFill>
            <a:schemeClr val="accent1"/>
          </a:solidFill>
          <a:ln w="19050">
            <a:solidFill>
              <a:schemeClr val="lt1"/>
            </a:solidFill>
          </a:ln>
          <a:effectLst/>
        </c:spPr>
      </c:pivotFmt>
      <c:pivotFmt>
        <c:idx val="406"/>
        <c:spPr>
          <a:solidFill>
            <a:schemeClr val="accent1"/>
          </a:solidFill>
          <a:ln w="19050">
            <a:solidFill>
              <a:schemeClr val="lt1"/>
            </a:solidFill>
          </a:ln>
          <a:effectLst/>
        </c:spPr>
      </c:pivotFmt>
      <c:pivotFmt>
        <c:idx val="407"/>
        <c:spPr>
          <a:solidFill>
            <a:schemeClr val="accent1"/>
          </a:solidFill>
          <a:ln w="19050">
            <a:solidFill>
              <a:schemeClr val="lt1"/>
            </a:solidFill>
          </a:ln>
          <a:effectLst/>
        </c:spPr>
      </c:pivotFmt>
      <c:pivotFmt>
        <c:idx val="408"/>
        <c:spPr>
          <a:solidFill>
            <a:schemeClr val="accent1"/>
          </a:solidFill>
          <a:ln w="19050">
            <a:solidFill>
              <a:schemeClr val="lt1"/>
            </a:solidFill>
          </a:ln>
          <a:effectLst/>
        </c:spPr>
      </c:pivotFmt>
      <c:pivotFmt>
        <c:idx val="409"/>
        <c:spPr>
          <a:solidFill>
            <a:schemeClr val="accent1"/>
          </a:solidFill>
          <a:ln w="19050">
            <a:solidFill>
              <a:schemeClr val="lt1"/>
            </a:solidFill>
          </a:ln>
          <a:effectLst/>
        </c:spPr>
      </c:pivotFmt>
      <c:pivotFmt>
        <c:idx val="410"/>
        <c:spPr>
          <a:solidFill>
            <a:schemeClr val="accent1"/>
          </a:solidFill>
          <a:ln w="19050">
            <a:solidFill>
              <a:schemeClr val="lt1"/>
            </a:solidFill>
          </a:ln>
          <a:effectLst/>
        </c:spPr>
      </c:pivotFmt>
      <c:pivotFmt>
        <c:idx val="411"/>
        <c:spPr>
          <a:solidFill>
            <a:schemeClr val="accent1"/>
          </a:solidFill>
          <a:ln w="19050">
            <a:solidFill>
              <a:schemeClr val="lt1"/>
            </a:solidFill>
          </a:ln>
          <a:effectLst/>
        </c:spPr>
      </c:pivotFmt>
      <c:pivotFmt>
        <c:idx val="412"/>
        <c:spPr>
          <a:solidFill>
            <a:schemeClr val="accent1"/>
          </a:solidFill>
          <a:ln w="19050">
            <a:solidFill>
              <a:schemeClr val="lt1"/>
            </a:solidFill>
          </a:ln>
          <a:effectLst/>
        </c:spPr>
      </c:pivotFmt>
      <c:pivotFmt>
        <c:idx val="413"/>
        <c:spPr>
          <a:solidFill>
            <a:schemeClr val="accent1"/>
          </a:solidFill>
          <a:ln w="19050">
            <a:solidFill>
              <a:schemeClr val="lt1"/>
            </a:solidFill>
          </a:ln>
          <a:effectLst/>
        </c:spPr>
      </c:pivotFmt>
      <c:pivotFmt>
        <c:idx val="414"/>
        <c:spPr>
          <a:solidFill>
            <a:schemeClr val="accent1"/>
          </a:solidFill>
          <a:ln w="19050">
            <a:solidFill>
              <a:schemeClr val="lt1"/>
            </a:solidFill>
          </a:ln>
          <a:effectLst/>
        </c:spPr>
      </c:pivotFmt>
      <c:pivotFmt>
        <c:idx val="415"/>
        <c:spPr>
          <a:solidFill>
            <a:schemeClr val="accent1"/>
          </a:solidFill>
          <a:ln w="19050">
            <a:solidFill>
              <a:schemeClr val="lt1"/>
            </a:solidFill>
          </a:ln>
          <a:effectLst/>
        </c:spPr>
      </c:pivotFmt>
      <c:pivotFmt>
        <c:idx val="416"/>
        <c:spPr>
          <a:solidFill>
            <a:schemeClr val="accent1"/>
          </a:solidFill>
          <a:ln w="19050">
            <a:solidFill>
              <a:schemeClr val="lt1"/>
            </a:solidFill>
          </a:ln>
          <a:effectLst/>
        </c:spPr>
      </c:pivotFmt>
      <c:pivotFmt>
        <c:idx val="417"/>
        <c:spPr>
          <a:solidFill>
            <a:schemeClr val="accent1"/>
          </a:solidFill>
          <a:ln w="19050">
            <a:solidFill>
              <a:schemeClr val="lt1"/>
            </a:solidFill>
          </a:ln>
          <a:effectLst/>
        </c:spPr>
      </c:pivotFmt>
      <c:pivotFmt>
        <c:idx val="418"/>
        <c:spPr>
          <a:solidFill>
            <a:schemeClr val="accent1"/>
          </a:solidFill>
          <a:ln w="19050">
            <a:solidFill>
              <a:schemeClr val="lt1"/>
            </a:solidFill>
          </a:ln>
          <a:effectLst/>
        </c:spPr>
      </c:pivotFmt>
      <c:pivotFmt>
        <c:idx val="419"/>
        <c:spPr>
          <a:solidFill>
            <a:schemeClr val="accent1"/>
          </a:solidFill>
          <a:ln w="19050">
            <a:solidFill>
              <a:schemeClr val="lt1"/>
            </a:solidFill>
          </a:ln>
          <a:effectLst/>
        </c:spPr>
      </c:pivotFmt>
      <c:pivotFmt>
        <c:idx val="420"/>
        <c:spPr>
          <a:solidFill>
            <a:schemeClr val="accent1"/>
          </a:solidFill>
          <a:ln w="19050">
            <a:solidFill>
              <a:schemeClr val="lt1"/>
            </a:solidFill>
          </a:ln>
          <a:effectLst/>
        </c:spPr>
      </c:pivotFmt>
      <c:pivotFmt>
        <c:idx val="421"/>
        <c:spPr>
          <a:solidFill>
            <a:schemeClr val="accent1"/>
          </a:solidFill>
          <a:ln w="19050">
            <a:solidFill>
              <a:schemeClr val="lt1"/>
            </a:solidFill>
          </a:ln>
          <a:effectLst/>
        </c:spPr>
      </c:pivotFmt>
      <c:pivotFmt>
        <c:idx val="422"/>
        <c:spPr>
          <a:solidFill>
            <a:schemeClr val="accent1"/>
          </a:solidFill>
          <a:ln w="19050">
            <a:solidFill>
              <a:schemeClr val="lt1"/>
            </a:solidFill>
          </a:ln>
          <a:effectLst/>
        </c:spPr>
      </c:pivotFmt>
      <c:pivotFmt>
        <c:idx val="423"/>
        <c:spPr>
          <a:solidFill>
            <a:schemeClr val="accent1"/>
          </a:solidFill>
          <a:ln w="19050">
            <a:solidFill>
              <a:schemeClr val="lt1"/>
            </a:solidFill>
          </a:ln>
          <a:effectLst/>
        </c:spPr>
      </c:pivotFmt>
      <c:pivotFmt>
        <c:idx val="424"/>
        <c:spPr>
          <a:solidFill>
            <a:schemeClr val="accent1"/>
          </a:solidFill>
          <a:ln w="19050">
            <a:solidFill>
              <a:schemeClr val="lt1"/>
            </a:solidFill>
          </a:ln>
          <a:effectLst/>
        </c:spPr>
      </c:pivotFmt>
      <c:pivotFmt>
        <c:idx val="425"/>
        <c:spPr>
          <a:solidFill>
            <a:schemeClr val="accent1"/>
          </a:solidFill>
          <a:ln w="19050">
            <a:solidFill>
              <a:schemeClr val="lt1"/>
            </a:solidFill>
          </a:ln>
          <a:effectLst/>
        </c:spPr>
      </c:pivotFmt>
      <c:pivotFmt>
        <c:idx val="426"/>
        <c:spPr>
          <a:solidFill>
            <a:schemeClr val="accent1"/>
          </a:solidFill>
          <a:ln w="19050">
            <a:solidFill>
              <a:schemeClr val="lt1"/>
            </a:solidFill>
          </a:ln>
          <a:effectLst/>
        </c:spPr>
      </c:pivotFmt>
      <c:pivotFmt>
        <c:idx val="427"/>
        <c:spPr>
          <a:solidFill>
            <a:schemeClr val="accent1"/>
          </a:solidFill>
          <a:ln w="19050">
            <a:solidFill>
              <a:schemeClr val="lt1"/>
            </a:solidFill>
          </a:ln>
          <a:effectLst/>
        </c:spPr>
      </c:pivotFmt>
      <c:pivotFmt>
        <c:idx val="428"/>
        <c:spPr>
          <a:solidFill>
            <a:schemeClr val="accent1"/>
          </a:solidFill>
          <a:ln w="19050">
            <a:solidFill>
              <a:schemeClr val="lt1"/>
            </a:solidFill>
          </a:ln>
          <a:effectLst/>
        </c:spPr>
      </c:pivotFmt>
      <c:pivotFmt>
        <c:idx val="429"/>
        <c:spPr>
          <a:solidFill>
            <a:schemeClr val="accent1"/>
          </a:solidFill>
          <a:ln w="19050">
            <a:solidFill>
              <a:schemeClr val="lt1"/>
            </a:solidFill>
          </a:ln>
          <a:effectLst/>
        </c:spPr>
      </c:pivotFmt>
      <c:pivotFmt>
        <c:idx val="430"/>
        <c:spPr>
          <a:solidFill>
            <a:schemeClr val="accent1"/>
          </a:solidFill>
          <a:ln w="19050">
            <a:solidFill>
              <a:schemeClr val="lt1"/>
            </a:solidFill>
          </a:ln>
          <a:effectLst/>
        </c:spPr>
      </c:pivotFmt>
      <c:pivotFmt>
        <c:idx val="431"/>
        <c:spPr>
          <a:solidFill>
            <a:schemeClr val="accent1"/>
          </a:solidFill>
          <a:ln w="19050">
            <a:solidFill>
              <a:schemeClr val="lt1"/>
            </a:solidFill>
          </a:ln>
          <a:effectLst/>
        </c:spPr>
      </c:pivotFmt>
      <c:pivotFmt>
        <c:idx val="432"/>
        <c:spPr>
          <a:solidFill>
            <a:schemeClr val="accent1"/>
          </a:solidFill>
          <a:ln w="19050">
            <a:solidFill>
              <a:schemeClr val="lt1"/>
            </a:solidFill>
          </a:ln>
          <a:effectLst/>
        </c:spPr>
      </c:pivotFmt>
      <c:pivotFmt>
        <c:idx val="433"/>
        <c:spPr>
          <a:solidFill>
            <a:schemeClr val="accent1"/>
          </a:solidFill>
          <a:ln w="19050">
            <a:solidFill>
              <a:schemeClr val="lt1"/>
            </a:solidFill>
          </a:ln>
          <a:effectLst/>
        </c:spPr>
      </c:pivotFmt>
      <c:pivotFmt>
        <c:idx val="434"/>
        <c:spPr>
          <a:solidFill>
            <a:schemeClr val="accent1"/>
          </a:solidFill>
          <a:ln w="19050">
            <a:solidFill>
              <a:schemeClr val="lt1"/>
            </a:solidFill>
          </a:ln>
          <a:effectLst/>
        </c:spPr>
      </c:pivotFmt>
      <c:pivotFmt>
        <c:idx val="435"/>
        <c:spPr>
          <a:solidFill>
            <a:schemeClr val="accent1"/>
          </a:solidFill>
          <a:ln w="19050">
            <a:solidFill>
              <a:schemeClr val="lt1"/>
            </a:solidFill>
          </a:ln>
          <a:effectLst/>
        </c:spPr>
      </c:pivotFmt>
      <c:pivotFmt>
        <c:idx val="436"/>
        <c:spPr>
          <a:solidFill>
            <a:schemeClr val="accent1"/>
          </a:solidFill>
          <a:ln w="19050">
            <a:solidFill>
              <a:schemeClr val="lt1"/>
            </a:solidFill>
          </a:ln>
          <a:effectLst/>
        </c:spPr>
      </c:pivotFmt>
      <c:pivotFmt>
        <c:idx val="437"/>
        <c:spPr>
          <a:solidFill>
            <a:schemeClr val="accent1"/>
          </a:solidFill>
          <a:ln w="19050">
            <a:solidFill>
              <a:schemeClr val="lt1"/>
            </a:solidFill>
          </a:ln>
          <a:effectLst/>
        </c:spPr>
      </c:pivotFmt>
      <c:pivotFmt>
        <c:idx val="438"/>
        <c:spPr>
          <a:solidFill>
            <a:schemeClr val="accent1"/>
          </a:solidFill>
          <a:ln w="19050">
            <a:solidFill>
              <a:schemeClr val="lt1"/>
            </a:solidFill>
          </a:ln>
          <a:effectLst/>
        </c:spPr>
      </c:pivotFmt>
      <c:pivotFmt>
        <c:idx val="439"/>
        <c:spPr>
          <a:solidFill>
            <a:schemeClr val="accent1"/>
          </a:solidFill>
          <a:ln w="19050">
            <a:solidFill>
              <a:schemeClr val="lt1"/>
            </a:solidFill>
          </a:ln>
          <a:effectLst/>
        </c:spPr>
      </c:pivotFmt>
      <c:pivotFmt>
        <c:idx val="440"/>
        <c:spPr>
          <a:solidFill>
            <a:schemeClr val="accent1"/>
          </a:solidFill>
          <a:ln w="19050">
            <a:solidFill>
              <a:schemeClr val="lt1"/>
            </a:solidFill>
          </a:ln>
          <a:effectLst/>
        </c:spPr>
      </c:pivotFmt>
      <c:pivotFmt>
        <c:idx val="441"/>
        <c:spPr>
          <a:solidFill>
            <a:schemeClr val="accent1"/>
          </a:solidFill>
          <a:ln w="19050">
            <a:solidFill>
              <a:schemeClr val="lt1"/>
            </a:solidFill>
          </a:ln>
          <a:effectLst/>
        </c:spPr>
      </c:pivotFmt>
      <c:pivotFmt>
        <c:idx val="442"/>
        <c:spPr>
          <a:solidFill>
            <a:schemeClr val="accent1"/>
          </a:solidFill>
          <a:ln w="19050">
            <a:solidFill>
              <a:schemeClr val="lt1"/>
            </a:solidFill>
          </a:ln>
          <a:effectLst/>
        </c:spPr>
      </c:pivotFmt>
      <c:pivotFmt>
        <c:idx val="443"/>
        <c:spPr>
          <a:solidFill>
            <a:schemeClr val="accent1"/>
          </a:solidFill>
          <a:ln w="19050">
            <a:solidFill>
              <a:schemeClr val="lt1"/>
            </a:solidFill>
          </a:ln>
          <a:effectLst/>
        </c:spPr>
      </c:pivotFmt>
      <c:pivotFmt>
        <c:idx val="444"/>
        <c:spPr>
          <a:solidFill>
            <a:schemeClr val="accent1"/>
          </a:solidFill>
          <a:ln w="19050">
            <a:solidFill>
              <a:schemeClr val="lt1"/>
            </a:solidFill>
          </a:ln>
          <a:effectLst/>
        </c:spPr>
      </c:pivotFmt>
      <c:pivotFmt>
        <c:idx val="445"/>
        <c:spPr>
          <a:solidFill>
            <a:schemeClr val="accent1"/>
          </a:solidFill>
          <a:ln w="19050">
            <a:solidFill>
              <a:schemeClr val="lt1"/>
            </a:solidFill>
          </a:ln>
          <a:effectLst/>
        </c:spPr>
      </c:pivotFmt>
      <c:pivotFmt>
        <c:idx val="446"/>
        <c:spPr>
          <a:solidFill>
            <a:schemeClr val="accent1"/>
          </a:solidFill>
          <a:ln w="19050">
            <a:solidFill>
              <a:schemeClr val="lt1"/>
            </a:solidFill>
          </a:ln>
          <a:effectLst/>
        </c:spPr>
      </c:pivotFmt>
      <c:pivotFmt>
        <c:idx val="447"/>
        <c:spPr>
          <a:solidFill>
            <a:schemeClr val="accent1"/>
          </a:solidFill>
          <a:ln w="19050">
            <a:solidFill>
              <a:schemeClr val="lt1"/>
            </a:solidFill>
          </a:ln>
          <a:effectLst/>
        </c:spPr>
      </c:pivotFmt>
      <c:pivotFmt>
        <c:idx val="448"/>
        <c:spPr>
          <a:solidFill>
            <a:schemeClr val="accent1"/>
          </a:solidFill>
          <a:ln w="19050">
            <a:solidFill>
              <a:schemeClr val="lt1"/>
            </a:solidFill>
          </a:ln>
          <a:effectLst/>
        </c:spPr>
      </c:pivotFmt>
      <c:pivotFmt>
        <c:idx val="449"/>
        <c:spPr>
          <a:solidFill>
            <a:schemeClr val="accent1"/>
          </a:solidFill>
          <a:ln w="19050">
            <a:solidFill>
              <a:schemeClr val="lt1"/>
            </a:solidFill>
          </a:ln>
          <a:effectLst/>
        </c:spPr>
      </c:pivotFmt>
      <c:pivotFmt>
        <c:idx val="450"/>
        <c:spPr>
          <a:solidFill>
            <a:schemeClr val="accent1"/>
          </a:solidFill>
          <a:ln w="19050">
            <a:solidFill>
              <a:schemeClr val="lt1"/>
            </a:solidFill>
          </a:ln>
          <a:effectLst/>
        </c:spPr>
      </c:pivotFmt>
      <c:pivotFmt>
        <c:idx val="451"/>
        <c:spPr>
          <a:solidFill>
            <a:schemeClr val="accent1"/>
          </a:solidFill>
          <a:ln w="19050">
            <a:solidFill>
              <a:schemeClr val="lt1"/>
            </a:solidFill>
          </a:ln>
          <a:effectLst/>
        </c:spPr>
      </c:pivotFmt>
      <c:pivotFmt>
        <c:idx val="452"/>
        <c:spPr>
          <a:solidFill>
            <a:schemeClr val="accent1"/>
          </a:solidFill>
          <a:ln w="19050">
            <a:solidFill>
              <a:schemeClr val="lt1"/>
            </a:solidFill>
          </a:ln>
          <a:effectLst/>
        </c:spPr>
      </c:pivotFmt>
      <c:pivotFmt>
        <c:idx val="453"/>
        <c:spPr>
          <a:solidFill>
            <a:schemeClr val="accent1"/>
          </a:solidFill>
          <a:ln w="19050">
            <a:solidFill>
              <a:schemeClr val="lt1"/>
            </a:solidFill>
          </a:ln>
          <a:effectLst/>
        </c:spPr>
      </c:pivotFmt>
      <c:pivotFmt>
        <c:idx val="454"/>
        <c:spPr>
          <a:solidFill>
            <a:schemeClr val="accent1"/>
          </a:solidFill>
          <a:ln w="19050">
            <a:solidFill>
              <a:schemeClr val="lt1"/>
            </a:solidFill>
          </a:ln>
          <a:effectLst/>
        </c:spPr>
      </c:pivotFmt>
      <c:pivotFmt>
        <c:idx val="455"/>
        <c:spPr>
          <a:solidFill>
            <a:schemeClr val="accent1"/>
          </a:solidFill>
          <a:ln w="19050">
            <a:solidFill>
              <a:schemeClr val="lt1"/>
            </a:solidFill>
          </a:ln>
          <a:effectLst/>
        </c:spPr>
      </c:pivotFmt>
      <c:pivotFmt>
        <c:idx val="456"/>
        <c:spPr>
          <a:solidFill>
            <a:schemeClr val="accent1"/>
          </a:solidFill>
          <a:ln w="19050">
            <a:solidFill>
              <a:schemeClr val="lt1"/>
            </a:solidFill>
          </a:ln>
          <a:effectLst/>
        </c:spPr>
      </c:pivotFmt>
      <c:pivotFmt>
        <c:idx val="457"/>
        <c:spPr>
          <a:solidFill>
            <a:schemeClr val="accent1"/>
          </a:solidFill>
          <a:ln w="19050">
            <a:solidFill>
              <a:schemeClr val="lt1"/>
            </a:solidFill>
          </a:ln>
          <a:effectLst/>
        </c:spPr>
      </c:pivotFmt>
      <c:pivotFmt>
        <c:idx val="458"/>
        <c:spPr>
          <a:solidFill>
            <a:schemeClr val="accent1"/>
          </a:solidFill>
          <a:ln w="19050">
            <a:solidFill>
              <a:schemeClr val="lt1"/>
            </a:solidFill>
          </a:ln>
          <a:effectLst/>
        </c:spPr>
      </c:pivotFmt>
      <c:pivotFmt>
        <c:idx val="459"/>
        <c:spPr>
          <a:solidFill>
            <a:schemeClr val="accent1"/>
          </a:solidFill>
          <a:ln w="19050">
            <a:solidFill>
              <a:schemeClr val="lt1"/>
            </a:solidFill>
          </a:ln>
          <a:effectLst/>
        </c:spPr>
      </c:pivotFmt>
      <c:pivotFmt>
        <c:idx val="460"/>
        <c:spPr>
          <a:solidFill>
            <a:schemeClr val="accent1"/>
          </a:solidFill>
          <a:ln w="19050">
            <a:solidFill>
              <a:schemeClr val="lt1"/>
            </a:solidFill>
          </a:ln>
          <a:effectLst/>
        </c:spPr>
      </c:pivotFmt>
      <c:pivotFmt>
        <c:idx val="461"/>
        <c:spPr>
          <a:solidFill>
            <a:schemeClr val="accent1"/>
          </a:solidFill>
          <a:ln w="19050">
            <a:solidFill>
              <a:schemeClr val="lt1"/>
            </a:solidFill>
          </a:ln>
          <a:effectLst/>
        </c:spPr>
      </c:pivotFmt>
      <c:pivotFmt>
        <c:idx val="462"/>
        <c:spPr>
          <a:solidFill>
            <a:schemeClr val="accent1"/>
          </a:solidFill>
          <a:ln w="19050">
            <a:solidFill>
              <a:schemeClr val="lt1"/>
            </a:solidFill>
          </a:ln>
          <a:effectLst/>
        </c:spPr>
      </c:pivotFmt>
      <c:pivotFmt>
        <c:idx val="463"/>
        <c:spPr>
          <a:solidFill>
            <a:schemeClr val="accent1"/>
          </a:solidFill>
          <a:ln w="19050">
            <a:solidFill>
              <a:schemeClr val="lt1"/>
            </a:solidFill>
          </a:ln>
          <a:effectLst/>
        </c:spPr>
      </c:pivotFmt>
      <c:pivotFmt>
        <c:idx val="464"/>
        <c:spPr>
          <a:solidFill>
            <a:schemeClr val="accent1"/>
          </a:solidFill>
          <a:ln w="19050">
            <a:solidFill>
              <a:schemeClr val="lt1"/>
            </a:solidFill>
          </a:ln>
          <a:effectLst/>
        </c:spPr>
      </c:pivotFmt>
      <c:pivotFmt>
        <c:idx val="465"/>
        <c:spPr>
          <a:solidFill>
            <a:schemeClr val="accent1"/>
          </a:solidFill>
          <a:ln w="19050">
            <a:solidFill>
              <a:schemeClr val="lt1"/>
            </a:solidFill>
          </a:ln>
          <a:effectLst/>
        </c:spPr>
      </c:pivotFmt>
      <c:pivotFmt>
        <c:idx val="466"/>
        <c:spPr>
          <a:solidFill>
            <a:schemeClr val="accent1"/>
          </a:solidFill>
          <a:ln w="19050">
            <a:solidFill>
              <a:schemeClr val="lt1"/>
            </a:solidFill>
          </a:ln>
          <a:effectLst/>
        </c:spPr>
      </c:pivotFmt>
      <c:pivotFmt>
        <c:idx val="467"/>
        <c:spPr>
          <a:solidFill>
            <a:schemeClr val="accent1"/>
          </a:solidFill>
          <a:ln w="19050">
            <a:solidFill>
              <a:schemeClr val="lt1"/>
            </a:solidFill>
          </a:ln>
          <a:effectLst/>
        </c:spPr>
      </c:pivotFmt>
      <c:pivotFmt>
        <c:idx val="468"/>
        <c:spPr>
          <a:solidFill>
            <a:schemeClr val="accent1"/>
          </a:solidFill>
          <a:ln w="19050">
            <a:solidFill>
              <a:schemeClr val="lt1"/>
            </a:solidFill>
          </a:ln>
          <a:effectLst/>
        </c:spPr>
      </c:pivotFmt>
      <c:pivotFmt>
        <c:idx val="469"/>
        <c:spPr>
          <a:solidFill>
            <a:schemeClr val="accent1"/>
          </a:solidFill>
          <a:ln w="19050">
            <a:solidFill>
              <a:schemeClr val="lt1"/>
            </a:solidFill>
          </a:ln>
          <a:effectLst/>
        </c:spPr>
      </c:pivotFmt>
      <c:pivotFmt>
        <c:idx val="470"/>
        <c:spPr>
          <a:solidFill>
            <a:schemeClr val="accent1"/>
          </a:solidFill>
          <a:ln w="19050">
            <a:solidFill>
              <a:schemeClr val="lt1"/>
            </a:solidFill>
          </a:ln>
          <a:effectLst/>
        </c:spPr>
      </c:pivotFmt>
      <c:pivotFmt>
        <c:idx val="471"/>
        <c:spPr>
          <a:solidFill>
            <a:schemeClr val="accent1"/>
          </a:solidFill>
          <a:ln w="19050">
            <a:solidFill>
              <a:schemeClr val="lt1"/>
            </a:solidFill>
          </a:ln>
          <a:effectLst/>
        </c:spPr>
      </c:pivotFmt>
      <c:pivotFmt>
        <c:idx val="472"/>
        <c:spPr>
          <a:solidFill>
            <a:schemeClr val="accent1"/>
          </a:solidFill>
          <a:ln w="19050">
            <a:solidFill>
              <a:schemeClr val="lt1"/>
            </a:solidFill>
          </a:ln>
          <a:effectLst/>
        </c:spPr>
      </c:pivotFmt>
      <c:pivotFmt>
        <c:idx val="473"/>
        <c:spPr>
          <a:solidFill>
            <a:schemeClr val="accent1"/>
          </a:solidFill>
          <a:ln w="19050">
            <a:solidFill>
              <a:schemeClr val="lt1"/>
            </a:solidFill>
          </a:ln>
          <a:effectLst/>
        </c:spPr>
      </c:pivotFmt>
      <c:pivotFmt>
        <c:idx val="474"/>
        <c:spPr>
          <a:solidFill>
            <a:schemeClr val="accent1"/>
          </a:solidFill>
          <a:ln w="19050">
            <a:solidFill>
              <a:schemeClr val="lt1"/>
            </a:solidFill>
          </a:ln>
          <a:effectLst/>
        </c:spPr>
      </c:pivotFmt>
      <c:pivotFmt>
        <c:idx val="475"/>
        <c:spPr>
          <a:solidFill>
            <a:schemeClr val="accent1"/>
          </a:solidFill>
          <a:ln w="19050">
            <a:solidFill>
              <a:schemeClr val="lt1"/>
            </a:solidFill>
          </a:ln>
          <a:effectLst/>
        </c:spPr>
      </c:pivotFmt>
      <c:pivotFmt>
        <c:idx val="476"/>
        <c:spPr>
          <a:solidFill>
            <a:schemeClr val="accent1"/>
          </a:solidFill>
          <a:ln w="19050">
            <a:solidFill>
              <a:schemeClr val="lt1"/>
            </a:solidFill>
          </a:ln>
          <a:effectLst/>
        </c:spPr>
      </c:pivotFmt>
      <c:pivotFmt>
        <c:idx val="477"/>
        <c:spPr>
          <a:solidFill>
            <a:schemeClr val="accent1"/>
          </a:solidFill>
          <a:ln w="19050">
            <a:solidFill>
              <a:schemeClr val="lt1"/>
            </a:solidFill>
          </a:ln>
          <a:effectLst/>
        </c:spPr>
      </c:pivotFmt>
      <c:pivotFmt>
        <c:idx val="478"/>
        <c:spPr>
          <a:solidFill>
            <a:schemeClr val="accent1"/>
          </a:solidFill>
          <a:ln w="19050">
            <a:solidFill>
              <a:schemeClr val="lt1"/>
            </a:solidFill>
          </a:ln>
          <a:effectLst/>
        </c:spPr>
      </c:pivotFmt>
      <c:pivotFmt>
        <c:idx val="479"/>
        <c:spPr>
          <a:solidFill>
            <a:schemeClr val="accent1"/>
          </a:solidFill>
          <a:ln w="19050">
            <a:solidFill>
              <a:schemeClr val="lt1"/>
            </a:solidFill>
          </a:ln>
          <a:effectLst/>
        </c:spPr>
      </c:pivotFmt>
      <c:pivotFmt>
        <c:idx val="480"/>
        <c:spPr>
          <a:solidFill>
            <a:schemeClr val="accent1"/>
          </a:solidFill>
          <a:ln w="19050">
            <a:solidFill>
              <a:schemeClr val="lt1"/>
            </a:solidFill>
          </a:ln>
          <a:effectLst/>
        </c:spPr>
      </c:pivotFmt>
      <c:pivotFmt>
        <c:idx val="481"/>
        <c:spPr>
          <a:solidFill>
            <a:schemeClr val="accent1"/>
          </a:solidFill>
          <a:ln w="19050">
            <a:solidFill>
              <a:schemeClr val="lt1"/>
            </a:solidFill>
          </a:ln>
          <a:effectLst/>
        </c:spPr>
      </c:pivotFmt>
      <c:pivotFmt>
        <c:idx val="482"/>
        <c:spPr>
          <a:solidFill>
            <a:schemeClr val="accent1"/>
          </a:solidFill>
          <a:ln w="19050">
            <a:solidFill>
              <a:schemeClr val="lt1"/>
            </a:solidFill>
          </a:ln>
          <a:effectLst/>
        </c:spPr>
      </c:pivotFmt>
      <c:pivotFmt>
        <c:idx val="483"/>
        <c:spPr>
          <a:solidFill>
            <a:schemeClr val="accent1"/>
          </a:solidFill>
          <a:ln w="19050">
            <a:solidFill>
              <a:schemeClr val="lt1"/>
            </a:solidFill>
          </a:ln>
          <a:effectLst/>
        </c:spPr>
      </c:pivotFmt>
      <c:pivotFmt>
        <c:idx val="484"/>
        <c:spPr>
          <a:solidFill>
            <a:schemeClr val="accent1"/>
          </a:solidFill>
          <a:ln w="19050">
            <a:solidFill>
              <a:schemeClr val="lt1"/>
            </a:solidFill>
          </a:ln>
          <a:effectLst/>
        </c:spPr>
      </c:pivotFmt>
      <c:pivotFmt>
        <c:idx val="485"/>
        <c:spPr>
          <a:solidFill>
            <a:schemeClr val="accent1"/>
          </a:solidFill>
          <a:ln w="19050">
            <a:solidFill>
              <a:schemeClr val="lt1"/>
            </a:solidFill>
          </a:ln>
          <a:effectLst/>
        </c:spPr>
      </c:pivotFmt>
      <c:pivotFmt>
        <c:idx val="486"/>
        <c:spPr>
          <a:solidFill>
            <a:schemeClr val="accent1"/>
          </a:solidFill>
          <a:ln w="19050">
            <a:solidFill>
              <a:schemeClr val="lt1"/>
            </a:solidFill>
          </a:ln>
          <a:effectLst/>
        </c:spPr>
      </c:pivotFmt>
      <c:pivotFmt>
        <c:idx val="487"/>
        <c:spPr>
          <a:solidFill>
            <a:schemeClr val="accent1"/>
          </a:solidFill>
          <a:ln w="19050">
            <a:solidFill>
              <a:schemeClr val="lt1"/>
            </a:solidFill>
          </a:ln>
          <a:effectLst/>
        </c:spPr>
      </c:pivotFmt>
      <c:pivotFmt>
        <c:idx val="488"/>
        <c:spPr>
          <a:solidFill>
            <a:schemeClr val="accent1"/>
          </a:solidFill>
          <a:ln w="19050">
            <a:solidFill>
              <a:schemeClr val="lt1"/>
            </a:solidFill>
          </a:ln>
          <a:effectLst/>
        </c:spPr>
      </c:pivotFmt>
      <c:pivotFmt>
        <c:idx val="489"/>
        <c:spPr>
          <a:solidFill>
            <a:schemeClr val="accent1"/>
          </a:solidFill>
          <a:ln w="19050">
            <a:solidFill>
              <a:schemeClr val="lt1"/>
            </a:solidFill>
          </a:ln>
          <a:effectLst/>
        </c:spPr>
      </c:pivotFmt>
      <c:pivotFmt>
        <c:idx val="490"/>
        <c:spPr>
          <a:solidFill>
            <a:schemeClr val="accent1"/>
          </a:solidFill>
          <a:ln w="19050">
            <a:solidFill>
              <a:schemeClr val="lt1"/>
            </a:solidFill>
          </a:ln>
          <a:effectLst/>
        </c:spPr>
      </c:pivotFmt>
      <c:pivotFmt>
        <c:idx val="491"/>
        <c:spPr>
          <a:solidFill>
            <a:schemeClr val="accent1"/>
          </a:solidFill>
          <a:ln w="19050">
            <a:solidFill>
              <a:schemeClr val="lt1"/>
            </a:solidFill>
          </a:ln>
          <a:effectLst/>
        </c:spPr>
      </c:pivotFmt>
      <c:pivotFmt>
        <c:idx val="492"/>
        <c:spPr>
          <a:solidFill>
            <a:schemeClr val="accent1"/>
          </a:solidFill>
          <a:ln w="19050">
            <a:solidFill>
              <a:schemeClr val="lt1"/>
            </a:solidFill>
          </a:ln>
          <a:effectLst/>
        </c:spPr>
      </c:pivotFmt>
      <c:pivotFmt>
        <c:idx val="493"/>
        <c:spPr>
          <a:solidFill>
            <a:schemeClr val="accent1"/>
          </a:solidFill>
          <a:ln w="19050">
            <a:solidFill>
              <a:schemeClr val="lt1"/>
            </a:solidFill>
          </a:ln>
          <a:effectLst/>
        </c:spPr>
      </c:pivotFmt>
      <c:pivotFmt>
        <c:idx val="494"/>
        <c:spPr>
          <a:solidFill>
            <a:schemeClr val="accent1"/>
          </a:solidFill>
          <a:ln w="19050">
            <a:solidFill>
              <a:schemeClr val="lt1"/>
            </a:solidFill>
          </a:ln>
          <a:effectLst/>
        </c:spPr>
      </c:pivotFmt>
      <c:pivotFmt>
        <c:idx val="495"/>
        <c:spPr>
          <a:solidFill>
            <a:schemeClr val="accent1"/>
          </a:solidFill>
          <a:ln w="19050">
            <a:solidFill>
              <a:schemeClr val="lt1"/>
            </a:solidFill>
          </a:ln>
          <a:effectLst/>
        </c:spPr>
      </c:pivotFmt>
      <c:pivotFmt>
        <c:idx val="496"/>
        <c:spPr>
          <a:solidFill>
            <a:schemeClr val="accent1"/>
          </a:solidFill>
          <a:ln w="19050">
            <a:solidFill>
              <a:schemeClr val="lt1"/>
            </a:solidFill>
          </a:ln>
          <a:effectLst/>
        </c:spPr>
      </c:pivotFmt>
      <c:pivotFmt>
        <c:idx val="497"/>
        <c:spPr>
          <a:solidFill>
            <a:schemeClr val="accent1"/>
          </a:solidFill>
          <a:ln w="19050">
            <a:solidFill>
              <a:schemeClr val="lt1"/>
            </a:solidFill>
          </a:ln>
          <a:effectLst/>
        </c:spPr>
      </c:pivotFmt>
      <c:pivotFmt>
        <c:idx val="498"/>
        <c:spPr>
          <a:solidFill>
            <a:schemeClr val="accent1"/>
          </a:solidFill>
          <a:ln w="19050">
            <a:solidFill>
              <a:schemeClr val="lt1"/>
            </a:solidFill>
          </a:ln>
          <a:effectLst/>
        </c:spPr>
      </c:pivotFmt>
      <c:pivotFmt>
        <c:idx val="499"/>
        <c:spPr>
          <a:solidFill>
            <a:schemeClr val="accent1"/>
          </a:solidFill>
          <a:ln w="19050">
            <a:solidFill>
              <a:schemeClr val="lt1"/>
            </a:solidFill>
          </a:ln>
          <a:effectLst/>
        </c:spPr>
      </c:pivotFmt>
      <c:pivotFmt>
        <c:idx val="500"/>
        <c:spPr>
          <a:solidFill>
            <a:schemeClr val="accent1"/>
          </a:solidFill>
          <a:ln w="19050">
            <a:solidFill>
              <a:schemeClr val="lt1"/>
            </a:solidFill>
          </a:ln>
          <a:effectLst/>
        </c:spPr>
      </c:pivotFmt>
      <c:pivotFmt>
        <c:idx val="501"/>
        <c:spPr>
          <a:solidFill>
            <a:schemeClr val="accent1"/>
          </a:solidFill>
          <a:ln w="19050">
            <a:solidFill>
              <a:schemeClr val="lt1"/>
            </a:solidFill>
          </a:ln>
          <a:effectLst/>
        </c:spPr>
      </c:pivotFmt>
      <c:pivotFmt>
        <c:idx val="502"/>
        <c:spPr>
          <a:solidFill>
            <a:schemeClr val="accent1"/>
          </a:solidFill>
          <a:ln w="19050">
            <a:solidFill>
              <a:schemeClr val="lt1"/>
            </a:solidFill>
          </a:ln>
          <a:effectLst/>
        </c:spPr>
      </c:pivotFmt>
      <c:pivotFmt>
        <c:idx val="503"/>
        <c:spPr>
          <a:solidFill>
            <a:schemeClr val="accent1"/>
          </a:solidFill>
          <a:ln w="19050">
            <a:solidFill>
              <a:schemeClr val="lt1"/>
            </a:solidFill>
          </a:ln>
          <a:effectLst/>
        </c:spPr>
      </c:pivotFmt>
      <c:pivotFmt>
        <c:idx val="504"/>
        <c:spPr>
          <a:solidFill>
            <a:schemeClr val="accent1"/>
          </a:solidFill>
          <a:ln w="19050">
            <a:solidFill>
              <a:schemeClr val="lt1"/>
            </a:solidFill>
          </a:ln>
          <a:effectLst/>
        </c:spPr>
      </c:pivotFmt>
      <c:pivotFmt>
        <c:idx val="505"/>
        <c:spPr>
          <a:solidFill>
            <a:schemeClr val="accent1"/>
          </a:solidFill>
          <a:ln w="19050">
            <a:solidFill>
              <a:schemeClr val="lt1"/>
            </a:solidFill>
          </a:ln>
          <a:effectLst/>
        </c:spPr>
      </c:pivotFmt>
      <c:pivotFmt>
        <c:idx val="506"/>
        <c:spPr>
          <a:solidFill>
            <a:schemeClr val="accent1"/>
          </a:solidFill>
          <a:ln w="19050">
            <a:solidFill>
              <a:schemeClr val="lt1"/>
            </a:solidFill>
          </a:ln>
          <a:effectLst/>
        </c:spPr>
      </c:pivotFmt>
      <c:pivotFmt>
        <c:idx val="507"/>
        <c:spPr>
          <a:solidFill>
            <a:schemeClr val="accent1"/>
          </a:solidFill>
          <a:ln w="19050">
            <a:solidFill>
              <a:schemeClr val="lt1"/>
            </a:solidFill>
          </a:ln>
          <a:effectLst/>
        </c:spPr>
      </c:pivotFmt>
      <c:pivotFmt>
        <c:idx val="508"/>
        <c:spPr>
          <a:solidFill>
            <a:schemeClr val="accent1"/>
          </a:solidFill>
          <a:ln w="19050">
            <a:solidFill>
              <a:schemeClr val="lt1"/>
            </a:solidFill>
          </a:ln>
          <a:effectLst/>
        </c:spPr>
      </c:pivotFmt>
      <c:pivotFmt>
        <c:idx val="509"/>
        <c:spPr>
          <a:solidFill>
            <a:schemeClr val="accent1"/>
          </a:solidFill>
          <a:ln w="19050">
            <a:solidFill>
              <a:schemeClr val="lt1"/>
            </a:solidFill>
          </a:ln>
          <a:effectLst/>
        </c:spPr>
      </c:pivotFmt>
      <c:pivotFmt>
        <c:idx val="510"/>
        <c:spPr>
          <a:solidFill>
            <a:schemeClr val="accent1"/>
          </a:solidFill>
          <a:ln w="19050">
            <a:solidFill>
              <a:schemeClr val="lt1"/>
            </a:solidFill>
          </a:ln>
          <a:effectLst/>
        </c:spPr>
      </c:pivotFmt>
      <c:pivotFmt>
        <c:idx val="511"/>
        <c:spPr>
          <a:solidFill>
            <a:schemeClr val="accent1"/>
          </a:solidFill>
          <a:ln w="19050">
            <a:solidFill>
              <a:schemeClr val="lt1"/>
            </a:solidFill>
          </a:ln>
          <a:effectLst/>
        </c:spPr>
      </c:pivotFmt>
      <c:pivotFmt>
        <c:idx val="512"/>
        <c:spPr>
          <a:solidFill>
            <a:schemeClr val="accent1"/>
          </a:solidFill>
          <a:ln w="19050">
            <a:solidFill>
              <a:schemeClr val="lt1"/>
            </a:solidFill>
          </a:ln>
          <a:effectLst/>
        </c:spPr>
      </c:pivotFmt>
      <c:pivotFmt>
        <c:idx val="513"/>
        <c:spPr>
          <a:solidFill>
            <a:schemeClr val="accent1"/>
          </a:solidFill>
          <a:ln w="19050">
            <a:solidFill>
              <a:schemeClr val="lt1"/>
            </a:solidFill>
          </a:ln>
          <a:effectLst/>
        </c:spPr>
      </c:pivotFmt>
      <c:pivotFmt>
        <c:idx val="514"/>
        <c:spPr>
          <a:solidFill>
            <a:schemeClr val="accent1"/>
          </a:solidFill>
          <a:ln w="19050">
            <a:solidFill>
              <a:schemeClr val="lt1"/>
            </a:solidFill>
          </a:ln>
          <a:effectLst/>
        </c:spPr>
      </c:pivotFmt>
      <c:pivotFmt>
        <c:idx val="515"/>
        <c:spPr>
          <a:solidFill>
            <a:schemeClr val="accent1"/>
          </a:solidFill>
          <a:ln w="19050">
            <a:solidFill>
              <a:schemeClr val="lt1"/>
            </a:solidFill>
          </a:ln>
          <a:effectLst/>
        </c:spPr>
      </c:pivotFmt>
      <c:pivotFmt>
        <c:idx val="516"/>
        <c:spPr>
          <a:solidFill>
            <a:schemeClr val="accent1"/>
          </a:solidFill>
          <a:ln w="19050">
            <a:solidFill>
              <a:schemeClr val="lt1"/>
            </a:solidFill>
          </a:ln>
          <a:effectLst/>
        </c:spPr>
      </c:pivotFmt>
      <c:pivotFmt>
        <c:idx val="517"/>
        <c:spPr>
          <a:solidFill>
            <a:schemeClr val="accent1"/>
          </a:solidFill>
          <a:ln w="19050">
            <a:solidFill>
              <a:schemeClr val="lt1"/>
            </a:solidFill>
          </a:ln>
          <a:effectLst/>
        </c:spPr>
      </c:pivotFmt>
      <c:pivotFmt>
        <c:idx val="518"/>
        <c:spPr>
          <a:solidFill>
            <a:schemeClr val="accent1"/>
          </a:solidFill>
          <a:ln w="19050">
            <a:solidFill>
              <a:schemeClr val="lt1"/>
            </a:solidFill>
          </a:ln>
          <a:effectLst/>
        </c:spPr>
      </c:pivotFmt>
      <c:pivotFmt>
        <c:idx val="519"/>
        <c:spPr>
          <a:solidFill>
            <a:schemeClr val="accent1"/>
          </a:solidFill>
          <a:ln w="19050">
            <a:solidFill>
              <a:schemeClr val="lt1"/>
            </a:solidFill>
          </a:ln>
          <a:effectLst/>
        </c:spPr>
      </c:pivotFmt>
      <c:pivotFmt>
        <c:idx val="520"/>
        <c:spPr>
          <a:solidFill>
            <a:schemeClr val="accent1"/>
          </a:solidFill>
          <a:ln w="19050">
            <a:solidFill>
              <a:schemeClr val="lt1"/>
            </a:solidFill>
          </a:ln>
          <a:effectLst/>
        </c:spPr>
      </c:pivotFmt>
      <c:pivotFmt>
        <c:idx val="521"/>
        <c:spPr>
          <a:solidFill>
            <a:schemeClr val="accent1"/>
          </a:solidFill>
          <a:ln w="19050">
            <a:solidFill>
              <a:schemeClr val="lt1"/>
            </a:solidFill>
          </a:ln>
          <a:effectLst/>
        </c:spPr>
      </c:pivotFmt>
      <c:pivotFmt>
        <c:idx val="522"/>
        <c:spPr>
          <a:solidFill>
            <a:schemeClr val="accent1"/>
          </a:solidFill>
          <a:ln w="19050">
            <a:solidFill>
              <a:schemeClr val="lt1"/>
            </a:solidFill>
          </a:ln>
          <a:effectLst/>
        </c:spPr>
      </c:pivotFmt>
      <c:pivotFmt>
        <c:idx val="523"/>
        <c:spPr>
          <a:solidFill>
            <a:schemeClr val="accent1"/>
          </a:solidFill>
          <a:ln w="19050">
            <a:solidFill>
              <a:schemeClr val="lt1"/>
            </a:solidFill>
          </a:ln>
          <a:effectLst/>
        </c:spPr>
      </c:pivotFmt>
      <c:pivotFmt>
        <c:idx val="524"/>
        <c:spPr>
          <a:solidFill>
            <a:schemeClr val="accent1"/>
          </a:solidFill>
          <a:ln w="19050">
            <a:solidFill>
              <a:schemeClr val="lt1"/>
            </a:solidFill>
          </a:ln>
          <a:effectLst/>
        </c:spPr>
      </c:pivotFmt>
      <c:pivotFmt>
        <c:idx val="525"/>
        <c:spPr>
          <a:solidFill>
            <a:schemeClr val="accent1"/>
          </a:solidFill>
          <a:ln w="19050">
            <a:solidFill>
              <a:schemeClr val="lt1"/>
            </a:solidFill>
          </a:ln>
          <a:effectLst/>
        </c:spPr>
      </c:pivotFmt>
      <c:pivotFmt>
        <c:idx val="526"/>
        <c:spPr>
          <a:solidFill>
            <a:schemeClr val="accent1"/>
          </a:solidFill>
          <a:ln w="19050">
            <a:solidFill>
              <a:schemeClr val="lt1"/>
            </a:solidFill>
          </a:ln>
          <a:effectLst/>
        </c:spPr>
      </c:pivotFmt>
      <c:pivotFmt>
        <c:idx val="527"/>
        <c:spPr>
          <a:solidFill>
            <a:schemeClr val="accent1"/>
          </a:solidFill>
          <a:ln w="19050">
            <a:solidFill>
              <a:schemeClr val="lt1"/>
            </a:solidFill>
          </a:ln>
          <a:effectLst/>
        </c:spPr>
      </c:pivotFmt>
      <c:pivotFmt>
        <c:idx val="528"/>
        <c:spPr>
          <a:solidFill>
            <a:schemeClr val="accent1"/>
          </a:solidFill>
          <a:ln w="19050">
            <a:solidFill>
              <a:schemeClr val="lt1"/>
            </a:solidFill>
          </a:ln>
          <a:effectLst/>
        </c:spPr>
      </c:pivotFmt>
      <c:pivotFmt>
        <c:idx val="529"/>
        <c:spPr>
          <a:solidFill>
            <a:schemeClr val="accent1"/>
          </a:solidFill>
          <a:ln w="19050">
            <a:solidFill>
              <a:schemeClr val="lt1"/>
            </a:solidFill>
          </a:ln>
          <a:effectLst/>
        </c:spPr>
      </c:pivotFmt>
      <c:pivotFmt>
        <c:idx val="530"/>
        <c:spPr>
          <a:solidFill>
            <a:schemeClr val="accent1"/>
          </a:solidFill>
          <a:ln w="19050">
            <a:solidFill>
              <a:schemeClr val="lt1"/>
            </a:solidFill>
          </a:ln>
          <a:effectLst/>
        </c:spPr>
      </c:pivotFmt>
      <c:pivotFmt>
        <c:idx val="531"/>
        <c:spPr>
          <a:solidFill>
            <a:schemeClr val="accent1"/>
          </a:solidFill>
          <a:ln w="19050">
            <a:solidFill>
              <a:schemeClr val="lt1"/>
            </a:solidFill>
          </a:ln>
          <a:effectLst/>
        </c:spPr>
      </c:pivotFmt>
      <c:pivotFmt>
        <c:idx val="532"/>
        <c:spPr>
          <a:solidFill>
            <a:schemeClr val="accent1"/>
          </a:solidFill>
          <a:ln w="19050">
            <a:solidFill>
              <a:schemeClr val="lt1"/>
            </a:solidFill>
          </a:ln>
          <a:effectLst/>
        </c:spPr>
      </c:pivotFmt>
      <c:pivotFmt>
        <c:idx val="533"/>
        <c:spPr>
          <a:solidFill>
            <a:schemeClr val="accent1"/>
          </a:solidFill>
          <a:ln w="19050">
            <a:solidFill>
              <a:schemeClr val="lt1"/>
            </a:solidFill>
          </a:ln>
          <a:effectLst/>
        </c:spPr>
      </c:pivotFmt>
      <c:pivotFmt>
        <c:idx val="53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5"/>
        <c:spPr>
          <a:solidFill>
            <a:schemeClr val="accent1"/>
          </a:solidFill>
          <a:ln w="19050">
            <a:solidFill>
              <a:schemeClr val="lt1"/>
            </a:solidFill>
          </a:ln>
          <a:effectLst/>
        </c:spPr>
      </c:pivotFmt>
      <c:pivotFmt>
        <c:idx val="536"/>
        <c:spPr>
          <a:solidFill>
            <a:schemeClr val="accent1"/>
          </a:solidFill>
          <a:ln w="19050">
            <a:solidFill>
              <a:schemeClr val="lt1"/>
            </a:solidFill>
          </a:ln>
          <a:effectLst/>
        </c:spPr>
      </c:pivotFmt>
      <c:pivotFmt>
        <c:idx val="537"/>
        <c:spPr>
          <a:solidFill>
            <a:schemeClr val="accent1"/>
          </a:solidFill>
          <a:ln w="19050">
            <a:solidFill>
              <a:schemeClr val="lt1"/>
            </a:solidFill>
          </a:ln>
          <a:effectLst/>
        </c:spPr>
      </c:pivotFmt>
      <c:pivotFmt>
        <c:idx val="538"/>
        <c:spPr>
          <a:solidFill>
            <a:schemeClr val="accent1"/>
          </a:solidFill>
          <a:ln w="19050">
            <a:solidFill>
              <a:schemeClr val="lt1"/>
            </a:solidFill>
          </a:ln>
          <a:effectLst/>
        </c:spPr>
      </c:pivotFmt>
      <c:pivotFmt>
        <c:idx val="539"/>
        <c:spPr>
          <a:solidFill>
            <a:schemeClr val="accent1"/>
          </a:solidFill>
          <a:ln w="19050">
            <a:solidFill>
              <a:schemeClr val="lt1"/>
            </a:solidFill>
          </a:ln>
          <a:effectLst/>
        </c:spPr>
      </c:pivotFmt>
      <c:pivotFmt>
        <c:idx val="540"/>
        <c:spPr>
          <a:solidFill>
            <a:schemeClr val="accent1"/>
          </a:solidFill>
          <a:ln w="19050">
            <a:solidFill>
              <a:schemeClr val="lt1"/>
            </a:solidFill>
          </a:ln>
          <a:effectLst/>
        </c:spPr>
      </c:pivotFmt>
      <c:pivotFmt>
        <c:idx val="541"/>
        <c:spPr>
          <a:solidFill>
            <a:schemeClr val="accent1"/>
          </a:solidFill>
          <a:ln w="19050">
            <a:solidFill>
              <a:schemeClr val="lt1"/>
            </a:solidFill>
          </a:ln>
          <a:effectLst/>
        </c:spPr>
      </c:pivotFmt>
      <c:pivotFmt>
        <c:idx val="542"/>
        <c:spPr>
          <a:solidFill>
            <a:schemeClr val="accent1"/>
          </a:solidFill>
          <a:ln w="19050">
            <a:solidFill>
              <a:schemeClr val="lt1"/>
            </a:solidFill>
          </a:ln>
          <a:effectLst/>
        </c:spPr>
      </c:pivotFmt>
      <c:pivotFmt>
        <c:idx val="543"/>
        <c:spPr>
          <a:solidFill>
            <a:schemeClr val="accent1"/>
          </a:solidFill>
          <a:ln w="19050">
            <a:solidFill>
              <a:schemeClr val="lt1"/>
            </a:solidFill>
          </a:ln>
          <a:effectLst/>
        </c:spPr>
      </c:pivotFmt>
      <c:pivotFmt>
        <c:idx val="544"/>
        <c:spPr>
          <a:solidFill>
            <a:schemeClr val="accent1"/>
          </a:solidFill>
          <a:ln w="19050">
            <a:solidFill>
              <a:schemeClr val="lt1"/>
            </a:solidFill>
          </a:ln>
          <a:effectLst/>
        </c:spPr>
      </c:pivotFmt>
      <c:pivotFmt>
        <c:idx val="545"/>
        <c:spPr>
          <a:solidFill>
            <a:schemeClr val="accent1"/>
          </a:solidFill>
          <a:ln w="19050">
            <a:solidFill>
              <a:schemeClr val="lt1"/>
            </a:solidFill>
          </a:ln>
          <a:effectLst/>
        </c:spPr>
      </c:pivotFmt>
      <c:pivotFmt>
        <c:idx val="546"/>
        <c:spPr>
          <a:solidFill>
            <a:schemeClr val="accent1"/>
          </a:solidFill>
          <a:ln w="19050">
            <a:solidFill>
              <a:schemeClr val="lt1"/>
            </a:solidFill>
          </a:ln>
          <a:effectLst/>
        </c:spPr>
      </c:pivotFmt>
      <c:pivotFmt>
        <c:idx val="547"/>
        <c:spPr>
          <a:solidFill>
            <a:schemeClr val="accent1"/>
          </a:solidFill>
          <a:ln w="19050">
            <a:solidFill>
              <a:schemeClr val="lt1"/>
            </a:solidFill>
          </a:ln>
          <a:effectLst/>
        </c:spPr>
      </c:pivotFmt>
      <c:pivotFmt>
        <c:idx val="548"/>
        <c:spPr>
          <a:solidFill>
            <a:schemeClr val="accent1"/>
          </a:solidFill>
          <a:ln w="19050">
            <a:solidFill>
              <a:schemeClr val="lt1"/>
            </a:solidFill>
          </a:ln>
          <a:effectLst/>
        </c:spPr>
      </c:pivotFmt>
      <c:pivotFmt>
        <c:idx val="549"/>
        <c:spPr>
          <a:solidFill>
            <a:schemeClr val="accent1"/>
          </a:solidFill>
          <a:ln w="19050">
            <a:solidFill>
              <a:schemeClr val="lt1"/>
            </a:solidFill>
          </a:ln>
          <a:effectLst/>
        </c:spPr>
      </c:pivotFmt>
      <c:pivotFmt>
        <c:idx val="550"/>
        <c:spPr>
          <a:solidFill>
            <a:schemeClr val="accent1"/>
          </a:solidFill>
          <a:ln w="19050">
            <a:solidFill>
              <a:schemeClr val="lt1"/>
            </a:solidFill>
          </a:ln>
          <a:effectLst/>
        </c:spPr>
      </c:pivotFmt>
      <c:pivotFmt>
        <c:idx val="551"/>
        <c:spPr>
          <a:solidFill>
            <a:schemeClr val="accent1"/>
          </a:solidFill>
          <a:ln w="19050">
            <a:solidFill>
              <a:schemeClr val="lt1"/>
            </a:solidFill>
          </a:ln>
          <a:effectLst/>
        </c:spPr>
      </c:pivotFmt>
      <c:pivotFmt>
        <c:idx val="552"/>
        <c:spPr>
          <a:solidFill>
            <a:schemeClr val="accent1"/>
          </a:solidFill>
          <a:ln w="19050">
            <a:solidFill>
              <a:schemeClr val="lt1"/>
            </a:solidFill>
          </a:ln>
          <a:effectLst/>
        </c:spPr>
      </c:pivotFmt>
      <c:pivotFmt>
        <c:idx val="553"/>
        <c:spPr>
          <a:solidFill>
            <a:schemeClr val="accent1"/>
          </a:solidFill>
          <a:ln w="19050">
            <a:solidFill>
              <a:schemeClr val="lt1"/>
            </a:solidFill>
          </a:ln>
          <a:effectLst/>
        </c:spPr>
      </c:pivotFmt>
      <c:pivotFmt>
        <c:idx val="554"/>
        <c:spPr>
          <a:solidFill>
            <a:schemeClr val="accent1"/>
          </a:solidFill>
          <a:ln w="19050">
            <a:solidFill>
              <a:schemeClr val="lt1"/>
            </a:solidFill>
          </a:ln>
          <a:effectLst/>
        </c:spPr>
      </c:pivotFmt>
      <c:pivotFmt>
        <c:idx val="555"/>
        <c:spPr>
          <a:solidFill>
            <a:schemeClr val="accent1"/>
          </a:solidFill>
          <a:ln w="19050">
            <a:solidFill>
              <a:schemeClr val="lt1"/>
            </a:solidFill>
          </a:ln>
          <a:effectLst/>
        </c:spPr>
      </c:pivotFmt>
      <c:pivotFmt>
        <c:idx val="556"/>
        <c:spPr>
          <a:solidFill>
            <a:schemeClr val="accent1"/>
          </a:solidFill>
          <a:ln w="19050">
            <a:solidFill>
              <a:schemeClr val="lt1"/>
            </a:solidFill>
          </a:ln>
          <a:effectLst/>
        </c:spPr>
      </c:pivotFmt>
      <c:pivotFmt>
        <c:idx val="557"/>
        <c:spPr>
          <a:solidFill>
            <a:schemeClr val="accent1"/>
          </a:solidFill>
          <a:ln w="19050">
            <a:solidFill>
              <a:schemeClr val="lt1"/>
            </a:solidFill>
          </a:ln>
          <a:effectLst/>
        </c:spPr>
      </c:pivotFmt>
      <c:pivotFmt>
        <c:idx val="558"/>
        <c:spPr>
          <a:solidFill>
            <a:schemeClr val="accent1"/>
          </a:solidFill>
          <a:ln w="19050">
            <a:solidFill>
              <a:schemeClr val="lt1"/>
            </a:solidFill>
          </a:ln>
          <a:effectLst/>
        </c:spPr>
      </c:pivotFmt>
      <c:pivotFmt>
        <c:idx val="559"/>
        <c:spPr>
          <a:solidFill>
            <a:schemeClr val="accent1"/>
          </a:solidFill>
          <a:ln w="19050">
            <a:solidFill>
              <a:schemeClr val="lt1"/>
            </a:solidFill>
          </a:ln>
          <a:effectLst/>
        </c:spPr>
      </c:pivotFmt>
      <c:pivotFmt>
        <c:idx val="560"/>
        <c:spPr>
          <a:solidFill>
            <a:schemeClr val="accent1"/>
          </a:solidFill>
          <a:ln w="19050">
            <a:solidFill>
              <a:schemeClr val="lt1"/>
            </a:solidFill>
          </a:ln>
          <a:effectLst/>
        </c:spPr>
      </c:pivotFmt>
      <c:pivotFmt>
        <c:idx val="561"/>
        <c:spPr>
          <a:solidFill>
            <a:schemeClr val="accent1"/>
          </a:solidFill>
          <a:ln w="19050">
            <a:solidFill>
              <a:schemeClr val="lt1"/>
            </a:solidFill>
          </a:ln>
          <a:effectLst/>
        </c:spPr>
      </c:pivotFmt>
      <c:pivotFmt>
        <c:idx val="562"/>
        <c:spPr>
          <a:solidFill>
            <a:schemeClr val="accent1"/>
          </a:solidFill>
          <a:ln w="19050">
            <a:solidFill>
              <a:schemeClr val="lt1"/>
            </a:solidFill>
          </a:ln>
          <a:effectLst/>
        </c:spPr>
      </c:pivotFmt>
      <c:pivotFmt>
        <c:idx val="563"/>
        <c:spPr>
          <a:solidFill>
            <a:schemeClr val="accent1"/>
          </a:solidFill>
          <a:ln w="19050">
            <a:solidFill>
              <a:schemeClr val="lt1"/>
            </a:solidFill>
          </a:ln>
          <a:effectLst/>
        </c:spPr>
      </c:pivotFmt>
      <c:pivotFmt>
        <c:idx val="564"/>
        <c:spPr>
          <a:solidFill>
            <a:schemeClr val="accent1"/>
          </a:solidFill>
          <a:ln w="19050">
            <a:solidFill>
              <a:schemeClr val="lt1"/>
            </a:solidFill>
          </a:ln>
          <a:effectLst/>
        </c:spPr>
      </c:pivotFmt>
      <c:pivotFmt>
        <c:idx val="565"/>
        <c:spPr>
          <a:solidFill>
            <a:schemeClr val="accent1"/>
          </a:solidFill>
          <a:ln w="19050">
            <a:solidFill>
              <a:schemeClr val="lt1"/>
            </a:solidFill>
          </a:ln>
          <a:effectLst/>
        </c:spPr>
      </c:pivotFmt>
      <c:pivotFmt>
        <c:idx val="566"/>
        <c:spPr>
          <a:solidFill>
            <a:schemeClr val="accent1"/>
          </a:solidFill>
          <a:ln w="19050">
            <a:solidFill>
              <a:schemeClr val="lt1"/>
            </a:solidFill>
          </a:ln>
          <a:effectLst/>
        </c:spPr>
      </c:pivotFmt>
      <c:pivotFmt>
        <c:idx val="567"/>
        <c:spPr>
          <a:solidFill>
            <a:schemeClr val="accent1"/>
          </a:solidFill>
          <a:ln w="19050">
            <a:solidFill>
              <a:schemeClr val="lt1"/>
            </a:solidFill>
          </a:ln>
          <a:effectLst/>
        </c:spPr>
      </c:pivotFmt>
      <c:pivotFmt>
        <c:idx val="568"/>
        <c:spPr>
          <a:solidFill>
            <a:schemeClr val="accent1"/>
          </a:solidFill>
          <a:ln w="19050">
            <a:solidFill>
              <a:schemeClr val="lt1"/>
            </a:solidFill>
          </a:ln>
          <a:effectLst/>
        </c:spPr>
      </c:pivotFmt>
      <c:pivotFmt>
        <c:idx val="569"/>
        <c:spPr>
          <a:solidFill>
            <a:schemeClr val="accent1"/>
          </a:solidFill>
          <a:ln w="19050">
            <a:solidFill>
              <a:schemeClr val="lt1"/>
            </a:solidFill>
          </a:ln>
          <a:effectLst/>
        </c:spPr>
      </c:pivotFmt>
      <c:pivotFmt>
        <c:idx val="570"/>
        <c:spPr>
          <a:solidFill>
            <a:schemeClr val="accent1"/>
          </a:solidFill>
          <a:ln w="19050">
            <a:solidFill>
              <a:schemeClr val="lt1"/>
            </a:solidFill>
          </a:ln>
          <a:effectLst/>
        </c:spPr>
      </c:pivotFmt>
      <c:pivotFmt>
        <c:idx val="571"/>
        <c:spPr>
          <a:solidFill>
            <a:schemeClr val="accent1"/>
          </a:solidFill>
          <a:ln w="19050">
            <a:solidFill>
              <a:schemeClr val="lt1"/>
            </a:solidFill>
          </a:ln>
          <a:effectLst/>
        </c:spPr>
      </c:pivotFmt>
      <c:pivotFmt>
        <c:idx val="572"/>
        <c:spPr>
          <a:solidFill>
            <a:schemeClr val="accent1"/>
          </a:solidFill>
          <a:ln w="19050">
            <a:solidFill>
              <a:schemeClr val="lt1"/>
            </a:solidFill>
          </a:ln>
          <a:effectLst/>
        </c:spPr>
      </c:pivotFmt>
      <c:pivotFmt>
        <c:idx val="573"/>
        <c:spPr>
          <a:solidFill>
            <a:schemeClr val="accent1"/>
          </a:solidFill>
          <a:ln w="19050">
            <a:solidFill>
              <a:schemeClr val="lt1"/>
            </a:solidFill>
          </a:ln>
          <a:effectLst/>
        </c:spPr>
      </c:pivotFmt>
      <c:pivotFmt>
        <c:idx val="574"/>
        <c:spPr>
          <a:solidFill>
            <a:schemeClr val="accent1"/>
          </a:solidFill>
          <a:ln w="19050">
            <a:solidFill>
              <a:schemeClr val="lt1"/>
            </a:solidFill>
          </a:ln>
          <a:effectLst/>
        </c:spPr>
      </c:pivotFmt>
      <c:pivotFmt>
        <c:idx val="575"/>
        <c:spPr>
          <a:solidFill>
            <a:schemeClr val="accent1"/>
          </a:solidFill>
          <a:ln w="19050">
            <a:solidFill>
              <a:schemeClr val="lt1"/>
            </a:solidFill>
          </a:ln>
          <a:effectLst/>
        </c:spPr>
      </c:pivotFmt>
      <c:pivotFmt>
        <c:idx val="576"/>
        <c:spPr>
          <a:solidFill>
            <a:schemeClr val="accent1"/>
          </a:solidFill>
          <a:ln w="19050">
            <a:solidFill>
              <a:schemeClr val="lt1"/>
            </a:solidFill>
          </a:ln>
          <a:effectLst/>
        </c:spPr>
      </c:pivotFmt>
      <c:pivotFmt>
        <c:idx val="577"/>
        <c:spPr>
          <a:solidFill>
            <a:schemeClr val="accent1"/>
          </a:solidFill>
          <a:ln w="19050">
            <a:solidFill>
              <a:schemeClr val="lt1"/>
            </a:solidFill>
          </a:ln>
          <a:effectLst/>
        </c:spPr>
      </c:pivotFmt>
      <c:pivotFmt>
        <c:idx val="578"/>
        <c:spPr>
          <a:solidFill>
            <a:schemeClr val="accent1"/>
          </a:solidFill>
          <a:ln w="19050">
            <a:solidFill>
              <a:schemeClr val="lt1"/>
            </a:solidFill>
          </a:ln>
          <a:effectLst/>
        </c:spPr>
      </c:pivotFmt>
      <c:pivotFmt>
        <c:idx val="579"/>
        <c:spPr>
          <a:solidFill>
            <a:schemeClr val="accent1"/>
          </a:solidFill>
          <a:ln w="19050">
            <a:solidFill>
              <a:schemeClr val="lt1"/>
            </a:solidFill>
          </a:ln>
          <a:effectLst/>
        </c:spPr>
      </c:pivotFmt>
      <c:pivotFmt>
        <c:idx val="580"/>
        <c:spPr>
          <a:solidFill>
            <a:schemeClr val="accent1"/>
          </a:solidFill>
          <a:ln w="19050">
            <a:solidFill>
              <a:schemeClr val="lt1"/>
            </a:solidFill>
          </a:ln>
          <a:effectLst/>
        </c:spPr>
      </c:pivotFmt>
      <c:pivotFmt>
        <c:idx val="581"/>
        <c:spPr>
          <a:solidFill>
            <a:schemeClr val="accent1"/>
          </a:solidFill>
          <a:ln w="19050">
            <a:solidFill>
              <a:schemeClr val="lt1"/>
            </a:solidFill>
          </a:ln>
          <a:effectLst/>
        </c:spPr>
      </c:pivotFmt>
      <c:pivotFmt>
        <c:idx val="582"/>
        <c:spPr>
          <a:solidFill>
            <a:schemeClr val="accent1"/>
          </a:solidFill>
          <a:ln w="19050">
            <a:solidFill>
              <a:schemeClr val="lt1"/>
            </a:solidFill>
          </a:ln>
          <a:effectLst/>
        </c:spPr>
      </c:pivotFmt>
      <c:pivotFmt>
        <c:idx val="583"/>
        <c:spPr>
          <a:solidFill>
            <a:schemeClr val="accent1"/>
          </a:solidFill>
          <a:ln w="19050">
            <a:solidFill>
              <a:schemeClr val="lt1"/>
            </a:solidFill>
          </a:ln>
          <a:effectLst/>
        </c:spPr>
      </c:pivotFmt>
      <c:pivotFmt>
        <c:idx val="584"/>
        <c:spPr>
          <a:solidFill>
            <a:schemeClr val="accent1"/>
          </a:solidFill>
          <a:ln w="19050">
            <a:solidFill>
              <a:schemeClr val="lt1"/>
            </a:solidFill>
          </a:ln>
          <a:effectLst/>
        </c:spPr>
      </c:pivotFmt>
      <c:pivotFmt>
        <c:idx val="585"/>
        <c:spPr>
          <a:solidFill>
            <a:schemeClr val="accent1"/>
          </a:solidFill>
          <a:ln w="19050">
            <a:solidFill>
              <a:schemeClr val="lt1"/>
            </a:solidFill>
          </a:ln>
          <a:effectLst/>
        </c:spPr>
      </c:pivotFmt>
      <c:pivotFmt>
        <c:idx val="586"/>
        <c:spPr>
          <a:solidFill>
            <a:schemeClr val="accent1"/>
          </a:solidFill>
          <a:ln w="19050">
            <a:solidFill>
              <a:schemeClr val="lt1"/>
            </a:solidFill>
          </a:ln>
          <a:effectLst/>
        </c:spPr>
      </c:pivotFmt>
      <c:pivotFmt>
        <c:idx val="587"/>
        <c:spPr>
          <a:solidFill>
            <a:schemeClr val="accent1"/>
          </a:solidFill>
          <a:ln w="19050">
            <a:solidFill>
              <a:schemeClr val="lt1"/>
            </a:solidFill>
          </a:ln>
          <a:effectLst/>
        </c:spPr>
      </c:pivotFmt>
      <c:pivotFmt>
        <c:idx val="588"/>
        <c:spPr>
          <a:solidFill>
            <a:schemeClr val="accent1"/>
          </a:solidFill>
          <a:ln w="19050">
            <a:solidFill>
              <a:schemeClr val="lt1"/>
            </a:solidFill>
          </a:ln>
          <a:effectLst/>
        </c:spPr>
      </c:pivotFmt>
      <c:pivotFmt>
        <c:idx val="589"/>
        <c:spPr>
          <a:solidFill>
            <a:schemeClr val="accent1"/>
          </a:solidFill>
          <a:ln w="19050">
            <a:solidFill>
              <a:schemeClr val="lt1"/>
            </a:solidFill>
          </a:ln>
          <a:effectLst/>
        </c:spPr>
      </c:pivotFmt>
      <c:pivotFmt>
        <c:idx val="590"/>
        <c:spPr>
          <a:solidFill>
            <a:schemeClr val="accent1"/>
          </a:solidFill>
          <a:ln w="19050">
            <a:solidFill>
              <a:schemeClr val="lt1"/>
            </a:solidFill>
          </a:ln>
          <a:effectLst/>
        </c:spPr>
      </c:pivotFmt>
      <c:pivotFmt>
        <c:idx val="591"/>
        <c:spPr>
          <a:solidFill>
            <a:schemeClr val="accent1"/>
          </a:solidFill>
          <a:ln w="19050">
            <a:solidFill>
              <a:schemeClr val="lt1"/>
            </a:solidFill>
          </a:ln>
          <a:effectLst/>
        </c:spPr>
      </c:pivotFmt>
      <c:pivotFmt>
        <c:idx val="592"/>
        <c:spPr>
          <a:solidFill>
            <a:schemeClr val="accent1"/>
          </a:solidFill>
          <a:ln w="19050">
            <a:solidFill>
              <a:schemeClr val="lt1"/>
            </a:solidFill>
          </a:ln>
          <a:effectLst/>
        </c:spPr>
      </c:pivotFmt>
      <c:pivotFmt>
        <c:idx val="593"/>
        <c:spPr>
          <a:solidFill>
            <a:schemeClr val="accent1"/>
          </a:solidFill>
          <a:ln w="19050">
            <a:solidFill>
              <a:schemeClr val="lt1"/>
            </a:solidFill>
          </a:ln>
          <a:effectLst/>
        </c:spPr>
      </c:pivotFmt>
      <c:pivotFmt>
        <c:idx val="594"/>
        <c:spPr>
          <a:solidFill>
            <a:schemeClr val="accent1"/>
          </a:solidFill>
          <a:ln w="19050">
            <a:solidFill>
              <a:schemeClr val="lt1"/>
            </a:solidFill>
          </a:ln>
          <a:effectLst/>
        </c:spPr>
      </c:pivotFmt>
      <c:pivotFmt>
        <c:idx val="595"/>
        <c:spPr>
          <a:solidFill>
            <a:schemeClr val="accent1"/>
          </a:solidFill>
          <a:ln w="19050">
            <a:solidFill>
              <a:schemeClr val="lt1"/>
            </a:solidFill>
          </a:ln>
          <a:effectLst/>
        </c:spPr>
      </c:pivotFmt>
      <c:pivotFmt>
        <c:idx val="596"/>
        <c:spPr>
          <a:solidFill>
            <a:schemeClr val="accent1"/>
          </a:solidFill>
          <a:ln w="19050">
            <a:solidFill>
              <a:schemeClr val="lt1"/>
            </a:solidFill>
          </a:ln>
          <a:effectLst/>
        </c:spPr>
      </c:pivotFmt>
      <c:pivotFmt>
        <c:idx val="597"/>
        <c:spPr>
          <a:solidFill>
            <a:schemeClr val="accent1"/>
          </a:solidFill>
          <a:ln w="19050">
            <a:solidFill>
              <a:schemeClr val="lt1"/>
            </a:solidFill>
          </a:ln>
          <a:effectLst/>
        </c:spPr>
      </c:pivotFmt>
      <c:pivotFmt>
        <c:idx val="598"/>
        <c:spPr>
          <a:solidFill>
            <a:schemeClr val="accent1"/>
          </a:solidFill>
          <a:ln w="19050">
            <a:solidFill>
              <a:schemeClr val="lt1"/>
            </a:solidFill>
          </a:ln>
          <a:effectLst/>
        </c:spPr>
      </c:pivotFmt>
      <c:pivotFmt>
        <c:idx val="599"/>
        <c:spPr>
          <a:solidFill>
            <a:schemeClr val="accent1"/>
          </a:solidFill>
          <a:ln w="19050">
            <a:solidFill>
              <a:schemeClr val="lt1"/>
            </a:solidFill>
          </a:ln>
          <a:effectLst/>
        </c:spPr>
      </c:pivotFmt>
      <c:pivotFmt>
        <c:idx val="600"/>
        <c:spPr>
          <a:solidFill>
            <a:schemeClr val="accent1"/>
          </a:solidFill>
          <a:ln w="19050">
            <a:solidFill>
              <a:schemeClr val="lt1"/>
            </a:solidFill>
          </a:ln>
          <a:effectLst/>
        </c:spPr>
      </c:pivotFmt>
      <c:pivotFmt>
        <c:idx val="601"/>
        <c:spPr>
          <a:solidFill>
            <a:schemeClr val="accent1"/>
          </a:solidFill>
          <a:ln w="19050">
            <a:solidFill>
              <a:schemeClr val="lt1"/>
            </a:solidFill>
          </a:ln>
          <a:effectLst/>
        </c:spPr>
      </c:pivotFmt>
      <c:pivotFmt>
        <c:idx val="602"/>
        <c:spPr>
          <a:solidFill>
            <a:schemeClr val="accent1"/>
          </a:solidFill>
          <a:ln w="19050">
            <a:solidFill>
              <a:schemeClr val="lt1"/>
            </a:solidFill>
          </a:ln>
          <a:effectLst/>
        </c:spPr>
      </c:pivotFmt>
      <c:pivotFmt>
        <c:idx val="603"/>
        <c:spPr>
          <a:solidFill>
            <a:schemeClr val="accent1"/>
          </a:solidFill>
          <a:ln w="19050">
            <a:solidFill>
              <a:schemeClr val="lt1"/>
            </a:solidFill>
          </a:ln>
          <a:effectLst/>
        </c:spPr>
      </c:pivotFmt>
      <c:pivotFmt>
        <c:idx val="604"/>
        <c:spPr>
          <a:solidFill>
            <a:schemeClr val="accent1"/>
          </a:solidFill>
          <a:ln w="19050">
            <a:solidFill>
              <a:schemeClr val="lt1"/>
            </a:solidFill>
          </a:ln>
          <a:effectLst/>
        </c:spPr>
      </c:pivotFmt>
      <c:pivotFmt>
        <c:idx val="605"/>
        <c:spPr>
          <a:solidFill>
            <a:schemeClr val="accent1"/>
          </a:solidFill>
          <a:ln w="19050">
            <a:solidFill>
              <a:schemeClr val="lt1"/>
            </a:solidFill>
          </a:ln>
          <a:effectLst/>
        </c:spPr>
      </c:pivotFmt>
      <c:pivotFmt>
        <c:idx val="606"/>
        <c:spPr>
          <a:solidFill>
            <a:schemeClr val="accent1"/>
          </a:solidFill>
          <a:ln w="19050">
            <a:solidFill>
              <a:schemeClr val="lt1"/>
            </a:solidFill>
          </a:ln>
          <a:effectLst/>
        </c:spPr>
      </c:pivotFmt>
      <c:pivotFmt>
        <c:idx val="607"/>
        <c:spPr>
          <a:solidFill>
            <a:schemeClr val="accent1"/>
          </a:solidFill>
          <a:ln w="19050">
            <a:solidFill>
              <a:schemeClr val="lt1"/>
            </a:solidFill>
          </a:ln>
          <a:effectLst/>
        </c:spPr>
      </c:pivotFmt>
      <c:pivotFmt>
        <c:idx val="608"/>
        <c:spPr>
          <a:solidFill>
            <a:schemeClr val="accent1"/>
          </a:solidFill>
          <a:ln w="19050">
            <a:solidFill>
              <a:schemeClr val="lt1"/>
            </a:solidFill>
          </a:ln>
          <a:effectLst/>
        </c:spPr>
      </c:pivotFmt>
      <c:pivotFmt>
        <c:idx val="609"/>
        <c:spPr>
          <a:solidFill>
            <a:schemeClr val="accent1"/>
          </a:solidFill>
          <a:ln w="19050">
            <a:solidFill>
              <a:schemeClr val="lt1"/>
            </a:solidFill>
          </a:ln>
          <a:effectLst/>
        </c:spPr>
      </c:pivotFmt>
      <c:pivotFmt>
        <c:idx val="610"/>
        <c:spPr>
          <a:solidFill>
            <a:schemeClr val="accent1"/>
          </a:solidFill>
          <a:ln w="19050">
            <a:solidFill>
              <a:schemeClr val="lt1"/>
            </a:solidFill>
          </a:ln>
          <a:effectLst/>
        </c:spPr>
      </c:pivotFmt>
      <c:pivotFmt>
        <c:idx val="611"/>
        <c:spPr>
          <a:solidFill>
            <a:schemeClr val="accent1"/>
          </a:solidFill>
          <a:ln w="19050">
            <a:solidFill>
              <a:schemeClr val="lt1"/>
            </a:solidFill>
          </a:ln>
          <a:effectLst/>
        </c:spPr>
      </c:pivotFmt>
      <c:pivotFmt>
        <c:idx val="612"/>
        <c:spPr>
          <a:solidFill>
            <a:schemeClr val="accent1"/>
          </a:solidFill>
          <a:ln w="19050">
            <a:solidFill>
              <a:schemeClr val="lt1"/>
            </a:solidFill>
          </a:ln>
          <a:effectLst/>
        </c:spPr>
      </c:pivotFmt>
      <c:pivotFmt>
        <c:idx val="613"/>
        <c:spPr>
          <a:solidFill>
            <a:schemeClr val="accent1"/>
          </a:solidFill>
          <a:ln w="19050">
            <a:solidFill>
              <a:schemeClr val="lt1"/>
            </a:solidFill>
          </a:ln>
          <a:effectLst/>
        </c:spPr>
      </c:pivotFmt>
      <c:pivotFmt>
        <c:idx val="614"/>
        <c:spPr>
          <a:solidFill>
            <a:schemeClr val="accent1"/>
          </a:solidFill>
          <a:ln w="19050">
            <a:solidFill>
              <a:schemeClr val="lt1"/>
            </a:solidFill>
          </a:ln>
          <a:effectLst/>
        </c:spPr>
      </c:pivotFmt>
      <c:pivotFmt>
        <c:idx val="615"/>
        <c:spPr>
          <a:solidFill>
            <a:schemeClr val="accent1"/>
          </a:solidFill>
          <a:ln w="19050">
            <a:solidFill>
              <a:schemeClr val="lt1"/>
            </a:solidFill>
          </a:ln>
          <a:effectLst/>
        </c:spPr>
      </c:pivotFmt>
      <c:pivotFmt>
        <c:idx val="616"/>
        <c:spPr>
          <a:solidFill>
            <a:schemeClr val="accent1"/>
          </a:solidFill>
          <a:ln w="19050">
            <a:solidFill>
              <a:schemeClr val="lt1"/>
            </a:solidFill>
          </a:ln>
          <a:effectLst/>
        </c:spPr>
      </c:pivotFmt>
      <c:pivotFmt>
        <c:idx val="617"/>
        <c:spPr>
          <a:solidFill>
            <a:schemeClr val="accent1"/>
          </a:solidFill>
          <a:ln w="19050">
            <a:solidFill>
              <a:schemeClr val="lt1"/>
            </a:solidFill>
          </a:ln>
          <a:effectLst/>
        </c:spPr>
      </c:pivotFmt>
      <c:pivotFmt>
        <c:idx val="618"/>
        <c:spPr>
          <a:solidFill>
            <a:schemeClr val="accent1"/>
          </a:solidFill>
          <a:ln w="19050">
            <a:solidFill>
              <a:schemeClr val="lt1"/>
            </a:solidFill>
          </a:ln>
          <a:effectLst/>
        </c:spPr>
      </c:pivotFmt>
      <c:pivotFmt>
        <c:idx val="619"/>
        <c:spPr>
          <a:solidFill>
            <a:schemeClr val="accent1"/>
          </a:solidFill>
          <a:ln w="19050">
            <a:solidFill>
              <a:schemeClr val="lt1"/>
            </a:solidFill>
          </a:ln>
          <a:effectLst/>
        </c:spPr>
      </c:pivotFmt>
      <c:pivotFmt>
        <c:idx val="620"/>
        <c:spPr>
          <a:solidFill>
            <a:schemeClr val="accent1"/>
          </a:solidFill>
          <a:ln w="19050">
            <a:solidFill>
              <a:schemeClr val="lt1"/>
            </a:solidFill>
          </a:ln>
          <a:effectLst/>
        </c:spPr>
      </c:pivotFmt>
      <c:pivotFmt>
        <c:idx val="621"/>
        <c:spPr>
          <a:solidFill>
            <a:schemeClr val="accent1"/>
          </a:solidFill>
          <a:ln w="19050">
            <a:solidFill>
              <a:schemeClr val="lt1"/>
            </a:solidFill>
          </a:ln>
          <a:effectLst/>
        </c:spPr>
      </c:pivotFmt>
      <c:pivotFmt>
        <c:idx val="622"/>
        <c:spPr>
          <a:solidFill>
            <a:schemeClr val="accent1"/>
          </a:solidFill>
          <a:ln w="19050">
            <a:solidFill>
              <a:schemeClr val="lt1"/>
            </a:solidFill>
          </a:ln>
          <a:effectLst/>
        </c:spPr>
      </c:pivotFmt>
      <c:pivotFmt>
        <c:idx val="623"/>
        <c:spPr>
          <a:solidFill>
            <a:schemeClr val="accent1"/>
          </a:solidFill>
          <a:ln w="19050">
            <a:solidFill>
              <a:schemeClr val="lt1"/>
            </a:solidFill>
          </a:ln>
          <a:effectLst/>
        </c:spPr>
      </c:pivotFmt>
      <c:pivotFmt>
        <c:idx val="624"/>
        <c:spPr>
          <a:solidFill>
            <a:schemeClr val="accent1"/>
          </a:solidFill>
          <a:ln w="19050">
            <a:solidFill>
              <a:schemeClr val="lt1"/>
            </a:solidFill>
          </a:ln>
          <a:effectLst/>
        </c:spPr>
      </c:pivotFmt>
      <c:pivotFmt>
        <c:idx val="625"/>
        <c:spPr>
          <a:solidFill>
            <a:schemeClr val="accent1"/>
          </a:solidFill>
          <a:ln w="19050">
            <a:solidFill>
              <a:schemeClr val="lt1"/>
            </a:solidFill>
          </a:ln>
          <a:effectLst/>
        </c:spPr>
      </c:pivotFmt>
      <c:pivotFmt>
        <c:idx val="626"/>
        <c:spPr>
          <a:solidFill>
            <a:schemeClr val="accent1"/>
          </a:solidFill>
          <a:ln w="19050">
            <a:solidFill>
              <a:schemeClr val="lt1"/>
            </a:solidFill>
          </a:ln>
          <a:effectLst/>
        </c:spPr>
      </c:pivotFmt>
      <c:pivotFmt>
        <c:idx val="627"/>
        <c:spPr>
          <a:solidFill>
            <a:schemeClr val="accent1"/>
          </a:solidFill>
          <a:ln w="19050">
            <a:solidFill>
              <a:schemeClr val="lt1"/>
            </a:solidFill>
          </a:ln>
          <a:effectLst/>
        </c:spPr>
      </c:pivotFmt>
      <c:pivotFmt>
        <c:idx val="628"/>
        <c:spPr>
          <a:solidFill>
            <a:schemeClr val="accent1"/>
          </a:solidFill>
          <a:ln w="19050">
            <a:solidFill>
              <a:schemeClr val="lt1"/>
            </a:solidFill>
          </a:ln>
          <a:effectLst/>
        </c:spPr>
      </c:pivotFmt>
      <c:pivotFmt>
        <c:idx val="629"/>
        <c:spPr>
          <a:solidFill>
            <a:schemeClr val="accent1"/>
          </a:solidFill>
          <a:ln w="19050">
            <a:solidFill>
              <a:schemeClr val="lt1"/>
            </a:solidFill>
          </a:ln>
          <a:effectLst/>
        </c:spPr>
      </c:pivotFmt>
      <c:pivotFmt>
        <c:idx val="630"/>
        <c:spPr>
          <a:solidFill>
            <a:schemeClr val="accent1"/>
          </a:solidFill>
          <a:ln w="19050">
            <a:solidFill>
              <a:schemeClr val="lt1"/>
            </a:solidFill>
          </a:ln>
          <a:effectLst/>
        </c:spPr>
      </c:pivotFmt>
      <c:pivotFmt>
        <c:idx val="631"/>
        <c:spPr>
          <a:solidFill>
            <a:schemeClr val="accent1"/>
          </a:solidFill>
          <a:ln w="19050">
            <a:solidFill>
              <a:schemeClr val="lt1"/>
            </a:solidFill>
          </a:ln>
          <a:effectLst/>
        </c:spPr>
      </c:pivotFmt>
      <c:pivotFmt>
        <c:idx val="632"/>
        <c:spPr>
          <a:solidFill>
            <a:schemeClr val="accent1"/>
          </a:solidFill>
          <a:ln w="19050">
            <a:solidFill>
              <a:schemeClr val="lt1"/>
            </a:solidFill>
          </a:ln>
          <a:effectLst/>
        </c:spPr>
      </c:pivotFmt>
      <c:pivotFmt>
        <c:idx val="633"/>
        <c:spPr>
          <a:solidFill>
            <a:schemeClr val="accent1"/>
          </a:solidFill>
          <a:ln w="19050">
            <a:solidFill>
              <a:schemeClr val="lt1"/>
            </a:solidFill>
          </a:ln>
          <a:effectLst/>
        </c:spPr>
      </c:pivotFmt>
      <c:pivotFmt>
        <c:idx val="634"/>
        <c:spPr>
          <a:solidFill>
            <a:schemeClr val="accent1"/>
          </a:solidFill>
          <a:ln w="19050">
            <a:solidFill>
              <a:schemeClr val="lt1"/>
            </a:solidFill>
          </a:ln>
          <a:effectLst/>
        </c:spPr>
      </c:pivotFmt>
      <c:pivotFmt>
        <c:idx val="635"/>
        <c:spPr>
          <a:solidFill>
            <a:schemeClr val="accent1"/>
          </a:solidFill>
          <a:ln w="19050">
            <a:solidFill>
              <a:schemeClr val="lt1"/>
            </a:solidFill>
          </a:ln>
          <a:effectLst/>
        </c:spPr>
      </c:pivotFmt>
      <c:pivotFmt>
        <c:idx val="636"/>
        <c:spPr>
          <a:solidFill>
            <a:schemeClr val="accent1"/>
          </a:solidFill>
          <a:ln w="19050">
            <a:solidFill>
              <a:schemeClr val="lt1"/>
            </a:solidFill>
          </a:ln>
          <a:effectLst/>
        </c:spPr>
      </c:pivotFmt>
      <c:pivotFmt>
        <c:idx val="637"/>
        <c:spPr>
          <a:solidFill>
            <a:schemeClr val="accent1"/>
          </a:solidFill>
          <a:ln w="19050">
            <a:solidFill>
              <a:schemeClr val="lt1"/>
            </a:solidFill>
          </a:ln>
          <a:effectLst/>
        </c:spPr>
      </c:pivotFmt>
      <c:pivotFmt>
        <c:idx val="638"/>
        <c:spPr>
          <a:solidFill>
            <a:schemeClr val="accent1"/>
          </a:solidFill>
          <a:ln w="19050">
            <a:solidFill>
              <a:schemeClr val="lt1"/>
            </a:solidFill>
          </a:ln>
          <a:effectLst/>
        </c:spPr>
      </c:pivotFmt>
      <c:pivotFmt>
        <c:idx val="639"/>
        <c:spPr>
          <a:solidFill>
            <a:schemeClr val="accent1"/>
          </a:solidFill>
          <a:ln w="19050">
            <a:solidFill>
              <a:schemeClr val="lt1"/>
            </a:solidFill>
          </a:ln>
          <a:effectLst/>
        </c:spPr>
      </c:pivotFmt>
      <c:pivotFmt>
        <c:idx val="640"/>
        <c:spPr>
          <a:solidFill>
            <a:schemeClr val="accent1"/>
          </a:solidFill>
          <a:ln w="19050">
            <a:solidFill>
              <a:schemeClr val="lt1"/>
            </a:solidFill>
          </a:ln>
          <a:effectLst/>
        </c:spPr>
      </c:pivotFmt>
      <c:pivotFmt>
        <c:idx val="641"/>
        <c:spPr>
          <a:solidFill>
            <a:schemeClr val="accent1"/>
          </a:solidFill>
          <a:ln w="19050">
            <a:solidFill>
              <a:schemeClr val="lt1"/>
            </a:solidFill>
          </a:ln>
          <a:effectLst/>
        </c:spPr>
      </c:pivotFmt>
      <c:pivotFmt>
        <c:idx val="642"/>
        <c:spPr>
          <a:solidFill>
            <a:schemeClr val="accent1"/>
          </a:solidFill>
          <a:ln w="19050">
            <a:solidFill>
              <a:schemeClr val="lt1"/>
            </a:solidFill>
          </a:ln>
          <a:effectLst/>
        </c:spPr>
      </c:pivotFmt>
      <c:pivotFmt>
        <c:idx val="643"/>
        <c:spPr>
          <a:solidFill>
            <a:schemeClr val="accent1"/>
          </a:solidFill>
          <a:ln w="19050">
            <a:solidFill>
              <a:schemeClr val="lt1"/>
            </a:solidFill>
          </a:ln>
          <a:effectLst/>
        </c:spPr>
      </c:pivotFmt>
      <c:pivotFmt>
        <c:idx val="644"/>
        <c:spPr>
          <a:solidFill>
            <a:schemeClr val="accent1"/>
          </a:solidFill>
          <a:ln w="19050">
            <a:solidFill>
              <a:schemeClr val="lt1"/>
            </a:solidFill>
          </a:ln>
          <a:effectLst/>
        </c:spPr>
      </c:pivotFmt>
      <c:pivotFmt>
        <c:idx val="645"/>
        <c:spPr>
          <a:solidFill>
            <a:schemeClr val="accent1"/>
          </a:solidFill>
          <a:ln w="19050">
            <a:solidFill>
              <a:schemeClr val="lt1"/>
            </a:solidFill>
          </a:ln>
          <a:effectLst/>
        </c:spPr>
      </c:pivotFmt>
      <c:pivotFmt>
        <c:idx val="646"/>
        <c:spPr>
          <a:solidFill>
            <a:schemeClr val="accent1"/>
          </a:solidFill>
          <a:ln w="19050">
            <a:solidFill>
              <a:schemeClr val="lt1"/>
            </a:solidFill>
          </a:ln>
          <a:effectLst/>
        </c:spPr>
      </c:pivotFmt>
      <c:pivotFmt>
        <c:idx val="647"/>
        <c:spPr>
          <a:solidFill>
            <a:schemeClr val="accent1"/>
          </a:solidFill>
          <a:ln w="19050">
            <a:solidFill>
              <a:schemeClr val="lt1"/>
            </a:solidFill>
          </a:ln>
          <a:effectLst/>
        </c:spPr>
      </c:pivotFmt>
      <c:pivotFmt>
        <c:idx val="648"/>
        <c:spPr>
          <a:solidFill>
            <a:schemeClr val="accent1"/>
          </a:solidFill>
          <a:ln w="19050">
            <a:solidFill>
              <a:schemeClr val="lt1"/>
            </a:solidFill>
          </a:ln>
          <a:effectLst/>
        </c:spPr>
      </c:pivotFmt>
      <c:pivotFmt>
        <c:idx val="649"/>
        <c:spPr>
          <a:solidFill>
            <a:schemeClr val="accent1"/>
          </a:solidFill>
          <a:ln w="19050">
            <a:solidFill>
              <a:schemeClr val="lt1"/>
            </a:solidFill>
          </a:ln>
          <a:effectLst/>
        </c:spPr>
      </c:pivotFmt>
      <c:pivotFmt>
        <c:idx val="650"/>
        <c:spPr>
          <a:solidFill>
            <a:schemeClr val="accent1"/>
          </a:solidFill>
          <a:ln w="19050">
            <a:solidFill>
              <a:schemeClr val="lt1"/>
            </a:solidFill>
          </a:ln>
          <a:effectLst/>
        </c:spPr>
      </c:pivotFmt>
      <c:pivotFmt>
        <c:idx val="651"/>
        <c:spPr>
          <a:solidFill>
            <a:schemeClr val="accent1"/>
          </a:solidFill>
          <a:ln w="19050">
            <a:solidFill>
              <a:schemeClr val="lt1"/>
            </a:solidFill>
          </a:ln>
          <a:effectLst/>
        </c:spPr>
      </c:pivotFmt>
      <c:pivotFmt>
        <c:idx val="652"/>
        <c:spPr>
          <a:solidFill>
            <a:schemeClr val="accent1"/>
          </a:solidFill>
          <a:ln w="19050">
            <a:solidFill>
              <a:schemeClr val="lt1"/>
            </a:solidFill>
          </a:ln>
          <a:effectLst/>
        </c:spPr>
      </c:pivotFmt>
      <c:pivotFmt>
        <c:idx val="653"/>
        <c:spPr>
          <a:solidFill>
            <a:schemeClr val="accent1"/>
          </a:solidFill>
          <a:ln w="19050">
            <a:solidFill>
              <a:schemeClr val="lt1"/>
            </a:solidFill>
          </a:ln>
          <a:effectLst/>
        </c:spPr>
      </c:pivotFmt>
      <c:pivotFmt>
        <c:idx val="654"/>
        <c:spPr>
          <a:solidFill>
            <a:schemeClr val="accent1"/>
          </a:solidFill>
          <a:ln w="19050">
            <a:solidFill>
              <a:schemeClr val="lt1"/>
            </a:solidFill>
          </a:ln>
          <a:effectLst/>
        </c:spPr>
      </c:pivotFmt>
      <c:pivotFmt>
        <c:idx val="655"/>
        <c:spPr>
          <a:solidFill>
            <a:schemeClr val="accent1"/>
          </a:solidFill>
          <a:ln w="19050">
            <a:solidFill>
              <a:schemeClr val="lt1"/>
            </a:solidFill>
          </a:ln>
          <a:effectLst/>
        </c:spPr>
      </c:pivotFmt>
      <c:pivotFmt>
        <c:idx val="656"/>
        <c:spPr>
          <a:solidFill>
            <a:schemeClr val="accent1"/>
          </a:solidFill>
          <a:ln w="19050">
            <a:solidFill>
              <a:schemeClr val="lt1"/>
            </a:solidFill>
          </a:ln>
          <a:effectLst/>
        </c:spPr>
      </c:pivotFmt>
      <c:pivotFmt>
        <c:idx val="657"/>
        <c:spPr>
          <a:solidFill>
            <a:schemeClr val="accent1"/>
          </a:solidFill>
          <a:ln w="19050">
            <a:solidFill>
              <a:schemeClr val="lt1"/>
            </a:solidFill>
          </a:ln>
          <a:effectLst/>
        </c:spPr>
      </c:pivotFmt>
      <c:pivotFmt>
        <c:idx val="658"/>
        <c:spPr>
          <a:solidFill>
            <a:schemeClr val="accent1"/>
          </a:solidFill>
          <a:ln w="19050">
            <a:solidFill>
              <a:schemeClr val="lt1"/>
            </a:solidFill>
          </a:ln>
          <a:effectLst/>
        </c:spPr>
      </c:pivotFmt>
      <c:pivotFmt>
        <c:idx val="659"/>
        <c:spPr>
          <a:solidFill>
            <a:schemeClr val="accent1"/>
          </a:solidFill>
          <a:ln w="19050">
            <a:solidFill>
              <a:schemeClr val="lt1"/>
            </a:solidFill>
          </a:ln>
          <a:effectLst/>
        </c:spPr>
      </c:pivotFmt>
      <c:pivotFmt>
        <c:idx val="660"/>
        <c:spPr>
          <a:solidFill>
            <a:schemeClr val="accent1"/>
          </a:solidFill>
          <a:ln w="19050">
            <a:solidFill>
              <a:schemeClr val="lt1"/>
            </a:solidFill>
          </a:ln>
          <a:effectLst/>
        </c:spPr>
      </c:pivotFmt>
      <c:pivotFmt>
        <c:idx val="661"/>
        <c:spPr>
          <a:solidFill>
            <a:schemeClr val="accent1"/>
          </a:solidFill>
          <a:ln w="19050">
            <a:solidFill>
              <a:schemeClr val="lt1"/>
            </a:solidFill>
          </a:ln>
          <a:effectLst/>
        </c:spPr>
      </c:pivotFmt>
      <c:pivotFmt>
        <c:idx val="662"/>
        <c:spPr>
          <a:solidFill>
            <a:schemeClr val="accent1"/>
          </a:solidFill>
          <a:ln w="19050">
            <a:solidFill>
              <a:schemeClr val="lt1"/>
            </a:solidFill>
          </a:ln>
          <a:effectLst/>
        </c:spPr>
      </c:pivotFmt>
      <c:pivotFmt>
        <c:idx val="663"/>
        <c:spPr>
          <a:solidFill>
            <a:schemeClr val="accent1"/>
          </a:solidFill>
          <a:ln w="19050">
            <a:solidFill>
              <a:schemeClr val="lt1"/>
            </a:solidFill>
          </a:ln>
          <a:effectLst/>
        </c:spPr>
      </c:pivotFmt>
      <c:pivotFmt>
        <c:idx val="664"/>
        <c:spPr>
          <a:solidFill>
            <a:schemeClr val="accent1"/>
          </a:solidFill>
          <a:ln w="19050">
            <a:solidFill>
              <a:schemeClr val="lt1"/>
            </a:solidFill>
          </a:ln>
          <a:effectLst/>
        </c:spPr>
      </c:pivotFmt>
      <c:pivotFmt>
        <c:idx val="665"/>
        <c:spPr>
          <a:solidFill>
            <a:schemeClr val="accent1"/>
          </a:solidFill>
          <a:ln w="19050">
            <a:solidFill>
              <a:schemeClr val="lt1"/>
            </a:solidFill>
          </a:ln>
          <a:effectLst/>
        </c:spPr>
      </c:pivotFmt>
      <c:pivotFmt>
        <c:idx val="666"/>
        <c:spPr>
          <a:solidFill>
            <a:schemeClr val="accent1"/>
          </a:solidFill>
          <a:ln w="19050">
            <a:solidFill>
              <a:schemeClr val="lt1"/>
            </a:solidFill>
          </a:ln>
          <a:effectLst/>
        </c:spPr>
      </c:pivotFmt>
      <c:pivotFmt>
        <c:idx val="667"/>
        <c:spPr>
          <a:solidFill>
            <a:schemeClr val="accent1"/>
          </a:solidFill>
          <a:ln w="19050">
            <a:solidFill>
              <a:schemeClr val="lt1"/>
            </a:solidFill>
          </a:ln>
          <a:effectLst/>
        </c:spPr>
      </c:pivotFmt>
      <c:pivotFmt>
        <c:idx val="668"/>
        <c:spPr>
          <a:solidFill>
            <a:schemeClr val="accent1"/>
          </a:solidFill>
          <a:ln w="19050">
            <a:solidFill>
              <a:schemeClr val="lt1"/>
            </a:solidFill>
          </a:ln>
          <a:effectLst/>
        </c:spPr>
      </c:pivotFmt>
      <c:pivotFmt>
        <c:idx val="669"/>
        <c:spPr>
          <a:solidFill>
            <a:schemeClr val="accent1"/>
          </a:solidFill>
          <a:ln w="19050">
            <a:solidFill>
              <a:schemeClr val="lt1"/>
            </a:solidFill>
          </a:ln>
          <a:effectLst/>
        </c:spPr>
      </c:pivotFmt>
      <c:pivotFmt>
        <c:idx val="670"/>
        <c:spPr>
          <a:solidFill>
            <a:schemeClr val="accent1"/>
          </a:solidFill>
          <a:ln w="19050">
            <a:solidFill>
              <a:schemeClr val="lt1"/>
            </a:solidFill>
          </a:ln>
          <a:effectLst/>
        </c:spPr>
      </c:pivotFmt>
      <c:pivotFmt>
        <c:idx val="671"/>
        <c:spPr>
          <a:solidFill>
            <a:schemeClr val="accent1"/>
          </a:solidFill>
          <a:ln w="19050">
            <a:solidFill>
              <a:schemeClr val="lt1"/>
            </a:solidFill>
          </a:ln>
          <a:effectLst/>
        </c:spPr>
      </c:pivotFmt>
      <c:pivotFmt>
        <c:idx val="672"/>
        <c:spPr>
          <a:solidFill>
            <a:schemeClr val="accent1"/>
          </a:solidFill>
          <a:ln w="19050">
            <a:solidFill>
              <a:schemeClr val="lt1"/>
            </a:solidFill>
          </a:ln>
          <a:effectLst/>
        </c:spPr>
      </c:pivotFmt>
      <c:pivotFmt>
        <c:idx val="673"/>
        <c:spPr>
          <a:solidFill>
            <a:schemeClr val="accent1"/>
          </a:solidFill>
          <a:ln w="19050">
            <a:solidFill>
              <a:schemeClr val="lt1"/>
            </a:solidFill>
          </a:ln>
          <a:effectLst/>
        </c:spPr>
      </c:pivotFmt>
      <c:pivotFmt>
        <c:idx val="674"/>
        <c:spPr>
          <a:solidFill>
            <a:schemeClr val="accent1"/>
          </a:solidFill>
          <a:ln w="19050">
            <a:solidFill>
              <a:schemeClr val="lt1"/>
            </a:solidFill>
          </a:ln>
          <a:effectLst/>
        </c:spPr>
      </c:pivotFmt>
      <c:pivotFmt>
        <c:idx val="675"/>
        <c:spPr>
          <a:solidFill>
            <a:schemeClr val="accent1"/>
          </a:solidFill>
          <a:ln w="19050">
            <a:solidFill>
              <a:schemeClr val="lt1"/>
            </a:solidFill>
          </a:ln>
          <a:effectLst/>
        </c:spPr>
      </c:pivotFmt>
      <c:pivotFmt>
        <c:idx val="676"/>
        <c:spPr>
          <a:solidFill>
            <a:schemeClr val="accent1"/>
          </a:solidFill>
          <a:ln w="19050">
            <a:solidFill>
              <a:schemeClr val="lt1"/>
            </a:solidFill>
          </a:ln>
          <a:effectLst/>
        </c:spPr>
      </c:pivotFmt>
      <c:pivotFmt>
        <c:idx val="677"/>
        <c:spPr>
          <a:solidFill>
            <a:schemeClr val="accent1"/>
          </a:solidFill>
          <a:ln w="19050">
            <a:solidFill>
              <a:schemeClr val="lt1"/>
            </a:solidFill>
          </a:ln>
          <a:effectLst/>
        </c:spPr>
      </c:pivotFmt>
      <c:pivotFmt>
        <c:idx val="678"/>
        <c:spPr>
          <a:solidFill>
            <a:schemeClr val="accent1"/>
          </a:solidFill>
          <a:ln w="19050">
            <a:solidFill>
              <a:schemeClr val="lt1"/>
            </a:solidFill>
          </a:ln>
          <a:effectLst/>
        </c:spPr>
      </c:pivotFmt>
      <c:pivotFmt>
        <c:idx val="679"/>
        <c:spPr>
          <a:solidFill>
            <a:schemeClr val="accent1"/>
          </a:solidFill>
          <a:ln w="19050">
            <a:solidFill>
              <a:schemeClr val="lt1"/>
            </a:solidFill>
          </a:ln>
          <a:effectLst/>
        </c:spPr>
      </c:pivotFmt>
      <c:pivotFmt>
        <c:idx val="680"/>
        <c:spPr>
          <a:solidFill>
            <a:schemeClr val="accent1"/>
          </a:solidFill>
          <a:ln w="19050">
            <a:solidFill>
              <a:schemeClr val="lt1"/>
            </a:solidFill>
          </a:ln>
          <a:effectLst/>
        </c:spPr>
      </c:pivotFmt>
      <c:pivotFmt>
        <c:idx val="681"/>
        <c:spPr>
          <a:solidFill>
            <a:schemeClr val="accent1"/>
          </a:solidFill>
          <a:ln w="19050">
            <a:solidFill>
              <a:schemeClr val="lt1"/>
            </a:solidFill>
          </a:ln>
          <a:effectLst/>
        </c:spPr>
      </c:pivotFmt>
      <c:pivotFmt>
        <c:idx val="682"/>
        <c:spPr>
          <a:solidFill>
            <a:schemeClr val="accent1"/>
          </a:solidFill>
          <a:ln w="19050">
            <a:solidFill>
              <a:schemeClr val="lt1"/>
            </a:solidFill>
          </a:ln>
          <a:effectLst/>
        </c:spPr>
      </c:pivotFmt>
      <c:pivotFmt>
        <c:idx val="683"/>
        <c:spPr>
          <a:solidFill>
            <a:schemeClr val="accent1"/>
          </a:solidFill>
          <a:ln w="19050">
            <a:solidFill>
              <a:schemeClr val="lt1"/>
            </a:solidFill>
          </a:ln>
          <a:effectLst/>
        </c:spPr>
      </c:pivotFmt>
      <c:pivotFmt>
        <c:idx val="684"/>
        <c:spPr>
          <a:solidFill>
            <a:schemeClr val="accent1"/>
          </a:solidFill>
          <a:ln w="19050">
            <a:solidFill>
              <a:schemeClr val="lt1"/>
            </a:solidFill>
          </a:ln>
          <a:effectLst/>
        </c:spPr>
      </c:pivotFmt>
      <c:pivotFmt>
        <c:idx val="685"/>
        <c:spPr>
          <a:solidFill>
            <a:schemeClr val="accent1"/>
          </a:solidFill>
          <a:ln w="19050">
            <a:solidFill>
              <a:schemeClr val="lt1"/>
            </a:solidFill>
          </a:ln>
          <a:effectLst/>
        </c:spPr>
      </c:pivotFmt>
      <c:pivotFmt>
        <c:idx val="686"/>
        <c:spPr>
          <a:solidFill>
            <a:schemeClr val="accent1"/>
          </a:solidFill>
          <a:ln w="19050">
            <a:solidFill>
              <a:schemeClr val="lt1"/>
            </a:solidFill>
          </a:ln>
          <a:effectLst/>
        </c:spPr>
      </c:pivotFmt>
      <c:pivotFmt>
        <c:idx val="687"/>
        <c:spPr>
          <a:solidFill>
            <a:schemeClr val="accent1"/>
          </a:solidFill>
          <a:ln w="19050">
            <a:solidFill>
              <a:schemeClr val="lt1"/>
            </a:solidFill>
          </a:ln>
          <a:effectLst/>
        </c:spPr>
      </c:pivotFmt>
      <c:pivotFmt>
        <c:idx val="688"/>
        <c:spPr>
          <a:solidFill>
            <a:schemeClr val="accent1"/>
          </a:solidFill>
          <a:ln w="19050">
            <a:solidFill>
              <a:schemeClr val="lt1"/>
            </a:solidFill>
          </a:ln>
          <a:effectLst/>
        </c:spPr>
      </c:pivotFmt>
      <c:pivotFmt>
        <c:idx val="689"/>
        <c:spPr>
          <a:solidFill>
            <a:schemeClr val="accent1"/>
          </a:solidFill>
          <a:ln w="19050">
            <a:solidFill>
              <a:schemeClr val="lt1"/>
            </a:solidFill>
          </a:ln>
          <a:effectLst/>
        </c:spPr>
      </c:pivotFmt>
      <c:pivotFmt>
        <c:idx val="690"/>
        <c:spPr>
          <a:solidFill>
            <a:schemeClr val="accent1"/>
          </a:solidFill>
          <a:ln w="19050">
            <a:solidFill>
              <a:schemeClr val="lt1"/>
            </a:solidFill>
          </a:ln>
          <a:effectLst/>
        </c:spPr>
      </c:pivotFmt>
      <c:pivotFmt>
        <c:idx val="691"/>
        <c:spPr>
          <a:solidFill>
            <a:schemeClr val="accent1"/>
          </a:solidFill>
          <a:ln w="19050">
            <a:solidFill>
              <a:schemeClr val="lt1"/>
            </a:solidFill>
          </a:ln>
          <a:effectLst/>
        </c:spPr>
      </c:pivotFmt>
      <c:pivotFmt>
        <c:idx val="692"/>
        <c:spPr>
          <a:solidFill>
            <a:schemeClr val="accent1"/>
          </a:solidFill>
          <a:ln w="19050">
            <a:solidFill>
              <a:schemeClr val="lt1"/>
            </a:solidFill>
          </a:ln>
          <a:effectLst/>
        </c:spPr>
      </c:pivotFmt>
      <c:pivotFmt>
        <c:idx val="693"/>
        <c:spPr>
          <a:solidFill>
            <a:schemeClr val="accent1"/>
          </a:solidFill>
          <a:ln w="19050">
            <a:solidFill>
              <a:schemeClr val="lt1"/>
            </a:solidFill>
          </a:ln>
          <a:effectLst/>
        </c:spPr>
      </c:pivotFmt>
      <c:pivotFmt>
        <c:idx val="694"/>
        <c:spPr>
          <a:solidFill>
            <a:schemeClr val="accent1"/>
          </a:solidFill>
          <a:ln w="19050">
            <a:solidFill>
              <a:schemeClr val="lt1"/>
            </a:solidFill>
          </a:ln>
          <a:effectLst/>
        </c:spPr>
      </c:pivotFmt>
      <c:pivotFmt>
        <c:idx val="695"/>
        <c:spPr>
          <a:solidFill>
            <a:schemeClr val="accent1"/>
          </a:solidFill>
          <a:ln w="19050">
            <a:solidFill>
              <a:schemeClr val="lt1"/>
            </a:solidFill>
          </a:ln>
          <a:effectLst/>
        </c:spPr>
      </c:pivotFmt>
      <c:pivotFmt>
        <c:idx val="696"/>
        <c:spPr>
          <a:solidFill>
            <a:schemeClr val="accent1"/>
          </a:solidFill>
          <a:ln w="19050">
            <a:solidFill>
              <a:schemeClr val="lt1"/>
            </a:solidFill>
          </a:ln>
          <a:effectLst/>
        </c:spPr>
      </c:pivotFmt>
      <c:pivotFmt>
        <c:idx val="697"/>
        <c:spPr>
          <a:solidFill>
            <a:schemeClr val="accent1"/>
          </a:solidFill>
          <a:ln w="19050">
            <a:solidFill>
              <a:schemeClr val="lt1"/>
            </a:solidFill>
          </a:ln>
          <a:effectLst/>
        </c:spPr>
      </c:pivotFmt>
      <c:pivotFmt>
        <c:idx val="698"/>
        <c:spPr>
          <a:solidFill>
            <a:schemeClr val="accent1"/>
          </a:solidFill>
          <a:ln w="19050">
            <a:solidFill>
              <a:schemeClr val="lt1"/>
            </a:solidFill>
          </a:ln>
          <a:effectLst/>
        </c:spPr>
      </c:pivotFmt>
      <c:pivotFmt>
        <c:idx val="699"/>
        <c:spPr>
          <a:solidFill>
            <a:schemeClr val="accent1"/>
          </a:solidFill>
          <a:ln w="19050">
            <a:solidFill>
              <a:schemeClr val="lt1"/>
            </a:solidFill>
          </a:ln>
          <a:effectLst/>
        </c:spPr>
      </c:pivotFmt>
      <c:pivotFmt>
        <c:idx val="700"/>
        <c:spPr>
          <a:solidFill>
            <a:schemeClr val="accent1"/>
          </a:solidFill>
          <a:ln w="19050">
            <a:solidFill>
              <a:schemeClr val="lt1"/>
            </a:solidFill>
          </a:ln>
          <a:effectLst/>
        </c:spPr>
      </c:pivotFmt>
      <c:pivotFmt>
        <c:idx val="701"/>
        <c:spPr>
          <a:solidFill>
            <a:schemeClr val="accent1"/>
          </a:solidFill>
          <a:ln w="19050">
            <a:solidFill>
              <a:schemeClr val="lt1"/>
            </a:solidFill>
          </a:ln>
          <a:effectLst/>
        </c:spPr>
      </c:pivotFmt>
      <c:pivotFmt>
        <c:idx val="702"/>
        <c:spPr>
          <a:solidFill>
            <a:schemeClr val="accent1"/>
          </a:solidFill>
          <a:ln w="19050">
            <a:solidFill>
              <a:schemeClr val="lt1"/>
            </a:solidFill>
          </a:ln>
          <a:effectLst/>
        </c:spPr>
      </c:pivotFmt>
      <c:pivotFmt>
        <c:idx val="703"/>
        <c:spPr>
          <a:solidFill>
            <a:schemeClr val="accent1"/>
          </a:solidFill>
          <a:ln w="19050">
            <a:solidFill>
              <a:schemeClr val="lt1"/>
            </a:solidFill>
          </a:ln>
          <a:effectLst/>
        </c:spPr>
      </c:pivotFmt>
      <c:pivotFmt>
        <c:idx val="704"/>
        <c:spPr>
          <a:solidFill>
            <a:schemeClr val="accent1"/>
          </a:solidFill>
          <a:ln w="19050">
            <a:solidFill>
              <a:schemeClr val="lt1"/>
            </a:solidFill>
          </a:ln>
          <a:effectLst/>
        </c:spPr>
      </c:pivotFmt>
      <c:pivotFmt>
        <c:idx val="705"/>
        <c:spPr>
          <a:solidFill>
            <a:schemeClr val="accent1"/>
          </a:solidFill>
          <a:ln w="19050">
            <a:solidFill>
              <a:schemeClr val="lt1"/>
            </a:solidFill>
          </a:ln>
          <a:effectLst/>
        </c:spPr>
      </c:pivotFmt>
      <c:pivotFmt>
        <c:idx val="706"/>
        <c:spPr>
          <a:solidFill>
            <a:schemeClr val="accent1"/>
          </a:solidFill>
          <a:ln w="19050">
            <a:solidFill>
              <a:schemeClr val="lt1"/>
            </a:solidFill>
          </a:ln>
          <a:effectLst/>
        </c:spPr>
      </c:pivotFmt>
      <c:pivotFmt>
        <c:idx val="707"/>
        <c:spPr>
          <a:solidFill>
            <a:schemeClr val="accent1"/>
          </a:solidFill>
          <a:ln w="19050">
            <a:solidFill>
              <a:schemeClr val="lt1"/>
            </a:solidFill>
          </a:ln>
          <a:effectLst/>
        </c:spPr>
      </c:pivotFmt>
      <c:pivotFmt>
        <c:idx val="708"/>
        <c:spPr>
          <a:solidFill>
            <a:schemeClr val="accent1"/>
          </a:solidFill>
          <a:ln w="19050">
            <a:solidFill>
              <a:schemeClr val="lt1"/>
            </a:solidFill>
          </a:ln>
          <a:effectLst/>
        </c:spPr>
      </c:pivotFmt>
      <c:pivotFmt>
        <c:idx val="709"/>
        <c:spPr>
          <a:solidFill>
            <a:schemeClr val="accent1"/>
          </a:solidFill>
          <a:ln w="19050">
            <a:solidFill>
              <a:schemeClr val="lt1"/>
            </a:solidFill>
          </a:ln>
          <a:effectLst/>
        </c:spPr>
      </c:pivotFmt>
      <c:pivotFmt>
        <c:idx val="710"/>
        <c:spPr>
          <a:solidFill>
            <a:schemeClr val="accent1"/>
          </a:solidFill>
          <a:ln w="19050">
            <a:solidFill>
              <a:schemeClr val="lt1"/>
            </a:solidFill>
          </a:ln>
          <a:effectLst/>
        </c:spPr>
      </c:pivotFmt>
      <c:pivotFmt>
        <c:idx val="711"/>
        <c:spPr>
          <a:solidFill>
            <a:schemeClr val="accent1"/>
          </a:solidFill>
          <a:ln w="19050">
            <a:solidFill>
              <a:schemeClr val="lt1"/>
            </a:solidFill>
          </a:ln>
          <a:effectLst/>
        </c:spPr>
      </c:pivotFmt>
      <c:pivotFmt>
        <c:idx val="7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3"/>
        <c:spPr>
          <a:solidFill>
            <a:schemeClr val="accent1"/>
          </a:solidFill>
          <a:ln w="19050">
            <a:solidFill>
              <a:schemeClr val="lt1"/>
            </a:solidFill>
          </a:ln>
          <a:effectLst/>
        </c:spPr>
      </c:pivotFmt>
      <c:pivotFmt>
        <c:idx val="714"/>
        <c:spPr>
          <a:solidFill>
            <a:schemeClr val="accent1"/>
          </a:solidFill>
          <a:ln w="19050">
            <a:solidFill>
              <a:schemeClr val="lt1"/>
            </a:solidFill>
          </a:ln>
          <a:effectLst/>
        </c:spPr>
      </c:pivotFmt>
      <c:pivotFmt>
        <c:idx val="715"/>
        <c:spPr>
          <a:solidFill>
            <a:schemeClr val="accent1"/>
          </a:solidFill>
          <a:ln w="19050">
            <a:solidFill>
              <a:schemeClr val="lt1"/>
            </a:solidFill>
          </a:ln>
          <a:effectLst/>
        </c:spPr>
      </c:pivotFmt>
      <c:pivotFmt>
        <c:idx val="716"/>
        <c:spPr>
          <a:solidFill>
            <a:schemeClr val="accent1"/>
          </a:solidFill>
          <a:ln w="19050">
            <a:solidFill>
              <a:schemeClr val="lt1"/>
            </a:solidFill>
          </a:ln>
          <a:effectLst/>
        </c:spPr>
      </c:pivotFmt>
      <c:pivotFmt>
        <c:idx val="717"/>
        <c:spPr>
          <a:solidFill>
            <a:schemeClr val="accent1"/>
          </a:solidFill>
          <a:ln w="19050">
            <a:solidFill>
              <a:schemeClr val="lt1"/>
            </a:solidFill>
          </a:ln>
          <a:effectLst/>
        </c:spPr>
      </c:pivotFmt>
      <c:pivotFmt>
        <c:idx val="718"/>
        <c:spPr>
          <a:solidFill>
            <a:schemeClr val="accent1"/>
          </a:solidFill>
          <a:ln w="19050">
            <a:solidFill>
              <a:schemeClr val="lt1"/>
            </a:solidFill>
          </a:ln>
          <a:effectLst/>
        </c:spPr>
      </c:pivotFmt>
      <c:pivotFmt>
        <c:idx val="719"/>
        <c:spPr>
          <a:solidFill>
            <a:schemeClr val="accent1"/>
          </a:solidFill>
          <a:ln w="19050">
            <a:solidFill>
              <a:schemeClr val="lt1"/>
            </a:solidFill>
          </a:ln>
          <a:effectLst/>
        </c:spPr>
      </c:pivotFmt>
      <c:pivotFmt>
        <c:idx val="720"/>
        <c:spPr>
          <a:solidFill>
            <a:schemeClr val="accent1"/>
          </a:solidFill>
          <a:ln w="19050">
            <a:solidFill>
              <a:schemeClr val="lt1"/>
            </a:solidFill>
          </a:ln>
          <a:effectLst/>
        </c:spPr>
      </c:pivotFmt>
      <c:pivotFmt>
        <c:idx val="721"/>
        <c:spPr>
          <a:solidFill>
            <a:schemeClr val="accent1"/>
          </a:solidFill>
          <a:ln w="19050">
            <a:solidFill>
              <a:schemeClr val="lt1"/>
            </a:solidFill>
          </a:ln>
          <a:effectLst/>
        </c:spPr>
      </c:pivotFmt>
      <c:pivotFmt>
        <c:idx val="722"/>
        <c:spPr>
          <a:solidFill>
            <a:schemeClr val="accent1"/>
          </a:solidFill>
          <a:ln w="19050">
            <a:solidFill>
              <a:schemeClr val="lt1"/>
            </a:solidFill>
          </a:ln>
          <a:effectLst/>
        </c:spPr>
      </c:pivotFmt>
      <c:pivotFmt>
        <c:idx val="723"/>
        <c:spPr>
          <a:solidFill>
            <a:schemeClr val="accent1"/>
          </a:solidFill>
          <a:ln w="19050">
            <a:solidFill>
              <a:schemeClr val="lt1"/>
            </a:solidFill>
          </a:ln>
          <a:effectLst/>
        </c:spPr>
      </c:pivotFmt>
      <c:pivotFmt>
        <c:idx val="724"/>
        <c:spPr>
          <a:solidFill>
            <a:schemeClr val="accent1"/>
          </a:solidFill>
          <a:ln w="19050">
            <a:solidFill>
              <a:schemeClr val="lt1"/>
            </a:solidFill>
          </a:ln>
          <a:effectLst/>
        </c:spPr>
      </c:pivotFmt>
      <c:pivotFmt>
        <c:idx val="725"/>
        <c:spPr>
          <a:solidFill>
            <a:schemeClr val="accent1"/>
          </a:solidFill>
          <a:ln w="19050">
            <a:solidFill>
              <a:schemeClr val="lt1"/>
            </a:solidFill>
          </a:ln>
          <a:effectLst/>
        </c:spPr>
      </c:pivotFmt>
      <c:pivotFmt>
        <c:idx val="726"/>
        <c:spPr>
          <a:solidFill>
            <a:schemeClr val="accent1"/>
          </a:solidFill>
          <a:ln w="19050">
            <a:solidFill>
              <a:schemeClr val="lt1"/>
            </a:solidFill>
          </a:ln>
          <a:effectLst/>
        </c:spPr>
      </c:pivotFmt>
      <c:pivotFmt>
        <c:idx val="727"/>
        <c:spPr>
          <a:solidFill>
            <a:schemeClr val="accent1"/>
          </a:solidFill>
          <a:ln w="19050">
            <a:solidFill>
              <a:schemeClr val="lt1"/>
            </a:solidFill>
          </a:ln>
          <a:effectLst/>
        </c:spPr>
      </c:pivotFmt>
      <c:pivotFmt>
        <c:idx val="728"/>
        <c:spPr>
          <a:solidFill>
            <a:schemeClr val="accent1"/>
          </a:solidFill>
          <a:ln w="19050">
            <a:solidFill>
              <a:schemeClr val="lt1"/>
            </a:solidFill>
          </a:ln>
          <a:effectLst/>
        </c:spPr>
      </c:pivotFmt>
      <c:pivotFmt>
        <c:idx val="729"/>
        <c:spPr>
          <a:solidFill>
            <a:schemeClr val="accent1"/>
          </a:solidFill>
          <a:ln w="19050">
            <a:solidFill>
              <a:schemeClr val="lt1"/>
            </a:solidFill>
          </a:ln>
          <a:effectLst/>
        </c:spPr>
      </c:pivotFmt>
      <c:pivotFmt>
        <c:idx val="730"/>
        <c:spPr>
          <a:solidFill>
            <a:schemeClr val="accent1"/>
          </a:solidFill>
          <a:ln w="19050">
            <a:solidFill>
              <a:schemeClr val="lt1"/>
            </a:solidFill>
          </a:ln>
          <a:effectLst/>
        </c:spPr>
      </c:pivotFmt>
      <c:pivotFmt>
        <c:idx val="731"/>
        <c:spPr>
          <a:solidFill>
            <a:schemeClr val="accent1"/>
          </a:solidFill>
          <a:ln w="19050">
            <a:solidFill>
              <a:schemeClr val="lt1"/>
            </a:solidFill>
          </a:ln>
          <a:effectLst/>
        </c:spPr>
      </c:pivotFmt>
      <c:pivotFmt>
        <c:idx val="732"/>
        <c:spPr>
          <a:solidFill>
            <a:schemeClr val="accent1"/>
          </a:solidFill>
          <a:ln w="19050">
            <a:solidFill>
              <a:schemeClr val="lt1"/>
            </a:solidFill>
          </a:ln>
          <a:effectLst/>
        </c:spPr>
      </c:pivotFmt>
      <c:pivotFmt>
        <c:idx val="733"/>
        <c:spPr>
          <a:solidFill>
            <a:schemeClr val="accent1"/>
          </a:solidFill>
          <a:ln w="19050">
            <a:solidFill>
              <a:schemeClr val="lt1"/>
            </a:solidFill>
          </a:ln>
          <a:effectLst/>
        </c:spPr>
      </c:pivotFmt>
      <c:pivotFmt>
        <c:idx val="734"/>
        <c:spPr>
          <a:solidFill>
            <a:schemeClr val="accent1"/>
          </a:solidFill>
          <a:ln w="19050">
            <a:solidFill>
              <a:schemeClr val="lt1"/>
            </a:solidFill>
          </a:ln>
          <a:effectLst/>
        </c:spPr>
      </c:pivotFmt>
      <c:pivotFmt>
        <c:idx val="735"/>
        <c:spPr>
          <a:solidFill>
            <a:schemeClr val="accent1"/>
          </a:solidFill>
          <a:ln w="19050">
            <a:solidFill>
              <a:schemeClr val="lt1"/>
            </a:solidFill>
          </a:ln>
          <a:effectLst/>
        </c:spPr>
      </c:pivotFmt>
      <c:pivotFmt>
        <c:idx val="736"/>
        <c:spPr>
          <a:solidFill>
            <a:schemeClr val="accent1"/>
          </a:solidFill>
          <a:ln w="19050">
            <a:solidFill>
              <a:schemeClr val="lt1"/>
            </a:solidFill>
          </a:ln>
          <a:effectLst/>
        </c:spPr>
      </c:pivotFmt>
      <c:pivotFmt>
        <c:idx val="737"/>
        <c:spPr>
          <a:solidFill>
            <a:schemeClr val="accent1"/>
          </a:solidFill>
          <a:ln w="19050">
            <a:solidFill>
              <a:schemeClr val="lt1"/>
            </a:solidFill>
          </a:ln>
          <a:effectLst/>
        </c:spPr>
      </c:pivotFmt>
      <c:pivotFmt>
        <c:idx val="738"/>
        <c:spPr>
          <a:solidFill>
            <a:schemeClr val="accent1"/>
          </a:solidFill>
          <a:ln w="19050">
            <a:solidFill>
              <a:schemeClr val="lt1"/>
            </a:solidFill>
          </a:ln>
          <a:effectLst/>
        </c:spPr>
      </c:pivotFmt>
      <c:pivotFmt>
        <c:idx val="739"/>
        <c:spPr>
          <a:solidFill>
            <a:schemeClr val="accent1"/>
          </a:solidFill>
          <a:ln w="19050">
            <a:solidFill>
              <a:schemeClr val="lt1"/>
            </a:solidFill>
          </a:ln>
          <a:effectLst/>
        </c:spPr>
      </c:pivotFmt>
      <c:pivotFmt>
        <c:idx val="740"/>
        <c:spPr>
          <a:solidFill>
            <a:schemeClr val="accent1"/>
          </a:solidFill>
          <a:ln w="19050">
            <a:solidFill>
              <a:schemeClr val="lt1"/>
            </a:solidFill>
          </a:ln>
          <a:effectLst/>
        </c:spPr>
      </c:pivotFmt>
      <c:pivotFmt>
        <c:idx val="741"/>
        <c:spPr>
          <a:solidFill>
            <a:schemeClr val="accent1"/>
          </a:solidFill>
          <a:ln w="19050">
            <a:solidFill>
              <a:schemeClr val="lt1"/>
            </a:solidFill>
          </a:ln>
          <a:effectLst/>
        </c:spPr>
      </c:pivotFmt>
      <c:pivotFmt>
        <c:idx val="742"/>
        <c:spPr>
          <a:solidFill>
            <a:schemeClr val="accent1"/>
          </a:solidFill>
          <a:ln w="19050">
            <a:solidFill>
              <a:schemeClr val="lt1"/>
            </a:solidFill>
          </a:ln>
          <a:effectLst/>
        </c:spPr>
      </c:pivotFmt>
      <c:pivotFmt>
        <c:idx val="743"/>
        <c:spPr>
          <a:solidFill>
            <a:schemeClr val="accent1"/>
          </a:solidFill>
          <a:ln w="19050">
            <a:solidFill>
              <a:schemeClr val="lt1"/>
            </a:solidFill>
          </a:ln>
          <a:effectLst/>
        </c:spPr>
      </c:pivotFmt>
      <c:pivotFmt>
        <c:idx val="744"/>
        <c:spPr>
          <a:solidFill>
            <a:schemeClr val="accent1"/>
          </a:solidFill>
          <a:ln w="19050">
            <a:solidFill>
              <a:schemeClr val="lt1"/>
            </a:solidFill>
          </a:ln>
          <a:effectLst/>
        </c:spPr>
      </c:pivotFmt>
      <c:pivotFmt>
        <c:idx val="745"/>
        <c:spPr>
          <a:solidFill>
            <a:schemeClr val="accent1"/>
          </a:solidFill>
          <a:ln w="19050">
            <a:solidFill>
              <a:schemeClr val="lt1"/>
            </a:solidFill>
          </a:ln>
          <a:effectLst/>
        </c:spPr>
      </c:pivotFmt>
      <c:pivotFmt>
        <c:idx val="746"/>
        <c:spPr>
          <a:solidFill>
            <a:schemeClr val="accent1"/>
          </a:solidFill>
          <a:ln w="19050">
            <a:solidFill>
              <a:schemeClr val="lt1"/>
            </a:solidFill>
          </a:ln>
          <a:effectLst/>
        </c:spPr>
      </c:pivotFmt>
      <c:pivotFmt>
        <c:idx val="747"/>
        <c:spPr>
          <a:solidFill>
            <a:schemeClr val="accent1"/>
          </a:solidFill>
          <a:ln w="19050">
            <a:solidFill>
              <a:schemeClr val="lt1"/>
            </a:solidFill>
          </a:ln>
          <a:effectLst/>
        </c:spPr>
      </c:pivotFmt>
      <c:pivotFmt>
        <c:idx val="748"/>
        <c:spPr>
          <a:solidFill>
            <a:schemeClr val="accent1"/>
          </a:solidFill>
          <a:ln w="19050">
            <a:solidFill>
              <a:schemeClr val="lt1"/>
            </a:solidFill>
          </a:ln>
          <a:effectLst/>
        </c:spPr>
      </c:pivotFmt>
      <c:pivotFmt>
        <c:idx val="749"/>
        <c:spPr>
          <a:solidFill>
            <a:schemeClr val="accent1"/>
          </a:solidFill>
          <a:ln w="19050">
            <a:solidFill>
              <a:schemeClr val="lt1"/>
            </a:solidFill>
          </a:ln>
          <a:effectLst/>
        </c:spPr>
      </c:pivotFmt>
      <c:pivotFmt>
        <c:idx val="750"/>
        <c:spPr>
          <a:solidFill>
            <a:schemeClr val="accent1"/>
          </a:solidFill>
          <a:ln w="19050">
            <a:solidFill>
              <a:schemeClr val="lt1"/>
            </a:solidFill>
          </a:ln>
          <a:effectLst/>
        </c:spPr>
      </c:pivotFmt>
      <c:pivotFmt>
        <c:idx val="751"/>
        <c:spPr>
          <a:solidFill>
            <a:schemeClr val="accent1"/>
          </a:solidFill>
          <a:ln w="19050">
            <a:solidFill>
              <a:schemeClr val="lt1"/>
            </a:solidFill>
          </a:ln>
          <a:effectLst/>
        </c:spPr>
      </c:pivotFmt>
      <c:pivotFmt>
        <c:idx val="752"/>
        <c:spPr>
          <a:solidFill>
            <a:schemeClr val="accent1"/>
          </a:solidFill>
          <a:ln w="19050">
            <a:solidFill>
              <a:schemeClr val="lt1"/>
            </a:solidFill>
          </a:ln>
          <a:effectLst/>
        </c:spPr>
      </c:pivotFmt>
      <c:pivotFmt>
        <c:idx val="753"/>
        <c:spPr>
          <a:solidFill>
            <a:schemeClr val="accent1"/>
          </a:solidFill>
          <a:ln w="19050">
            <a:solidFill>
              <a:schemeClr val="lt1"/>
            </a:solidFill>
          </a:ln>
          <a:effectLst/>
        </c:spPr>
      </c:pivotFmt>
      <c:pivotFmt>
        <c:idx val="754"/>
        <c:spPr>
          <a:solidFill>
            <a:schemeClr val="accent1"/>
          </a:solidFill>
          <a:ln w="19050">
            <a:solidFill>
              <a:schemeClr val="lt1"/>
            </a:solidFill>
          </a:ln>
          <a:effectLst/>
        </c:spPr>
      </c:pivotFmt>
      <c:pivotFmt>
        <c:idx val="755"/>
        <c:spPr>
          <a:solidFill>
            <a:schemeClr val="accent1"/>
          </a:solidFill>
          <a:ln w="19050">
            <a:solidFill>
              <a:schemeClr val="lt1"/>
            </a:solidFill>
          </a:ln>
          <a:effectLst/>
        </c:spPr>
      </c:pivotFmt>
      <c:pivotFmt>
        <c:idx val="756"/>
        <c:spPr>
          <a:solidFill>
            <a:schemeClr val="accent1"/>
          </a:solidFill>
          <a:ln w="19050">
            <a:solidFill>
              <a:schemeClr val="lt1"/>
            </a:solidFill>
          </a:ln>
          <a:effectLst/>
        </c:spPr>
      </c:pivotFmt>
      <c:pivotFmt>
        <c:idx val="757"/>
        <c:spPr>
          <a:solidFill>
            <a:schemeClr val="accent1"/>
          </a:solidFill>
          <a:ln w="19050">
            <a:solidFill>
              <a:schemeClr val="lt1"/>
            </a:solidFill>
          </a:ln>
          <a:effectLst/>
        </c:spPr>
      </c:pivotFmt>
      <c:pivotFmt>
        <c:idx val="758"/>
        <c:spPr>
          <a:solidFill>
            <a:schemeClr val="accent1"/>
          </a:solidFill>
          <a:ln w="19050">
            <a:solidFill>
              <a:schemeClr val="lt1"/>
            </a:solidFill>
          </a:ln>
          <a:effectLst/>
        </c:spPr>
      </c:pivotFmt>
      <c:pivotFmt>
        <c:idx val="759"/>
        <c:spPr>
          <a:solidFill>
            <a:schemeClr val="accent1"/>
          </a:solidFill>
          <a:ln w="19050">
            <a:solidFill>
              <a:schemeClr val="lt1"/>
            </a:solidFill>
          </a:ln>
          <a:effectLst/>
        </c:spPr>
      </c:pivotFmt>
      <c:pivotFmt>
        <c:idx val="760"/>
        <c:spPr>
          <a:solidFill>
            <a:schemeClr val="accent1"/>
          </a:solidFill>
          <a:ln w="19050">
            <a:solidFill>
              <a:schemeClr val="lt1"/>
            </a:solidFill>
          </a:ln>
          <a:effectLst/>
        </c:spPr>
      </c:pivotFmt>
      <c:pivotFmt>
        <c:idx val="761"/>
        <c:spPr>
          <a:solidFill>
            <a:schemeClr val="accent1"/>
          </a:solidFill>
          <a:ln w="19050">
            <a:solidFill>
              <a:schemeClr val="lt1"/>
            </a:solidFill>
          </a:ln>
          <a:effectLst/>
        </c:spPr>
      </c:pivotFmt>
      <c:pivotFmt>
        <c:idx val="762"/>
        <c:spPr>
          <a:solidFill>
            <a:schemeClr val="accent1"/>
          </a:solidFill>
          <a:ln w="19050">
            <a:solidFill>
              <a:schemeClr val="lt1"/>
            </a:solidFill>
          </a:ln>
          <a:effectLst/>
        </c:spPr>
      </c:pivotFmt>
      <c:pivotFmt>
        <c:idx val="763"/>
        <c:spPr>
          <a:solidFill>
            <a:schemeClr val="accent1"/>
          </a:solidFill>
          <a:ln w="19050">
            <a:solidFill>
              <a:schemeClr val="lt1"/>
            </a:solidFill>
          </a:ln>
          <a:effectLst/>
        </c:spPr>
      </c:pivotFmt>
      <c:pivotFmt>
        <c:idx val="764"/>
        <c:spPr>
          <a:solidFill>
            <a:schemeClr val="accent1"/>
          </a:solidFill>
          <a:ln w="19050">
            <a:solidFill>
              <a:schemeClr val="lt1"/>
            </a:solidFill>
          </a:ln>
          <a:effectLst/>
        </c:spPr>
      </c:pivotFmt>
      <c:pivotFmt>
        <c:idx val="765"/>
        <c:spPr>
          <a:solidFill>
            <a:schemeClr val="accent1"/>
          </a:solidFill>
          <a:ln w="19050">
            <a:solidFill>
              <a:schemeClr val="lt1"/>
            </a:solidFill>
          </a:ln>
          <a:effectLst/>
        </c:spPr>
      </c:pivotFmt>
      <c:pivotFmt>
        <c:idx val="766"/>
        <c:spPr>
          <a:solidFill>
            <a:schemeClr val="accent1"/>
          </a:solidFill>
          <a:ln w="19050">
            <a:solidFill>
              <a:schemeClr val="lt1"/>
            </a:solidFill>
          </a:ln>
          <a:effectLst/>
        </c:spPr>
      </c:pivotFmt>
      <c:pivotFmt>
        <c:idx val="767"/>
        <c:spPr>
          <a:solidFill>
            <a:schemeClr val="accent1"/>
          </a:solidFill>
          <a:ln w="19050">
            <a:solidFill>
              <a:schemeClr val="lt1"/>
            </a:solidFill>
          </a:ln>
          <a:effectLst/>
        </c:spPr>
      </c:pivotFmt>
      <c:pivotFmt>
        <c:idx val="768"/>
        <c:spPr>
          <a:solidFill>
            <a:schemeClr val="accent1"/>
          </a:solidFill>
          <a:ln w="19050">
            <a:solidFill>
              <a:schemeClr val="lt1"/>
            </a:solidFill>
          </a:ln>
          <a:effectLst/>
        </c:spPr>
      </c:pivotFmt>
      <c:pivotFmt>
        <c:idx val="769"/>
        <c:spPr>
          <a:solidFill>
            <a:schemeClr val="accent1"/>
          </a:solidFill>
          <a:ln w="19050">
            <a:solidFill>
              <a:schemeClr val="lt1"/>
            </a:solidFill>
          </a:ln>
          <a:effectLst/>
        </c:spPr>
      </c:pivotFmt>
      <c:pivotFmt>
        <c:idx val="770"/>
        <c:spPr>
          <a:solidFill>
            <a:schemeClr val="accent1"/>
          </a:solidFill>
          <a:ln w="19050">
            <a:solidFill>
              <a:schemeClr val="lt1"/>
            </a:solidFill>
          </a:ln>
          <a:effectLst/>
        </c:spPr>
      </c:pivotFmt>
      <c:pivotFmt>
        <c:idx val="771"/>
        <c:spPr>
          <a:solidFill>
            <a:schemeClr val="accent1"/>
          </a:solidFill>
          <a:ln w="19050">
            <a:solidFill>
              <a:schemeClr val="lt1"/>
            </a:solidFill>
          </a:ln>
          <a:effectLst/>
        </c:spPr>
      </c:pivotFmt>
      <c:pivotFmt>
        <c:idx val="772"/>
        <c:spPr>
          <a:solidFill>
            <a:schemeClr val="accent1"/>
          </a:solidFill>
          <a:ln w="19050">
            <a:solidFill>
              <a:schemeClr val="lt1"/>
            </a:solidFill>
          </a:ln>
          <a:effectLst/>
        </c:spPr>
      </c:pivotFmt>
      <c:pivotFmt>
        <c:idx val="773"/>
        <c:spPr>
          <a:solidFill>
            <a:schemeClr val="accent1"/>
          </a:solidFill>
          <a:ln w="19050">
            <a:solidFill>
              <a:schemeClr val="lt1"/>
            </a:solidFill>
          </a:ln>
          <a:effectLst/>
        </c:spPr>
      </c:pivotFmt>
      <c:pivotFmt>
        <c:idx val="774"/>
        <c:spPr>
          <a:solidFill>
            <a:schemeClr val="accent1"/>
          </a:solidFill>
          <a:ln w="19050">
            <a:solidFill>
              <a:schemeClr val="lt1"/>
            </a:solidFill>
          </a:ln>
          <a:effectLst/>
        </c:spPr>
      </c:pivotFmt>
      <c:pivotFmt>
        <c:idx val="775"/>
        <c:spPr>
          <a:solidFill>
            <a:schemeClr val="accent1"/>
          </a:solidFill>
          <a:ln w="19050">
            <a:solidFill>
              <a:schemeClr val="lt1"/>
            </a:solidFill>
          </a:ln>
          <a:effectLst/>
        </c:spPr>
      </c:pivotFmt>
      <c:pivotFmt>
        <c:idx val="776"/>
        <c:spPr>
          <a:solidFill>
            <a:schemeClr val="accent1"/>
          </a:solidFill>
          <a:ln w="19050">
            <a:solidFill>
              <a:schemeClr val="lt1"/>
            </a:solidFill>
          </a:ln>
          <a:effectLst/>
        </c:spPr>
      </c:pivotFmt>
      <c:pivotFmt>
        <c:idx val="777"/>
        <c:spPr>
          <a:solidFill>
            <a:schemeClr val="accent1"/>
          </a:solidFill>
          <a:ln w="19050">
            <a:solidFill>
              <a:schemeClr val="lt1"/>
            </a:solidFill>
          </a:ln>
          <a:effectLst/>
        </c:spPr>
      </c:pivotFmt>
      <c:pivotFmt>
        <c:idx val="778"/>
        <c:spPr>
          <a:solidFill>
            <a:schemeClr val="accent1"/>
          </a:solidFill>
          <a:ln w="19050">
            <a:solidFill>
              <a:schemeClr val="lt1"/>
            </a:solidFill>
          </a:ln>
          <a:effectLst/>
        </c:spPr>
      </c:pivotFmt>
      <c:pivotFmt>
        <c:idx val="779"/>
        <c:spPr>
          <a:solidFill>
            <a:schemeClr val="accent1"/>
          </a:solidFill>
          <a:ln w="19050">
            <a:solidFill>
              <a:schemeClr val="lt1"/>
            </a:solidFill>
          </a:ln>
          <a:effectLst/>
        </c:spPr>
      </c:pivotFmt>
      <c:pivotFmt>
        <c:idx val="780"/>
        <c:spPr>
          <a:solidFill>
            <a:schemeClr val="accent1"/>
          </a:solidFill>
          <a:ln w="19050">
            <a:solidFill>
              <a:schemeClr val="lt1"/>
            </a:solidFill>
          </a:ln>
          <a:effectLst/>
        </c:spPr>
      </c:pivotFmt>
      <c:pivotFmt>
        <c:idx val="781"/>
        <c:spPr>
          <a:solidFill>
            <a:schemeClr val="accent1"/>
          </a:solidFill>
          <a:ln w="19050">
            <a:solidFill>
              <a:schemeClr val="lt1"/>
            </a:solidFill>
          </a:ln>
          <a:effectLst/>
        </c:spPr>
      </c:pivotFmt>
      <c:pivotFmt>
        <c:idx val="782"/>
        <c:spPr>
          <a:solidFill>
            <a:schemeClr val="accent1"/>
          </a:solidFill>
          <a:ln w="19050">
            <a:solidFill>
              <a:schemeClr val="lt1"/>
            </a:solidFill>
          </a:ln>
          <a:effectLst/>
        </c:spPr>
      </c:pivotFmt>
      <c:pivotFmt>
        <c:idx val="783"/>
        <c:spPr>
          <a:solidFill>
            <a:schemeClr val="accent1"/>
          </a:solidFill>
          <a:ln w="19050">
            <a:solidFill>
              <a:schemeClr val="lt1"/>
            </a:solidFill>
          </a:ln>
          <a:effectLst/>
        </c:spPr>
      </c:pivotFmt>
      <c:pivotFmt>
        <c:idx val="784"/>
        <c:spPr>
          <a:solidFill>
            <a:schemeClr val="accent1"/>
          </a:solidFill>
          <a:ln w="19050">
            <a:solidFill>
              <a:schemeClr val="lt1"/>
            </a:solidFill>
          </a:ln>
          <a:effectLst/>
        </c:spPr>
      </c:pivotFmt>
      <c:pivotFmt>
        <c:idx val="785"/>
        <c:spPr>
          <a:solidFill>
            <a:schemeClr val="accent1"/>
          </a:solidFill>
          <a:ln w="19050">
            <a:solidFill>
              <a:schemeClr val="lt1"/>
            </a:solidFill>
          </a:ln>
          <a:effectLst/>
        </c:spPr>
      </c:pivotFmt>
      <c:pivotFmt>
        <c:idx val="786"/>
        <c:spPr>
          <a:solidFill>
            <a:schemeClr val="accent1"/>
          </a:solidFill>
          <a:ln w="19050">
            <a:solidFill>
              <a:schemeClr val="lt1"/>
            </a:solidFill>
          </a:ln>
          <a:effectLst/>
        </c:spPr>
      </c:pivotFmt>
      <c:pivotFmt>
        <c:idx val="787"/>
        <c:spPr>
          <a:solidFill>
            <a:schemeClr val="accent1"/>
          </a:solidFill>
          <a:ln w="19050">
            <a:solidFill>
              <a:schemeClr val="lt1"/>
            </a:solidFill>
          </a:ln>
          <a:effectLst/>
        </c:spPr>
      </c:pivotFmt>
      <c:pivotFmt>
        <c:idx val="788"/>
        <c:spPr>
          <a:solidFill>
            <a:schemeClr val="accent1"/>
          </a:solidFill>
          <a:ln w="19050">
            <a:solidFill>
              <a:schemeClr val="lt1"/>
            </a:solidFill>
          </a:ln>
          <a:effectLst/>
        </c:spPr>
      </c:pivotFmt>
      <c:pivotFmt>
        <c:idx val="789"/>
        <c:spPr>
          <a:solidFill>
            <a:schemeClr val="accent1"/>
          </a:solidFill>
          <a:ln w="19050">
            <a:solidFill>
              <a:schemeClr val="lt1"/>
            </a:solidFill>
          </a:ln>
          <a:effectLst/>
        </c:spPr>
      </c:pivotFmt>
      <c:pivotFmt>
        <c:idx val="790"/>
        <c:spPr>
          <a:solidFill>
            <a:schemeClr val="accent1"/>
          </a:solidFill>
          <a:ln w="19050">
            <a:solidFill>
              <a:schemeClr val="lt1"/>
            </a:solidFill>
          </a:ln>
          <a:effectLst/>
        </c:spPr>
      </c:pivotFmt>
      <c:pivotFmt>
        <c:idx val="791"/>
        <c:spPr>
          <a:solidFill>
            <a:schemeClr val="accent1"/>
          </a:solidFill>
          <a:ln w="19050">
            <a:solidFill>
              <a:schemeClr val="lt1"/>
            </a:solidFill>
          </a:ln>
          <a:effectLst/>
        </c:spPr>
      </c:pivotFmt>
      <c:pivotFmt>
        <c:idx val="792"/>
        <c:spPr>
          <a:solidFill>
            <a:schemeClr val="accent1"/>
          </a:solidFill>
          <a:ln w="19050">
            <a:solidFill>
              <a:schemeClr val="lt1"/>
            </a:solidFill>
          </a:ln>
          <a:effectLst/>
        </c:spPr>
      </c:pivotFmt>
      <c:pivotFmt>
        <c:idx val="793"/>
        <c:spPr>
          <a:solidFill>
            <a:schemeClr val="accent1"/>
          </a:solidFill>
          <a:ln w="19050">
            <a:solidFill>
              <a:schemeClr val="lt1"/>
            </a:solidFill>
          </a:ln>
          <a:effectLst/>
        </c:spPr>
      </c:pivotFmt>
      <c:pivotFmt>
        <c:idx val="794"/>
        <c:spPr>
          <a:solidFill>
            <a:schemeClr val="accent1"/>
          </a:solidFill>
          <a:ln w="19050">
            <a:solidFill>
              <a:schemeClr val="lt1"/>
            </a:solidFill>
          </a:ln>
          <a:effectLst/>
        </c:spPr>
      </c:pivotFmt>
      <c:pivotFmt>
        <c:idx val="795"/>
        <c:spPr>
          <a:solidFill>
            <a:schemeClr val="accent1"/>
          </a:solidFill>
          <a:ln w="19050">
            <a:solidFill>
              <a:schemeClr val="lt1"/>
            </a:solidFill>
          </a:ln>
          <a:effectLst/>
        </c:spPr>
      </c:pivotFmt>
      <c:pivotFmt>
        <c:idx val="796"/>
        <c:spPr>
          <a:solidFill>
            <a:schemeClr val="accent1"/>
          </a:solidFill>
          <a:ln w="19050">
            <a:solidFill>
              <a:schemeClr val="lt1"/>
            </a:solidFill>
          </a:ln>
          <a:effectLst/>
        </c:spPr>
      </c:pivotFmt>
      <c:pivotFmt>
        <c:idx val="797"/>
        <c:spPr>
          <a:solidFill>
            <a:schemeClr val="accent1"/>
          </a:solidFill>
          <a:ln w="19050">
            <a:solidFill>
              <a:schemeClr val="lt1"/>
            </a:solidFill>
          </a:ln>
          <a:effectLst/>
        </c:spPr>
      </c:pivotFmt>
      <c:pivotFmt>
        <c:idx val="798"/>
        <c:spPr>
          <a:solidFill>
            <a:schemeClr val="accent1"/>
          </a:solidFill>
          <a:ln w="19050">
            <a:solidFill>
              <a:schemeClr val="lt1"/>
            </a:solidFill>
          </a:ln>
          <a:effectLst/>
        </c:spPr>
      </c:pivotFmt>
      <c:pivotFmt>
        <c:idx val="799"/>
        <c:spPr>
          <a:solidFill>
            <a:schemeClr val="accent1"/>
          </a:solidFill>
          <a:ln w="19050">
            <a:solidFill>
              <a:schemeClr val="lt1"/>
            </a:solidFill>
          </a:ln>
          <a:effectLst/>
        </c:spPr>
      </c:pivotFmt>
      <c:pivotFmt>
        <c:idx val="800"/>
        <c:spPr>
          <a:solidFill>
            <a:schemeClr val="accent1"/>
          </a:solidFill>
          <a:ln w="19050">
            <a:solidFill>
              <a:schemeClr val="lt1"/>
            </a:solidFill>
          </a:ln>
          <a:effectLst/>
        </c:spPr>
      </c:pivotFmt>
      <c:pivotFmt>
        <c:idx val="801"/>
        <c:spPr>
          <a:solidFill>
            <a:schemeClr val="accent1"/>
          </a:solidFill>
          <a:ln w="19050">
            <a:solidFill>
              <a:schemeClr val="lt1"/>
            </a:solidFill>
          </a:ln>
          <a:effectLst/>
        </c:spPr>
      </c:pivotFmt>
      <c:pivotFmt>
        <c:idx val="802"/>
        <c:spPr>
          <a:solidFill>
            <a:schemeClr val="accent1"/>
          </a:solidFill>
          <a:ln w="19050">
            <a:solidFill>
              <a:schemeClr val="lt1"/>
            </a:solidFill>
          </a:ln>
          <a:effectLst/>
        </c:spPr>
      </c:pivotFmt>
      <c:pivotFmt>
        <c:idx val="803"/>
        <c:spPr>
          <a:solidFill>
            <a:schemeClr val="accent1"/>
          </a:solidFill>
          <a:ln w="19050">
            <a:solidFill>
              <a:schemeClr val="lt1"/>
            </a:solidFill>
          </a:ln>
          <a:effectLst/>
        </c:spPr>
      </c:pivotFmt>
      <c:pivotFmt>
        <c:idx val="804"/>
        <c:spPr>
          <a:solidFill>
            <a:schemeClr val="accent1"/>
          </a:solidFill>
          <a:ln w="19050">
            <a:solidFill>
              <a:schemeClr val="lt1"/>
            </a:solidFill>
          </a:ln>
          <a:effectLst/>
        </c:spPr>
      </c:pivotFmt>
      <c:pivotFmt>
        <c:idx val="805"/>
        <c:spPr>
          <a:solidFill>
            <a:schemeClr val="accent1"/>
          </a:solidFill>
          <a:ln w="19050">
            <a:solidFill>
              <a:schemeClr val="lt1"/>
            </a:solidFill>
          </a:ln>
          <a:effectLst/>
        </c:spPr>
      </c:pivotFmt>
      <c:pivotFmt>
        <c:idx val="806"/>
        <c:spPr>
          <a:solidFill>
            <a:schemeClr val="accent1"/>
          </a:solidFill>
          <a:ln w="19050">
            <a:solidFill>
              <a:schemeClr val="lt1"/>
            </a:solidFill>
          </a:ln>
          <a:effectLst/>
        </c:spPr>
      </c:pivotFmt>
      <c:pivotFmt>
        <c:idx val="807"/>
        <c:spPr>
          <a:solidFill>
            <a:schemeClr val="accent1"/>
          </a:solidFill>
          <a:ln w="19050">
            <a:solidFill>
              <a:schemeClr val="lt1"/>
            </a:solidFill>
          </a:ln>
          <a:effectLst/>
        </c:spPr>
      </c:pivotFmt>
      <c:pivotFmt>
        <c:idx val="808"/>
        <c:spPr>
          <a:solidFill>
            <a:schemeClr val="accent1"/>
          </a:solidFill>
          <a:ln w="19050">
            <a:solidFill>
              <a:schemeClr val="lt1"/>
            </a:solidFill>
          </a:ln>
          <a:effectLst/>
        </c:spPr>
      </c:pivotFmt>
      <c:pivotFmt>
        <c:idx val="809"/>
        <c:spPr>
          <a:solidFill>
            <a:schemeClr val="accent1"/>
          </a:solidFill>
          <a:ln w="19050">
            <a:solidFill>
              <a:schemeClr val="lt1"/>
            </a:solidFill>
          </a:ln>
          <a:effectLst/>
        </c:spPr>
      </c:pivotFmt>
      <c:pivotFmt>
        <c:idx val="810"/>
        <c:spPr>
          <a:solidFill>
            <a:schemeClr val="accent1"/>
          </a:solidFill>
          <a:ln w="19050">
            <a:solidFill>
              <a:schemeClr val="lt1"/>
            </a:solidFill>
          </a:ln>
          <a:effectLst/>
        </c:spPr>
      </c:pivotFmt>
      <c:pivotFmt>
        <c:idx val="811"/>
        <c:spPr>
          <a:solidFill>
            <a:schemeClr val="accent1"/>
          </a:solidFill>
          <a:ln w="19050">
            <a:solidFill>
              <a:schemeClr val="lt1"/>
            </a:solidFill>
          </a:ln>
          <a:effectLst/>
        </c:spPr>
      </c:pivotFmt>
      <c:pivotFmt>
        <c:idx val="812"/>
        <c:spPr>
          <a:solidFill>
            <a:schemeClr val="accent1"/>
          </a:solidFill>
          <a:ln w="19050">
            <a:solidFill>
              <a:schemeClr val="lt1"/>
            </a:solidFill>
          </a:ln>
          <a:effectLst/>
        </c:spPr>
      </c:pivotFmt>
      <c:pivotFmt>
        <c:idx val="813"/>
        <c:spPr>
          <a:solidFill>
            <a:schemeClr val="accent1"/>
          </a:solidFill>
          <a:ln w="19050">
            <a:solidFill>
              <a:schemeClr val="lt1"/>
            </a:solidFill>
          </a:ln>
          <a:effectLst/>
        </c:spPr>
      </c:pivotFmt>
      <c:pivotFmt>
        <c:idx val="814"/>
        <c:spPr>
          <a:solidFill>
            <a:schemeClr val="accent1"/>
          </a:solidFill>
          <a:ln w="19050">
            <a:solidFill>
              <a:schemeClr val="lt1"/>
            </a:solidFill>
          </a:ln>
          <a:effectLst/>
        </c:spPr>
      </c:pivotFmt>
      <c:pivotFmt>
        <c:idx val="815"/>
        <c:spPr>
          <a:solidFill>
            <a:schemeClr val="accent1"/>
          </a:solidFill>
          <a:ln w="19050">
            <a:solidFill>
              <a:schemeClr val="lt1"/>
            </a:solidFill>
          </a:ln>
          <a:effectLst/>
        </c:spPr>
      </c:pivotFmt>
      <c:pivotFmt>
        <c:idx val="816"/>
        <c:spPr>
          <a:solidFill>
            <a:schemeClr val="accent1"/>
          </a:solidFill>
          <a:ln w="19050">
            <a:solidFill>
              <a:schemeClr val="lt1"/>
            </a:solidFill>
          </a:ln>
          <a:effectLst/>
        </c:spPr>
      </c:pivotFmt>
      <c:pivotFmt>
        <c:idx val="817"/>
        <c:spPr>
          <a:solidFill>
            <a:schemeClr val="accent1"/>
          </a:solidFill>
          <a:ln w="19050">
            <a:solidFill>
              <a:schemeClr val="lt1"/>
            </a:solidFill>
          </a:ln>
          <a:effectLst/>
        </c:spPr>
      </c:pivotFmt>
      <c:pivotFmt>
        <c:idx val="818"/>
        <c:spPr>
          <a:solidFill>
            <a:schemeClr val="accent1"/>
          </a:solidFill>
          <a:ln w="19050">
            <a:solidFill>
              <a:schemeClr val="lt1"/>
            </a:solidFill>
          </a:ln>
          <a:effectLst/>
        </c:spPr>
      </c:pivotFmt>
      <c:pivotFmt>
        <c:idx val="819"/>
        <c:spPr>
          <a:solidFill>
            <a:schemeClr val="accent1"/>
          </a:solidFill>
          <a:ln w="19050">
            <a:solidFill>
              <a:schemeClr val="lt1"/>
            </a:solidFill>
          </a:ln>
          <a:effectLst/>
        </c:spPr>
      </c:pivotFmt>
      <c:pivotFmt>
        <c:idx val="820"/>
        <c:spPr>
          <a:solidFill>
            <a:schemeClr val="accent1"/>
          </a:solidFill>
          <a:ln w="19050">
            <a:solidFill>
              <a:schemeClr val="lt1"/>
            </a:solidFill>
          </a:ln>
          <a:effectLst/>
        </c:spPr>
      </c:pivotFmt>
      <c:pivotFmt>
        <c:idx val="821"/>
        <c:spPr>
          <a:solidFill>
            <a:schemeClr val="accent1"/>
          </a:solidFill>
          <a:ln w="19050">
            <a:solidFill>
              <a:schemeClr val="lt1"/>
            </a:solidFill>
          </a:ln>
          <a:effectLst/>
        </c:spPr>
      </c:pivotFmt>
      <c:pivotFmt>
        <c:idx val="822"/>
        <c:spPr>
          <a:solidFill>
            <a:schemeClr val="accent1"/>
          </a:solidFill>
          <a:ln w="19050">
            <a:solidFill>
              <a:schemeClr val="lt1"/>
            </a:solidFill>
          </a:ln>
          <a:effectLst/>
        </c:spPr>
      </c:pivotFmt>
      <c:pivotFmt>
        <c:idx val="823"/>
        <c:spPr>
          <a:solidFill>
            <a:schemeClr val="accent1"/>
          </a:solidFill>
          <a:ln w="19050">
            <a:solidFill>
              <a:schemeClr val="lt1"/>
            </a:solidFill>
          </a:ln>
          <a:effectLst/>
        </c:spPr>
      </c:pivotFmt>
      <c:pivotFmt>
        <c:idx val="824"/>
        <c:spPr>
          <a:solidFill>
            <a:schemeClr val="accent1"/>
          </a:solidFill>
          <a:ln w="19050">
            <a:solidFill>
              <a:schemeClr val="lt1"/>
            </a:solidFill>
          </a:ln>
          <a:effectLst/>
        </c:spPr>
      </c:pivotFmt>
      <c:pivotFmt>
        <c:idx val="825"/>
        <c:spPr>
          <a:solidFill>
            <a:schemeClr val="accent1"/>
          </a:solidFill>
          <a:ln w="19050">
            <a:solidFill>
              <a:schemeClr val="lt1"/>
            </a:solidFill>
          </a:ln>
          <a:effectLst/>
        </c:spPr>
      </c:pivotFmt>
      <c:pivotFmt>
        <c:idx val="826"/>
        <c:spPr>
          <a:solidFill>
            <a:schemeClr val="accent1"/>
          </a:solidFill>
          <a:ln w="19050">
            <a:solidFill>
              <a:schemeClr val="lt1"/>
            </a:solidFill>
          </a:ln>
          <a:effectLst/>
        </c:spPr>
      </c:pivotFmt>
      <c:pivotFmt>
        <c:idx val="827"/>
        <c:spPr>
          <a:solidFill>
            <a:schemeClr val="accent1"/>
          </a:solidFill>
          <a:ln w="19050">
            <a:solidFill>
              <a:schemeClr val="lt1"/>
            </a:solidFill>
          </a:ln>
          <a:effectLst/>
        </c:spPr>
      </c:pivotFmt>
      <c:pivotFmt>
        <c:idx val="828"/>
        <c:spPr>
          <a:solidFill>
            <a:schemeClr val="accent1"/>
          </a:solidFill>
          <a:ln w="19050">
            <a:solidFill>
              <a:schemeClr val="lt1"/>
            </a:solidFill>
          </a:ln>
          <a:effectLst/>
        </c:spPr>
      </c:pivotFmt>
      <c:pivotFmt>
        <c:idx val="829"/>
        <c:spPr>
          <a:solidFill>
            <a:schemeClr val="accent1"/>
          </a:solidFill>
          <a:ln w="19050">
            <a:solidFill>
              <a:schemeClr val="lt1"/>
            </a:solidFill>
          </a:ln>
          <a:effectLst/>
        </c:spPr>
      </c:pivotFmt>
      <c:pivotFmt>
        <c:idx val="830"/>
        <c:spPr>
          <a:solidFill>
            <a:schemeClr val="accent1"/>
          </a:solidFill>
          <a:ln w="19050">
            <a:solidFill>
              <a:schemeClr val="lt1"/>
            </a:solidFill>
          </a:ln>
          <a:effectLst/>
        </c:spPr>
      </c:pivotFmt>
      <c:pivotFmt>
        <c:idx val="831"/>
        <c:spPr>
          <a:solidFill>
            <a:schemeClr val="accent1"/>
          </a:solidFill>
          <a:ln w="19050">
            <a:solidFill>
              <a:schemeClr val="lt1"/>
            </a:solidFill>
          </a:ln>
          <a:effectLst/>
        </c:spPr>
      </c:pivotFmt>
      <c:pivotFmt>
        <c:idx val="832"/>
        <c:spPr>
          <a:solidFill>
            <a:schemeClr val="accent1"/>
          </a:solidFill>
          <a:ln w="19050">
            <a:solidFill>
              <a:schemeClr val="lt1"/>
            </a:solidFill>
          </a:ln>
          <a:effectLst/>
        </c:spPr>
      </c:pivotFmt>
      <c:pivotFmt>
        <c:idx val="833"/>
        <c:spPr>
          <a:solidFill>
            <a:schemeClr val="accent1"/>
          </a:solidFill>
          <a:ln w="19050">
            <a:solidFill>
              <a:schemeClr val="lt1"/>
            </a:solidFill>
          </a:ln>
          <a:effectLst/>
        </c:spPr>
      </c:pivotFmt>
      <c:pivotFmt>
        <c:idx val="834"/>
        <c:spPr>
          <a:solidFill>
            <a:schemeClr val="accent1"/>
          </a:solidFill>
          <a:ln w="19050">
            <a:solidFill>
              <a:schemeClr val="lt1"/>
            </a:solidFill>
          </a:ln>
          <a:effectLst/>
        </c:spPr>
      </c:pivotFmt>
      <c:pivotFmt>
        <c:idx val="835"/>
        <c:spPr>
          <a:solidFill>
            <a:schemeClr val="accent1"/>
          </a:solidFill>
          <a:ln w="19050">
            <a:solidFill>
              <a:schemeClr val="lt1"/>
            </a:solidFill>
          </a:ln>
          <a:effectLst/>
        </c:spPr>
      </c:pivotFmt>
      <c:pivotFmt>
        <c:idx val="836"/>
        <c:spPr>
          <a:solidFill>
            <a:schemeClr val="accent1"/>
          </a:solidFill>
          <a:ln w="19050">
            <a:solidFill>
              <a:schemeClr val="lt1"/>
            </a:solidFill>
          </a:ln>
          <a:effectLst/>
        </c:spPr>
      </c:pivotFmt>
      <c:pivotFmt>
        <c:idx val="837"/>
        <c:spPr>
          <a:solidFill>
            <a:schemeClr val="accent1"/>
          </a:solidFill>
          <a:ln w="19050">
            <a:solidFill>
              <a:schemeClr val="lt1"/>
            </a:solidFill>
          </a:ln>
          <a:effectLst/>
        </c:spPr>
      </c:pivotFmt>
      <c:pivotFmt>
        <c:idx val="838"/>
        <c:spPr>
          <a:solidFill>
            <a:schemeClr val="accent1"/>
          </a:solidFill>
          <a:ln w="19050">
            <a:solidFill>
              <a:schemeClr val="lt1"/>
            </a:solidFill>
          </a:ln>
          <a:effectLst/>
        </c:spPr>
      </c:pivotFmt>
      <c:pivotFmt>
        <c:idx val="839"/>
        <c:spPr>
          <a:solidFill>
            <a:schemeClr val="accent1"/>
          </a:solidFill>
          <a:ln w="19050">
            <a:solidFill>
              <a:schemeClr val="lt1"/>
            </a:solidFill>
          </a:ln>
          <a:effectLst/>
        </c:spPr>
      </c:pivotFmt>
      <c:pivotFmt>
        <c:idx val="840"/>
        <c:spPr>
          <a:solidFill>
            <a:schemeClr val="accent1"/>
          </a:solidFill>
          <a:ln w="19050">
            <a:solidFill>
              <a:schemeClr val="lt1"/>
            </a:solidFill>
          </a:ln>
          <a:effectLst/>
        </c:spPr>
      </c:pivotFmt>
      <c:pivotFmt>
        <c:idx val="841"/>
        <c:spPr>
          <a:solidFill>
            <a:schemeClr val="accent1"/>
          </a:solidFill>
          <a:ln w="19050">
            <a:solidFill>
              <a:schemeClr val="lt1"/>
            </a:solidFill>
          </a:ln>
          <a:effectLst/>
        </c:spPr>
      </c:pivotFmt>
      <c:pivotFmt>
        <c:idx val="842"/>
        <c:spPr>
          <a:solidFill>
            <a:schemeClr val="accent1"/>
          </a:solidFill>
          <a:ln w="19050">
            <a:solidFill>
              <a:schemeClr val="lt1"/>
            </a:solidFill>
          </a:ln>
          <a:effectLst/>
        </c:spPr>
      </c:pivotFmt>
      <c:pivotFmt>
        <c:idx val="843"/>
        <c:spPr>
          <a:solidFill>
            <a:schemeClr val="accent1"/>
          </a:solidFill>
          <a:ln w="19050">
            <a:solidFill>
              <a:schemeClr val="lt1"/>
            </a:solidFill>
          </a:ln>
          <a:effectLst/>
        </c:spPr>
      </c:pivotFmt>
      <c:pivotFmt>
        <c:idx val="844"/>
        <c:spPr>
          <a:solidFill>
            <a:schemeClr val="accent1"/>
          </a:solidFill>
          <a:ln w="19050">
            <a:solidFill>
              <a:schemeClr val="lt1"/>
            </a:solidFill>
          </a:ln>
          <a:effectLst/>
        </c:spPr>
      </c:pivotFmt>
      <c:pivotFmt>
        <c:idx val="845"/>
        <c:spPr>
          <a:solidFill>
            <a:schemeClr val="accent1"/>
          </a:solidFill>
          <a:ln w="19050">
            <a:solidFill>
              <a:schemeClr val="lt1"/>
            </a:solidFill>
          </a:ln>
          <a:effectLst/>
        </c:spPr>
      </c:pivotFmt>
      <c:pivotFmt>
        <c:idx val="846"/>
        <c:spPr>
          <a:solidFill>
            <a:schemeClr val="accent1"/>
          </a:solidFill>
          <a:ln w="19050">
            <a:solidFill>
              <a:schemeClr val="lt1"/>
            </a:solidFill>
          </a:ln>
          <a:effectLst/>
        </c:spPr>
      </c:pivotFmt>
      <c:pivotFmt>
        <c:idx val="847"/>
        <c:spPr>
          <a:solidFill>
            <a:schemeClr val="accent1"/>
          </a:solidFill>
          <a:ln w="19050">
            <a:solidFill>
              <a:schemeClr val="lt1"/>
            </a:solidFill>
          </a:ln>
          <a:effectLst/>
        </c:spPr>
      </c:pivotFmt>
      <c:pivotFmt>
        <c:idx val="848"/>
        <c:spPr>
          <a:solidFill>
            <a:schemeClr val="accent1"/>
          </a:solidFill>
          <a:ln w="19050">
            <a:solidFill>
              <a:schemeClr val="lt1"/>
            </a:solidFill>
          </a:ln>
          <a:effectLst/>
        </c:spPr>
      </c:pivotFmt>
      <c:pivotFmt>
        <c:idx val="849"/>
        <c:spPr>
          <a:solidFill>
            <a:schemeClr val="accent1"/>
          </a:solidFill>
          <a:ln w="19050">
            <a:solidFill>
              <a:schemeClr val="lt1"/>
            </a:solidFill>
          </a:ln>
          <a:effectLst/>
        </c:spPr>
      </c:pivotFmt>
      <c:pivotFmt>
        <c:idx val="850"/>
        <c:spPr>
          <a:solidFill>
            <a:schemeClr val="accent1"/>
          </a:solidFill>
          <a:ln w="19050">
            <a:solidFill>
              <a:schemeClr val="lt1"/>
            </a:solidFill>
          </a:ln>
          <a:effectLst/>
        </c:spPr>
      </c:pivotFmt>
      <c:pivotFmt>
        <c:idx val="851"/>
        <c:spPr>
          <a:solidFill>
            <a:schemeClr val="accent1"/>
          </a:solidFill>
          <a:ln w="19050">
            <a:solidFill>
              <a:schemeClr val="lt1"/>
            </a:solidFill>
          </a:ln>
          <a:effectLst/>
        </c:spPr>
      </c:pivotFmt>
      <c:pivotFmt>
        <c:idx val="852"/>
        <c:spPr>
          <a:solidFill>
            <a:schemeClr val="accent1"/>
          </a:solidFill>
          <a:ln w="19050">
            <a:solidFill>
              <a:schemeClr val="lt1"/>
            </a:solidFill>
          </a:ln>
          <a:effectLst/>
        </c:spPr>
      </c:pivotFmt>
      <c:pivotFmt>
        <c:idx val="853"/>
        <c:spPr>
          <a:solidFill>
            <a:schemeClr val="accent1"/>
          </a:solidFill>
          <a:ln w="19050">
            <a:solidFill>
              <a:schemeClr val="lt1"/>
            </a:solidFill>
          </a:ln>
          <a:effectLst/>
        </c:spPr>
      </c:pivotFmt>
      <c:pivotFmt>
        <c:idx val="854"/>
        <c:spPr>
          <a:solidFill>
            <a:schemeClr val="accent1"/>
          </a:solidFill>
          <a:ln w="19050">
            <a:solidFill>
              <a:schemeClr val="lt1"/>
            </a:solidFill>
          </a:ln>
          <a:effectLst/>
        </c:spPr>
      </c:pivotFmt>
      <c:pivotFmt>
        <c:idx val="855"/>
        <c:spPr>
          <a:solidFill>
            <a:schemeClr val="accent1"/>
          </a:solidFill>
          <a:ln w="19050">
            <a:solidFill>
              <a:schemeClr val="lt1"/>
            </a:solidFill>
          </a:ln>
          <a:effectLst/>
        </c:spPr>
      </c:pivotFmt>
      <c:pivotFmt>
        <c:idx val="856"/>
        <c:spPr>
          <a:solidFill>
            <a:schemeClr val="accent1"/>
          </a:solidFill>
          <a:ln w="19050">
            <a:solidFill>
              <a:schemeClr val="lt1"/>
            </a:solidFill>
          </a:ln>
          <a:effectLst/>
        </c:spPr>
      </c:pivotFmt>
      <c:pivotFmt>
        <c:idx val="857"/>
        <c:spPr>
          <a:solidFill>
            <a:schemeClr val="accent1"/>
          </a:solidFill>
          <a:ln w="19050">
            <a:solidFill>
              <a:schemeClr val="lt1"/>
            </a:solidFill>
          </a:ln>
          <a:effectLst/>
        </c:spPr>
      </c:pivotFmt>
      <c:pivotFmt>
        <c:idx val="858"/>
        <c:spPr>
          <a:solidFill>
            <a:schemeClr val="accent1"/>
          </a:solidFill>
          <a:ln w="19050">
            <a:solidFill>
              <a:schemeClr val="lt1"/>
            </a:solidFill>
          </a:ln>
          <a:effectLst/>
        </c:spPr>
      </c:pivotFmt>
      <c:pivotFmt>
        <c:idx val="859"/>
        <c:spPr>
          <a:solidFill>
            <a:schemeClr val="accent1"/>
          </a:solidFill>
          <a:ln w="19050">
            <a:solidFill>
              <a:schemeClr val="lt1"/>
            </a:solidFill>
          </a:ln>
          <a:effectLst/>
        </c:spPr>
      </c:pivotFmt>
      <c:pivotFmt>
        <c:idx val="860"/>
        <c:spPr>
          <a:solidFill>
            <a:schemeClr val="accent1"/>
          </a:solidFill>
          <a:ln w="19050">
            <a:solidFill>
              <a:schemeClr val="lt1"/>
            </a:solidFill>
          </a:ln>
          <a:effectLst/>
        </c:spPr>
      </c:pivotFmt>
      <c:pivotFmt>
        <c:idx val="861"/>
        <c:spPr>
          <a:solidFill>
            <a:schemeClr val="accent1"/>
          </a:solidFill>
          <a:ln w="19050">
            <a:solidFill>
              <a:schemeClr val="lt1"/>
            </a:solidFill>
          </a:ln>
          <a:effectLst/>
        </c:spPr>
      </c:pivotFmt>
      <c:pivotFmt>
        <c:idx val="862"/>
        <c:spPr>
          <a:solidFill>
            <a:schemeClr val="accent1"/>
          </a:solidFill>
          <a:ln w="19050">
            <a:solidFill>
              <a:schemeClr val="lt1"/>
            </a:solidFill>
          </a:ln>
          <a:effectLst/>
        </c:spPr>
      </c:pivotFmt>
      <c:pivotFmt>
        <c:idx val="863"/>
        <c:spPr>
          <a:solidFill>
            <a:schemeClr val="accent1"/>
          </a:solidFill>
          <a:ln w="19050">
            <a:solidFill>
              <a:schemeClr val="lt1"/>
            </a:solidFill>
          </a:ln>
          <a:effectLst/>
        </c:spPr>
      </c:pivotFmt>
      <c:pivotFmt>
        <c:idx val="864"/>
        <c:spPr>
          <a:solidFill>
            <a:schemeClr val="accent1"/>
          </a:solidFill>
          <a:ln w="19050">
            <a:solidFill>
              <a:schemeClr val="lt1"/>
            </a:solidFill>
          </a:ln>
          <a:effectLst/>
        </c:spPr>
      </c:pivotFmt>
      <c:pivotFmt>
        <c:idx val="865"/>
        <c:spPr>
          <a:solidFill>
            <a:schemeClr val="accent1"/>
          </a:solidFill>
          <a:ln w="19050">
            <a:solidFill>
              <a:schemeClr val="lt1"/>
            </a:solidFill>
          </a:ln>
          <a:effectLst/>
        </c:spPr>
      </c:pivotFmt>
      <c:pivotFmt>
        <c:idx val="866"/>
        <c:spPr>
          <a:solidFill>
            <a:schemeClr val="accent1"/>
          </a:solidFill>
          <a:ln w="19050">
            <a:solidFill>
              <a:schemeClr val="lt1"/>
            </a:solidFill>
          </a:ln>
          <a:effectLst/>
        </c:spPr>
      </c:pivotFmt>
      <c:pivotFmt>
        <c:idx val="867"/>
        <c:spPr>
          <a:solidFill>
            <a:schemeClr val="accent1"/>
          </a:solidFill>
          <a:ln w="19050">
            <a:solidFill>
              <a:schemeClr val="lt1"/>
            </a:solidFill>
          </a:ln>
          <a:effectLst/>
        </c:spPr>
      </c:pivotFmt>
      <c:pivotFmt>
        <c:idx val="868"/>
        <c:spPr>
          <a:solidFill>
            <a:schemeClr val="accent1"/>
          </a:solidFill>
          <a:ln w="19050">
            <a:solidFill>
              <a:schemeClr val="lt1"/>
            </a:solidFill>
          </a:ln>
          <a:effectLst/>
        </c:spPr>
      </c:pivotFmt>
      <c:pivotFmt>
        <c:idx val="869"/>
        <c:spPr>
          <a:solidFill>
            <a:schemeClr val="accent1"/>
          </a:solidFill>
          <a:ln w="19050">
            <a:solidFill>
              <a:schemeClr val="lt1"/>
            </a:solidFill>
          </a:ln>
          <a:effectLst/>
        </c:spPr>
      </c:pivotFmt>
      <c:pivotFmt>
        <c:idx val="870"/>
        <c:spPr>
          <a:solidFill>
            <a:schemeClr val="accent1"/>
          </a:solidFill>
          <a:ln w="19050">
            <a:solidFill>
              <a:schemeClr val="lt1"/>
            </a:solidFill>
          </a:ln>
          <a:effectLst/>
        </c:spPr>
      </c:pivotFmt>
      <c:pivotFmt>
        <c:idx val="871"/>
        <c:spPr>
          <a:solidFill>
            <a:schemeClr val="accent1"/>
          </a:solidFill>
          <a:ln w="19050">
            <a:solidFill>
              <a:schemeClr val="lt1"/>
            </a:solidFill>
          </a:ln>
          <a:effectLst/>
        </c:spPr>
      </c:pivotFmt>
      <c:pivotFmt>
        <c:idx val="872"/>
        <c:spPr>
          <a:solidFill>
            <a:schemeClr val="accent1"/>
          </a:solidFill>
          <a:ln w="19050">
            <a:solidFill>
              <a:schemeClr val="lt1"/>
            </a:solidFill>
          </a:ln>
          <a:effectLst/>
        </c:spPr>
      </c:pivotFmt>
      <c:pivotFmt>
        <c:idx val="873"/>
        <c:spPr>
          <a:solidFill>
            <a:schemeClr val="accent1"/>
          </a:solidFill>
          <a:ln w="19050">
            <a:solidFill>
              <a:schemeClr val="lt1"/>
            </a:solidFill>
          </a:ln>
          <a:effectLst/>
        </c:spPr>
      </c:pivotFmt>
      <c:pivotFmt>
        <c:idx val="874"/>
        <c:spPr>
          <a:solidFill>
            <a:schemeClr val="accent1"/>
          </a:solidFill>
          <a:ln w="19050">
            <a:solidFill>
              <a:schemeClr val="lt1"/>
            </a:solidFill>
          </a:ln>
          <a:effectLst/>
        </c:spPr>
      </c:pivotFmt>
      <c:pivotFmt>
        <c:idx val="875"/>
        <c:spPr>
          <a:solidFill>
            <a:schemeClr val="accent1"/>
          </a:solidFill>
          <a:ln w="19050">
            <a:solidFill>
              <a:schemeClr val="lt1"/>
            </a:solidFill>
          </a:ln>
          <a:effectLst/>
        </c:spPr>
      </c:pivotFmt>
      <c:pivotFmt>
        <c:idx val="876"/>
        <c:spPr>
          <a:solidFill>
            <a:schemeClr val="accent1"/>
          </a:solidFill>
          <a:ln w="19050">
            <a:solidFill>
              <a:schemeClr val="lt1"/>
            </a:solidFill>
          </a:ln>
          <a:effectLst/>
        </c:spPr>
      </c:pivotFmt>
      <c:pivotFmt>
        <c:idx val="877"/>
        <c:spPr>
          <a:solidFill>
            <a:schemeClr val="accent1"/>
          </a:solidFill>
          <a:ln w="19050">
            <a:solidFill>
              <a:schemeClr val="lt1"/>
            </a:solidFill>
          </a:ln>
          <a:effectLst/>
        </c:spPr>
      </c:pivotFmt>
      <c:pivotFmt>
        <c:idx val="878"/>
        <c:spPr>
          <a:solidFill>
            <a:schemeClr val="accent1"/>
          </a:solidFill>
          <a:ln w="19050">
            <a:solidFill>
              <a:schemeClr val="lt1"/>
            </a:solidFill>
          </a:ln>
          <a:effectLst/>
        </c:spPr>
      </c:pivotFmt>
      <c:pivotFmt>
        <c:idx val="879"/>
        <c:spPr>
          <a:solidFill>
            <a:schemeClr val="accent1"/>
          </a:solidFill>
          <a:ln w="19050">
            <a:solidFill>
              <a:schemeClr val="lt1"/>
            </a:solidFill>
          </a:ln>
          <a:effectLst/>
        </c:spPr>
      </c:pivotFmt>
      <c:pivotFmt>
        <c:idx val="880"/>
        <c:spPr>
          <a:solidFill>
            <a:schemeClr val="accent1"/>
          </a:solidFill>
          <a:ln w="19050">
            <a:solidFill>
              <a:schemeClr val="lt1"/>
            </a:solidFill>
          </a:ln>
          <a:effectLst/>
        </c:spPr>
      </c:pivotFmt>
      <c:pivotFmt>
        <c:idx val="881"/>
        <c:spPr>
          <a:solidFill>
            <a:schemeClr val="accent1"/>
          </a:solidFill>
          <a:ln w="19050">
            <a:solidFill>
              <a:schemeClr val="lt1"/>
            </a:solidFill>
          </a:ln>
          <a:effectLst/>
        </c:spPr>
      </c:pivotFmt>
      <c:pivotFmt>
        <c:idx val="882"/>
        <c:spPr>
          <a:solidFill>
            <a:schemeClr val="accent1"/>
          </a:solidFill>
          <a:ln w="19050">
            <a:solidFill>
              <a:schemeClr val="lt1"/>
            </a:solidFill>
          </a:ln>
          <a:effectLst/>
        </c:spPr>
      </c:pivotFmt>
      <c:pivotFmt>
        <c:idx val="883"/>
        <c:spPr>
          <a:solidFill>
            <a:schemeClr val="accent1"/>
          </a:solidFill>
          <a:ln w="19050">
            <a:solidFill>
              <a:schemeClr val="lt1"/>
            </a:solidFill>
          </a:ln>
          <a:effectLst/>
        </c:spPr>
      </c:pivotFmt>
      <c:pivotFmt>
        <c:idx val="884"/>
        <c:spPr>
          <a:solidFill>
            <a:schemeClr val="accent1"/>
          </a:solidFill>
          <a:ln w="19050">
            <a:solidFill>
              <a:schemeClr val="lt1"/>
            </a:solidFill>
          </a:ln>
          <a:effectLst/>
        </c:spPr>
      </c:pivotFmt>
      <c:pivotFmt>
        <c:idx val="885"/>
        <c:spPr>
          <a:solidFill>
            <a:schemeClr val="accent1"/>
          </a:solidFill>
          <a:ln w="19050">
            <a:solidFill>
              <a:schemeClr val="lt1"/>
            </a:solidFill>
          </a:ln>
          <a:effectLst/>
        </c:spPr>
      </c:pivotFmt>
      <c:pivotFmt>
        <c:idx val="886"/>
        <c:spPr>
          <a:solidFill>
            <a:schemeClr val="accent1"/>
          </a:solidFill>
          <a:ln w="19050">
            <a:solidFill>
              <a:schemeClr val="lt1"/>
            </a:solidFill>
          </a:ln>
          <a:effectLst/>
        </c:spPr>
      </c:pivotFmt>
      <c:pivotFmt>
        <c:idx val="887"/>
        <c:spPr>
          <a:solidFill>
            <a:schemeClr val="accent1"/>
          </a:solidFill>
          <a:ln w="19050">
            <a:solidFill>
              <a:schemeClr val="lt1"/>
            </a:solidFill>
          </a:ln>
          <a:effectLst/>
        </c:spPr>
      </c:pivotFmt>
      <c:pivotFmt>
        <c:idx val="888"/>
        <c:spPr>
          <a:solidFill>
            <a:schemeClr val="accent1"/>
          </a:solidFill>
          <a:ln w="19050">
            <a:solidFill>
              <a:schemeClr val="lt1"/>
            </a:solidFill>
          </a:ln>
          <a:effectLst/>
        </c:spPr>
      </c:pivotFmt>
      <c:pivotFmt>
        <c:idx val="889"/>
        <c:spPr>
          <a:solidFill>
            <a:schemeClr val="accent1"/>
          </a:solidFill>
          <a:ln w="19050">
            <a:solidFill>
              <a:schemeClr val="lt1"/>
            </a:solidFill>
          </a:ln>
          <a:effectLst/>
        </c:spPr>
      </c:pivotFmt>
      <c:pivotFmt>
        <c:idx val="89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1"/>
        <c:spPr>
          <a:solidFill>
            <a:schemeClr val="accent1"/>
          </a:solidFill>
          <a:ln w="19050">
            <a:solidFill>
              <a:schemeClr val="lt1"/>
            </a:solidFill>
          </a:ln>
          <a:effectLst/>
        </c:spPr>
      </c:pivotFmt>
      <c:pivotFmt>
        <c:idx val="892"/>
        <c:spPr>
          <a:solidFill>
            <a:schemeClr val="accent1"/>
          </a:solidFill>
          <a:ln w="19050">
            <a:solidFill>
              <a:schemeClr val="lt1"/>
            </a:solidFill>
          </a:ln>
          <a:effectLst/>
        </c:spPr>
      </c:pivotFmt>
      <c:pivotFmt>
        <c:idx val="893"/>
        <c:spPr>
          <a:solidFill>
            <a:schemeClr val="accent1"/>
          </a:solidFill>
          <a:ln w="19050">
            <a:solidFill>
              <a:schemeClr val="lt1"/>
            </a:solidFill>
          </a:ln>
          <a:effectLst/>
        </c:spPr>
      </c:pivotFmt>
      <c:pivotFmt>
        <c:idx val="894"/>
        <c:spPr>
          <a:solidFill>
            <a:schemeClr val="accent1"/>
          </a:solidFill>
          <a:ln w="19050">
            <a:solidFill>
              <a:schemeClr val="lt1"/>
            </a:solidFill>
          </a:ln>
          <a:effectLst/>
        </c:spPr>
      </c:pivotFmt>
      <c:pivotFmt>
        <c:idx val="895"/>
        <c:spPr>
          <a:solidFill>
            <a:schemeClr val="accent1"/>
          </a:solidFill>
          <a:ln w="19050">
            <a:solidFill>
              <a:schemeClr val="lt1"/>
            </a:solidFill>
          </a:ln>
          <a:effectLst/>
        </c:spPr>
      </c:pivotFmt>
      <c:pivotFmt>
        <c:idx val="896"/>
        <c:spPr>
          <a:solidFill>
            <a:schemeClr val="accent1"/>
          </a:solidFill>
          <a:ln w="19050">
            <a:solidFill>
              <a:schemeClr val="lt1"/>
            </a:solidFill>
          </a:ln>
          <a:effectLst/>
        </c:spPr>
      </c:pivotFmt>
      <c:pivotFmt>
        <c:idx val="897"/>
        <c:spPr>
          <a:solidFill>
            <a:schemeClr val="accent1"/>
          </a:solidFill>
          <a:ln w="19050">
            <a:solidFill>
              <a:schemeClr val="lt1"/>
            </a:solidFill>
          </a:ln>
          <a:effectLst/>
        </c:spPr>
      </c:pivotFmt>
      <c:pivotFmt>
        <c:idx val="898"/>
        <c:spPr>
          <a:solidFill>
            <a:schemeClr val="accent1"/>
          </a:solidFill>
          <a:ln w="19050">
            <a:solidFill>
              <a:schemeClr val="lt1"/>
            </a:solidFill>
          </a:ln>
          <a:effectLst/>
        </c:spPr>
      </c:pivotFmt>
      <c:pivotFmt>
        <c:idx val="899"/>
        <c:spPr>
          <a:solidFill>
            <a:schemeClr val="accent1"/>
          </a:solidFill>
          <a:ln w="19050">
            <a:solidFill>
              <a:schemeClr val="lt1"/>
            </a:solidFill>
          </a:ln>
          <a:effectLst/>
        </c:spPr>
      </c:pivotFmt>
      <c:pivotFmt>
        <c:idx val="900"/>
        <c:spPr>
          <a:solidFill>
            <a:schemeClr val="accent1"/>
          </a:solidFill>
          <a:ln w="19050">
            <a:solidFill>
              <a:schemeClr val="lt1"/>
            </a:solidFill>
          </a:ln>
          <a:effectLst/>
        </c:spPr>
      </c:pivotFmt>
      <c:pivotFmt>
        <c:idx val="901"/>
        <c:spPr>
          <a:solidFill>
            <a:schemeClr val="accent1"/>
          </a:solidFill>
          <a:ln w="19050">
            <a:solidFill>
              <a:schemeClr val="lt1"/>
            </a:solidFill>
          </a:ln>
          <a:effectLst/>
        </c:spPr>
      </c:pivotFmt>
      <c:pivotFmt>
        <c:idx val="902"/>
        <c:spPr>
          <a:solidFill>
            <a:schemeClr val="accent1"/>
          </a:solidFill>
          <a:ln w="19050">
            <a:solidFill>
              <a:schemeClr val="lt1"/>
            </a:solidFill>
          </a:ln>
          <a:effectLst/>
        </c:spPr>
      </c:pivotFmt>
      <c:pivotFmt>
        <c:idx val="903"/>
        <c:spPr>
          <a:solidFill>
            <a:schemeClr val="accent1"/>
          </a:solidFill>
          <a:ln w="19050">
            <a:solidFill>
              <a:schemeClr val="lt1"/>
            </a:solidFill>
          </a:ln>
          <a:effectLst/>
        </c:spPr>
      </c:pivotFmt>
      <c:pivotFmt>
        <c:idx val="904"/>
        <c:spPr>
          <a:solidFill>
            <a:schemeClr val="accent1"/>
          </a:solidFill>
          <a:ln w="19050">
            <a:solidFill>
              <a:schemeClr val="lt1"/>
            </a:solidFill>
          </a:ln>
          <a:effectLst/>
        </c:spPr>
      </c:pivotFmt>
      <c:pivotFmt>
        <c:idx val="905"/>
        <c:spPr>
          <a:solidFill>
            <a:schemeClr val="accent1"/>
          </a:solidFill>
          <a:ln w="19050">
            <a:solidFill>
              <a:schemeClr val="lt1"/>
            </a:solidFill>
          </a:ln>
          <a:effectLst/>
        </c:spPr>
      </c:pivotFmt>
      <c:pivotFmt>
        <c:idx val="906"/>
        <c:spPr>
          <a:solidFill>
            <a:schemeClr val="accent1"/>
          </a:solidFill>
          <a:ln w="19050">
            <a:solidFill>
              <a:schemeClr val="lt1"/>
            </a:solidFill>
          </a:ln>
          <a:effectLst/>
        </c:spPr>
      </c:pivotFmt>
      <c:pivotFmt>
        <c:idx val="907"/>
        <c:spPr>
          <a:solidFill>
            <a:schemeClr val="accent1"/>
          </a:solidFill>
          <a:ln w="19050">
            <a:solidFill>
              <a:schemeClr val="lt1"/>
            </a:solidFill>
          </a:ln>
          <a:effectLst/>
        </c:spPr>
      </c:pivotFmt>
      <c:pivotFmt>
        <c:idx val="908"/>
        <c:spPr>
          <a:solidFill>
            <a:schemeClr val="accent1"/>
          </a:solidFill>
          <a:ln w="19050">
            <a:solidFill>
              <a:schemeClr val="lt1"/>
            </a:solidFill>
          </a:ln>
          <a:effectLst/>
        </c:spPr>
      </c:pivotFmt>
      <c:pivotFmt>
        <c:idx val="909"/>
        <c:spPr>
          <a:solidFill>
            <a:schemeClr val="accent1"/>
          </a:solidFill>
          <a:ln w="19050">
            <a:solidFill>
              <a:schemeClr val="lt1"/>
            </a:solidFill>
          </a:ln>
          <a:effectLst/>
        </c:spPr>
      </c:pivotFmt>
      <c:pivotFmt>
        <c:idx val="910"/>
        <c:spPr>
          <a:solidFill>
            <a:schemeClr val="accent1"/>
          </a:solidFill>
          <a:ln w="19050">
            <a:solidFill>
              <a:schemeClr val="lt1"/>
            </a:solidFill>
          </a:ln>
          <a:effectLst/>
        </c:spPr>
      </c:pivotFmt>
      <c:pivotFmt>
        <c:idx val="911"/>
        <c:spPr>
          <a:solidFill>
            <a:schemeClr val="accent1"/>
          </a:solidFill>
          <a:ln w="19050">
            <a:solidFill>
              <a:schemeClr val="lt1"/>
            </a:solidFill>
          </a:ln>
          <a:effectLst/>
        </c:spPr>
      </c:pivotFmt>
      <c:pivotFmt>
        <c:idx val="912"/>
        <c:spPr>
          <a:solidFill>
            <a:schemeClr val="accent1"/>
          </a:solidFill>
          <a:ln w="19050">
            <a:solidFill>
              <a:schemeClr val="lt1"/>
            </a:solidFill>
          </a:ln>
          <a:effectLst/>
        </c:spPr>
      </c:pivotFmt>
      <c:pivotFmt>
        <c:idx val="913"/>
        <c:spPr>
          <a:solidFill>
            <a:schemeClr val="accent1"/>
          </a:solidFill>
          <a:ln w="19050">
            <a:solidFill>
              <a:schemeClr val="lt1"/>
            </a:solidFill>
          </a:ln>
          <a:effectLst/>
        </c:spPr>
      </c:pivotFmt>
      <c:pivotFmt>
        <c:idx val="914"/>
        <c:spPr>
          <a:solidFill>
            <a:schemeClr val="accent1"/>
          </a:solidFill>
          <a:ln w="19050">
            <a:solidFill>
              <a:schemeClr val="lt1"/>
            </a:solidFill>
          </a:ln>
          <a:effectLst/>
        </c:spPr>
      </c:pivotFmt>
      <c:pivotFmt>
        <c:idx val="915"/>
        <c:spPr>
          <a:solidFill>
            <a:schemeClr val="accent1"/>
          </a:solidFill>
          <a:ln w="19050">
            <a:solidFill>
              <a:schemeClr val="lt1"/>
            </a:solidFill>
          </a:ln>
          <a:effectLst/>
        </c:spPr>
      </c:pivotFmt>
      <c:pivotFmt>
        <c:idx val="916"/>
        <c:spPr>
          <a:solidFill>
            <a:schemeClr val="accent1"/>
          </a:solidFill>
          <a:ln w="19050">
            <a:solidFill>
              <a:schemeClr val="lt1"/>
            </a:solidFill>
          </a:ln>
          <a:effectLst/>
        </c:spPr>
      </c:pivotFmt>
      <c:pivotFmt>
        <c:idx val="917"/>
        <c:spPr>
          <a:solidFill>
            <a:schemeClr val="accent1"/>
          </a:solidFill>
          <a:ln w="19050">
            <a:solidFill>
              <a:schemeClr val="lt1"/>
            </a:solidFill>
          </a:ln>
          <a:effectLst/>
        </c:spPr>
      </c:pivotFmt>
      <c:pivotFmt>
        <c:idx val="918"/>
        <c:spPr>
          <a:solidFill>
            <a:schemeClr val="accent1"/>
          </a:solidFill>
          <a:ln w="19050">
            <a:solidFill>
              <a:schemeClr val="lt1"/>
            </a:solidFill>
          </a:ln>
          <a:effectLst/>
        </c:spPr>
      </c:pivotFmt>
      <c:pivotFmt>
        <c:idx val="919"/>
        <c:spPr>
          <a:solidFill>
            <a:schemeClr val="accent1"/>
          </a:solidFill>
          <a:ln w="19050">
            <a:solidFill>
              <a:schemeClr val="lt1"/>
            </a:solidFill>
          </a:ln>
          <a:effectLst/>
        </c:spPr>
      </c:pivotFmt>
      <c:pivotFmt>
        <c:idx val="920"/>
        <c:spPr>
          <a:solidFill>
            <a:schemeClr val="accent1"/>
          </a:solidFill>
          <a:ln w="19050">
            <a:solidFill>
              <a:schemeClr val="lt1"/>
            </a:solidFill>
          </a:ln>
          <a:effectLst/>
        </c:spPr>
      </c:pivotFmt>
      <c:pivotFmt>
        <c:idx val="921"/>
        <c:spPr>
          <a:solidFill>
            <a:schemeClr val="accent1"/>
          </a:solidFill>
          <a:ln w="19050">
            <a:solidFill>
              <a:schemeClr val="lt1"/>
            </a:solidFill>
          </a:ln>
          <a:effectLst/>
        </c:spPr>
      </c:pivotFmt>
      <c:pivotFmt>
        <c:idx val="922"/>
        <c:spPr>
          <a:solidFill>
            <a:schemeClr val="accent1"/>
          </a:solidFill>
          <a:ln w="19050">
            <a:solidFill>
              <a:schemeClr val="lt1"/>
            </a:solidFill>
          </a:ln>
          <a:effectLst/>
        </c:spPr>
      </c:pivotFmt>
      <c:pivotFmt>
        <c:idx val="923"/>
        <c:spPr>
          <a:solidFill>
            <a:schemeClr val="accent1"/>
          </a:solidFill>
          <a:ln w="19050">
            <a:solidFill>
              <a:schemeClr val="lt1"/>
            </a:solidFill>
          </a:ln>
          <a:effectLst/>
        </c:spPr>
      </c:pivotFmt>
      <c:pivotFmt>
        <c:idx val="924"/>
        <c:spPr>
          <a:solidFill>
            <a:schemeClr val="accent1"/>
          </a:solidFill>
          <a:ln w="19050">
            <a:solidFill>
              <a:schemeClr val="lt1"/>
            </a:solidFill>
          </a:ln>
          <a:effectLst/>
        </c:spPr>
      </c:pivotFmt>
      <c:pivotFmt>
        <c:idx val="925"/>
        <c:spPr>
          <a:solidFill>
            <a:schemeClr val="accent1"/>
          </a:solidFill>
          <a:ln w="19050">
            <a:solidFill>
              <a:schemeClr val="lt1"/>
            </a:solidFill>
          </a:ln>
          <a:effectLst/>
        </c:spPr>
      </c:pivotFmt>
      <c:pivotFmt>
        <c:idx val="926"/>
        <c:spPr>
          <a:solidFill>
            <a:schemeClr val="accent1"/>
          </a:solidFill>
          <a:ln w="19050">
            <a:solidFill>
              <a:schemeClr val="lt1"/>
            </a:solidFill>
          </a:ln>
          <a:effectLst/>
        </c:spPr>
      </c:pivotFmt>
      <c:pivotFmt>
        <c:idx val="927"/>
        <c:spPr>
          <a:solidFill>
            <a:schemeClr val="accent1"/>
          </a:solidFill>
          <a:ln w="19050">
            <a:solidFill>
              <a:schemeClr val="lt1"/>
            </a:solidFill>
          </a:ln>
          <a:effectLst/>
        </c:spPr>
      </c:pivotFmt>
      <c:pivotFmt>
        <c:idx val="928"/>
        <c:spPr>
          <a:solidFill>
            <a:schemeClr val="accent1"/>
          </a:solidFill>
          <a:ln w="19050">
            <a:solidFill>
              <a:schemeClr val="lt1"/>
            </a:solidFill>
          </a:ln>
          <a:effectLst/>
        </c:spPr>
      </c:pivotFmt>
      <c:pivotFmt>
        <c:idx val="929"/>
        <c:spPr>
          <a:solidFill>
            <a:schemeClr val="accent1"/>
          </a:solidFill>
          <a:ln w="19050">
            <a:solidFill>
              <a:schemeClr val="lt1"/>
            </a:solidFill>
          </a:ln>
          <a:effectLst/>
        </c:spPr>
      </c:pivotFmt>
      <c:pivotFmt>
        <c:idx val="930"/>
        <c:spPr>
          <a:solidFill>
            <a:schemeClr val="accent1"/>
          </a:solidFill>
          <a:ln w="19050">
            <a:solidFill>
              <a:schemeClr val="lt1"/>
            </a:solidFill>
          </a:ln>
          <a:effectLst/>
        </c:spPr>
      </c:pivotFmt>
      <c:pivotFmt>
        <c:idx val="931"/>
        <c:spPr>
          <a:solidFill>
            <a:schemeClr val="accent1"/>
          </a:solidFill>
          <a:ln w="19050">
            <a:solidFill>
              <a:schemeClr val="lt1"/>
            </a:solidFill>
          </a:ln>
          <a:effectLst/>
        </c:spPr>
      </c:pivotFmt>
      <c:pivotFmt>
        <c:idx val="932"/>
        <c:spPr>
          <a:solidFill>
            <a:schemeClr val="accent1"/>
          </a:solidFill>
          <a:ln w="19050">
            <a:solidFill>
              <a:schemeClr val="lt1"/>
            </a:solidFill>
          </a:ln>
          <a:effectLst/>
        </c:spPr>
      </c:pivotFmt>
      <c:pivotFmt>
        <c:idx val="933"/>
        <c:spPr>
          <a:solidFill>
            <a:schemeClr val="accent1"/>
          </a:solidFill>
          <a:ln w="19050">
            <a:solidFill>
              <a:schemeClr val="lt1"/>
            </a:solidFill>
          </a:ln>
          <a:effectLst/>
        </c:spPr>
      </c:pivotFmt>
      <c:pivotFmt>
        <c:idx val="934"/>
        <c:spPr>
          <a:solidFill>
            <a:schemeClr val="accent1"/>
          </a:solidFill>
          <a:ln w="19050">
            <a:solidFill>
              <a:schemeClr val="lt1"/>
            </a:solidFill>
          </a:ln>
          <a:effectLst/>
        </c:spPr>
      </c:pivotFmt>
      <c:pivotFmt>
        <c:idx val="935"/>
        <c:spPr>
          <a:solidFill>
            <a:schemeClr val="accent1"/>
          </a:solidFill>
          <a:ln w="19050">
            <a:solidFill>
              <a:schemeClr val="lt1"/>
            </a:solidFill>
          </a:ln>
          <a:effectLst/>
        </c:spPr>
      </c:pivotFmt>
      <c:pivotFmt>
        <c:idx val="936"/>
        <c:spPr>
          <a:solidFill>
            <a:schemeClr val="accent1"/>
          </a:solidFill>
          <a:ln w="19050">
            <a:solidFill>
              <a:schemeClr val="lt1"/>
            </a:solidFill>
          </a:ln>
          <a:effectLst/>
        </c:spPr>
      </c:pivotFmt>
      <c:pivotFmt>
        <c:idx val="937"/>
        <c:spPr>
          <a:solidFill>
            <a:schemeClr val="accent1"/>
          </a:solidFill>
          <a:ln w="19050">
            <a:solidFill>
              <a:schemeClr val="lt1"/>
            </a:solidFill>
          </a:ln>
          <a:effectLst/>
        </c:spPr>
      </c:pivotFmt>
      <c:pivotFmt>
        <c:idx val="938"/>
        <c:spPr>
          <a:solidFill>
            <a:schemeClr val="accent1"/>
          </a:solidFill>
          <a:ln w="19050">
            <a:solidFill>
              <a:schemeClr val="lt1"/>
            </a:solidFill>
          </a:ln>
          <a:effectLst/>
        </c:spPr>
      </c:pivotFmt>
      <c:pivotFmt>
        <c:idx val="939"/>
        <c:spPr>
          <a:solidFill>
            <a:schemeClr val="accent1"/>
          </a:solidFill>
          <a:ln w="19050">
            <a:solidFill>
              <a:schemeClr val="lt1"/>
            </a:solidFill>
          </a:ln>
          <a:effectLst/>
        </c:spPr>
      </c:pivotFmt>
      <c:pivotFmt>
        <c:idx val="940"/>
        <c:spPr>
          <a:solidFill>
            <a:schemeClr val="accent1"/>
          </a:solidFill>
          <a:ln w="19050">
            <a:solidFill>
              <a:schemeClr val="lt1"/>
            </a:solidFill>
          </a:ln>
          <a:effectLst/>
        </c:spPr>
      </c:pivotFmt>
      <c:pivotFmt>
        <c:idx val="941"/>
        <c:spPr>
          <a:solidFill>
            <a:schemeClr val="accent1"/>
          </a:solidFill>
          <a:ln w="19050">
            <a:solidFill>
              <a:schemeClr val="lt1"/>
            </a:solidFill>
          </a:ln>
          <a:effectLst/>
        </c:spPr>
      </c:pivotFmt>
      <c:pivotFmt>
        <c:idx val="942"/>
        <c:spPr>
          <a:solidFill>
            <a:schemeClr val="accent1"/>
          </a:solidFill>
          <a:ln w="19050">
            <a:solidFill>
              <a:schemeClr val="lt1"/>
            </a:solidFill>
          </a:ln>
          <a:effectLst/>
        </c:spPr>
      </c:pivotFmt>
      <c:pivotFmt>
        <c:idx val="943"/>
        <c:spPr>
          <a:solidFill>
            <a:schemeClr val="accent1"/>
          </a:solidFill>
          <a:ln w="19050">
            <a:solidFill>
              <a:schemeClr val="lt1"/>
            </a:solidFill>
          </a:ln>
          <a:effectLst/>
        </c:spPr>
      </c:pivotFmt>
      <c:pivotFmt>
        <c:idx val="944"/>
        <c:spPr>
          <a:solidFill>
            <a:schemeClr val="accent1"/>
          </a:solidFill>
          <a:ln w="19050">
            <a:solidFill>
              <a:schemeClr val="lt1"/>
            </a:solidFill>
          </a:ln>
          <a:effectLst/>
        </c:spPr>
      </c:pivotFmt>
      <c:pivotFmt>
        <c:idx val="945"/>
        <c:spPr>
          <a:solidFill>
            <a:schemeClr val="accent1"/>
          </a:solidFill>
          <a:ln w="19050">
            <a:solidFill>
              <a:schemeClr val="lt1"/>
            </a:solidFill>
          </a:ln>
          <a:effectLst/>
        </c:spPr>
      </c:pivotFmt>
      <c:pivotFmt>
        <c:idx val="946"/>
        <c:spPr>
          <a:solidFill>
            <a:schemeClr val="accent1"/>
          </a:solidFill>
          <a:ln w="19050">
            <a:solidFill>
              <a:schemeClr val="lt1"/>
            </a:solidFill>
          </a:ln>
          <a:effectLst/>
        </c:spPr>
      </c:pivotFmt>
      <c:pivotFmt>
        <c:idx val="947"/>
        <c:spPr>
          <a:solidFill>
            <a:schemeClr val="accent1"/>
          </a:solidFill>
          <a:ln w="19050">
            <a:solidFill>
              <a:schemeClr val="lt1"/>
            </a:solidFill>
          </a:ln>
          <a:effectLst/>
        </c:spPr>
      </c:pivotFmt>
      <c:pivotFmt>
        <c:idx val="948"/>
        <c:spPr>
          <a:solidFill>
            <a:schemeClr val="accent1"/>
          </a:solidFill>
          <a:ln w="19050">
            <a:solidFill>
              <a:schemeClr val="lt1"/>
            </a:solidFill>
          </a:ln>
          <a:effectLst/>
        </c:spPr>
      </c:pivotFmt>
      <c:pivotFmt>
        <c:idx val="949"/>
        <c:spPr>
          <a:solidFill>
            <a:schemeClr val="accent1"/>
          </a:solidFill>
          <a:ln w="19050">
            <a:solidFill>
              <a:schemeClr val="lt1"/>
            </a:solidFill>
          </a:ln>
          <a:effectLst/>
        </c:spPr>
      </c:pivotFmt>
      <c:pivotFmt>
        <c:idx val="950"/>
        <c:spPr>
          <a:solidFill>
            <a:schemeClr val="accent1"/>
          </a:solidFill>
          <a:ln w="19050">
            <a:solidFill>
              <a:schemeClr val="lt1"/>
            </a:solidFill>
          </a:ln>
          <a:effectLst/>
        </c:spPr>
      </c:pivotFmt>
      <c:pivotFmt>
        <c:idx val="951"/>
        <c:spPr>
          <a:solidFill>
            <a:schemeClr val="accent1"/>
          </a:solidFill>
          <a:ln w="19050">
            <a:solidFill>
              <a:schemeClr val="lt1"/>
            </a:solidFill>
          </a:ln>
          <a:effectLst/>
        </c:spPr>
      </c:pivotFmt>
      <c:pivotFmt>
        <c:idx val="952"/>
        <c:spPr>
          <a:solidFill>
            <a:schemeClr val="accent1"/>
          </a:solidFill>
          <a:ln w="19050">
            <a:solidFill>
              <a:schemeClr val="lt1"/>
            </a:solidFill>
          </a:ln>
          <a:effectLst/>
        </c:spPr>
      </c:pivotFmt>
      <c:pivotFmt>
        <c:idx val="953"/>
        <c:spPr>
          <a:solidFill>
            <a:schemeClr val="accent1"/>
          </a:solidFill>
          <a:ln w="19050">
            <a:solidFill>
              <a:schemeClr val="lt1"/>
            </a:solidFill>
          </a:ln>
          <a:effectLst/>
        </c:spPr>
      </c:pivotFmt>
      <c:pivotFmt>
        <c:idx val="954"/>
        <c:spPr>
          <a:solidFill>
            <a:schemeClr val="accent1"/>
          </a:solidFill>
          <a:ln w="19050">
            <a:solidFill>
              <a:schemeClr val="lt1"/>
            </a:solidFill>
          </a:ln>
          <a:effectLst/>
        </c:spPr>
      </c:pivotFmt>
      <c:pivotFmt>
        <c:idx val="955"/>
        <c:spPr>
          <a:solidFill>
            <a:schemeClr val="accent1"/>
          </a:solidFill>
          <a:ln w="19050">
            <a:solidFill>
              <a:schemeClr val="lt1"/>
            </a:solidFill>
          </a:ln>
          <a:effectLst/>
        </c:spPr>
      </c:pivotFmt>
      <c:pivotFmt>
        <c:idx val="956"/>
        <c:spPr>
          <a:solidFill>
            <a:schemeClr val="accent1"/>
          </a:solidFill>
          <a:ln w="19050">
            <a:solidFill>
              <a:schemeClr val="lt1"/>
            </a:solidFill>
          </a:ln>
          <a:effectLst/>
        </c:spPr>
      </c:pivotFmt>
      <c:pivotFmt>
        <c:idx val="957"/>
        <c:spPr>
          <a:solidFill>
            <a:schemeClr val="accent1"/>
          </a:solidFill>
          <a:ln w="19050">
            <a:solidFill>
              <a:schemeClr val="lt1"/>
            </a:solidFill>
          </a:ln>
          <a:effectLst/>
        </c:spPr>
      </c:pivotFmt>
      <c:pivotFmt>
        <c:idx val="958"/>
        <c:spPr>
          <a:solidFill>
            <a:schemeClr val="accent1"/>
          </a:solidFill>
          <a:ln w="19050">
            <a:solidFill>
              <a:schemeClr val="lt1"/>
            </a:solidFill>
          </a:ln>
          <a:effectLst/>
        </c:spPr>
      </c:pivotFmt>
      <c:pivotFmt>
        <c:idx val="959"/>
        <c:spPr>
          <a:solidFill>
            <a:schemeClr val="accent1"/>
          </a:solidFill>
          <a:ln w="19050">
            <a:solidFill>
              <a:schemeClr val="lt1"/>
            </a:solidFill>
          </a:ln>
          <a:effectLst/>
        </c:spPr>
      </c:pivotFmt>
      <c:pivotFmt>
        <c:idx val="960"/>
        <c:spPr>
          <a:solidFill>
            <a:schemeClr val="accent1"/>
          </a:solidFill>
          <a:ln w="19050">
            <a:solidFill>
              <a:schemeClr val="lt1"/>
            </a:solidFill>
          </a:ln>
          <a:effectLst/>
        </c:spPr>
      </c:pivotFmt>
      <c:pivotFmt>
        <c:idx val="961"/>
        <c:spPr>
          <a:solidFill>
            <a:schemeClr val="accent1"/>
          </a:solidFill>
          <a:ln w="19050">
            <a:solidFill>
              <a:schemeClr val="lt1"/>
            </a:solidFill>
          </a:ln>
          <a:effectLst/>
        </c:spPr>
      </c:pivotFmt>
      <c:pivotFmt>
        <c:idx val="962"/>
        <c:spPr>
          <a:solidFill>
            <a:schemeClr val="accent1"/>
          </a:solidFill>
          <a:ln w="19050">
            <a:solidFill>
              <a:schemeClr val="lt1"/>
            </a:solidFill>
          </a:ln>
          <a:effectLst/>
        </c:spPr>
      </c:pivotFmt>
      <c:pivotFmt>
        <c:idx val="963"/>
        <c:spPr>
          <a:solidFill>
            <a:schemeClr val="accent1"/>
          </a:solidFill>
          <a:ln w="19050">
            <a:solidFill>
              <a:schemeClr val="lt1"/>
            </a:solidFill>
          </a:ln>
          <a:effectLst/>
        </c:spPr>
      </c:pivotFmt>
      <c:pivotFmt>
        <c:idx val="964"/>
        <c:spPr>
          <a:solidFill>
            <a:schemeClr val="accent1"/>
          </a:solidFill>
          <a:ln w="19050">
            <a:solidFill>
              <a:schemeClr val="lt1"/>
            </a:solidFill>
          </a:ln>
          <a:effectLst/>
        </c:spPr>
      </c:pivotFmt>
      <c:pivotFmt>
        <c:idx val="965"/>
        <c:spPr>
          <a:solidFill>
            <a:schemeClr val="accent1"/>
          </a:solidFill>
          <a:ln w="19050">
            <a:solidFill>
              <a:schemeClr val="lt1"/>
            </a:solidFill>
          </a:ln>
          <a:effectLst/>
        </c:spPr>
      </c:pivotFmt>
      <c:pivotFmt>
        <c:idx val="966"/>
        <c:spPr>
          <a:solidFill>
            <a:schemeClr val="accent1"/>
          </a:solidFill>
          <a:ln w="19050">
            <a:solidFill>
              <a:schemeClr val="lt1"/>
            </a:solidFill>
          </a:ln>
          <a:effectLst/>
        </c:spPr>
      </c:pivotFmt>
      <c:pivotFmt>
        <c:idx val="967"/>
        <c:spPr>
          <a:solidFill>
            <a:schemeClr val="accent1"/>
          </a:solidFill>
          <a:ln w="19050">
            <a:solidFill>
              <a:schemeClr val="lt1"/>
            </a:solidFill>
          </a:ln>
          <a:effectLst/>
        </c:spPr>
      </c:pivotFmt>
      <c:pivotFmt>
        <c:idx val="968"/>
        <c:spPr>
          <a:solidFill>
            <a:schemeClr val="accent1"/>
          </a:solidFill>
          <a:ln w="19050">
            <a:solidFill>
              <a:schemeClr val="lt1"/>
            </a:solidFill>
          </a:ln>
          <a:effectLst/>
        </c:spPr>
      </c:pivotFmt>
      <c:pivotFmt>
        <c:idx val="969"/>
        <c:spPr>
          <a:solidFill>
            <a:schemeClr val="accent1"/>
          </a:solidFill>
          <a:ln w="19050">
            <a:solidFill>
              <a:schemeClr val="lt1"/>
            </a:solidFill>
          </a:ln>
          <a:effectLst/>
        </c:spPr>
      </c:pivotFmt>
      <c:pivotFmt>
        <c:idx val="970"/>
        <c:spPr>
          <a:solidFill>
            <a:schemeClr val="accent1"/>
          </a:solidFill>
          <a:ln w="19050">
            <a:solidFill>
              <a:schemeClr val="lt1"/>
            </a:solidFill>
          </a:ln>
          <a:effectLst/>
        </c:spPr>
      </c:pivotFmt>
      <c:pivotFmt>
        <c:idx val="971"/>
        <c:spPr>
          <a:solidFill>
            <a:schemeClr val="accent1"/>
          </a:solidFill>
          <a:ln w="19050">
            <a:solidFill>
              <a:schemeClr val="lt1"/>
            </a:solidFill>
          </a:ln>
          <a:effectLst/>
        </c:spPr>
      </c:pivotFmt>
      <c:pivotFmt>
        <c:idx val="972"/>
        <c:spPr>
          <a:solidFill>
            <a:schemeClr val="accent1"/>
          </a:solidFill>
          <a:ln w="19050">
            <a:solidFill>
              <a:schemeClr val="lt1"/>
            </a:solidFill>
          </a:ln>
          <a:effectLst/>
        </c:spPr>
      </c:pivotFmt>
      <c:pivotFmt>
        <c:idx val="973"/>
        <c:spPr>
          <a:solidFill>
            <a:schemeClr val="accent1"/>
          </a:solidFill>
          <a:ln w="19050">
            <a:solidFill>
              <a:schemeClr val="lt1"/>
            </a:solidFill>
          </a:ln>
          <a:effectLst/>
        </c:spPr>
      </c:pivotFmt>
      <c:pivotFmt>
        <c:idx val="974"/>
        <c:spPr>
          <a:solidFill>
            <a:schemeClr val="accent1"/>
          </a:solidFill>
          <a:ln w="19050">
            <a:solidFill>
              <a:schemeClr val="lt1"/>
            </a:solidFill>
          </a:ln>
          <a:effectLst/>
        </c:spPr>
      </c:pivotFmt>
      <c:pivotFmt>
        <c:idx val="975"/>
        <c:spPr>
          <a:solidFill>
            <a:schemeClr val="accent1"/>
          </a:solidFill>
          <a:ln w="19050">
            <a:solidFill>
              <a:schemeClr val="lt1"/>
            </a:solidFill>
          </a:ln>
          <a:effectLst/>
        </c:spPr>
      </c:pivotFmt>
      <c:pivotFmt>
        <c:idx val="976"/>
        <c:spPr>
          <a:solidFill>
            <a:schemeClr val="accent1"/>
          </a:solidFill>
          <a:ln w="19050">
            <a:solidFill>
              <a:schemeClr val="lt1"/>
            </a:solidFill>
          </a:ln>
          <a:effectLst/>
        </c:spPr>
      </c:pivotFmt>
      <c:pivotFmt>
        <c:idx val="977"/>
        <c:spPr>
          <a:solidFill>
            <a:schemeClr val="accent1"/>
          </a:solidFill>
          <a:ln w="19050">
            <a:solidFill>
              <a:schemeClr val="lt1"/>
            </a:solidFill>
          </a:ln>
          <a:effectLst/>
        </c:spPr>
      </c:pivotFmt>
      <c:pivotFmt>
        <c:idx val="978"/>
        <c:spPr>
          <a:solidFill>
            <a:schemeClr val="accent1"/>
          </a:solidFill>
          <a:ln w="19050">
            <a:solidFill>
              <a:schemeClr val="lt1"/>
            </a:solidFill>
          </a:ln>
          <a:effectLst/>
        </c:spPr>
      </c:pivotFmt>
      <c:pivotFmt>
        <c:idx val="979"/>
        <c:spPr>
          <a:solidFill>
            <a:schemeClr val="accent1"/>
          </a:solidFill>
          <a:ln w="19050">
            <a:solidFill>
              <a:schemeClr val="lt1"/>
            </a:solidFill>
          </a:ln>
          <a:effectLst/>
        </c:spPr>
      </c:pivotFmt>
      <c:pivotFmt>
        <c:idx val="980"/>
        <c:spPr>
          <a:solidFill>
            <a:schemeClr val="accent1"/>
          </a:solidFill>
          <a:ln w="19050">
            <a:solidFill>
              <a:schemeClr val="lt1"/>
            </a:solidFill>
          </a:ln>
          <a:effectLst/>
        </c:spPr>
      </c:pivotFmt>
      <c:pivotFmt>
        <c:idx val="981"/>
        <c:spPr>
          <a:solidFill>
            <a:schemeClr val="accent1"/>
          </a:solidFill>
          <a:ln w="19050">
            <a:solidFill>
              <a:schemeClr val="lt1"/>
            </a:solidFill>
          </a:ln>
          <a:effectLst/>
        </c:spPr>
      </c:pivotFmt>
      <c:pivotFmt>
        <c:idx val="982"/>
        <c:spPr>
          <a:solidFill>
            <a:schemeClr val="accent1"/>
          </a:solidFill>
          <a:ln w="19050">
            <a:solidFill>
              <a:schemeClr val="lt1"/>
            </a:solidFill>
          </a:ln>
          <a:effectLst/>
        </c:spPr>
      </c:pivotFmt>
      <c:pivotFmt>
        <c:idx val="983"/>
        <c:spPr>
          <a:solidFill>
            <a:schemeClr val="accent1"/>
          </a:solidFill>
          <a:ln w="19050">
            <a:solidFill>
              <a:schemeClr val="lt1"/>
            </a:solidFill>
          </a:ln>
          <a:effectLst/>
        </c:spPr>
      </c:pivotFmt>
      <c:pivotFmt>
        <c:idx val="984"/>
        <c:spPr>
          <a:solidFill>
            <a:schemeClr val="accent1"/>
          </a:solidFill>
          <a:ln w="19050">
            <a:solidFill>
              <a:schemeClr val="lt1"/>
            </a:solidFill>
          </a:ln>
          <a:effectLst/>
        </c:spPr>
      </c:pivotFmt>
      <c:pivotFmt>
        <c:idx val="985"/>
        <c:spPr>
          <a:solidFill>
            <a:schemeClr val="accent1"/>
          </a:solidFill>
          <a:ln w="19050">
            <a:solidFill>
              <a:schemeClr val="lt1"/>
            </a:solidFill>
          </a:ln>
          <a:effectLst/>
        </c:spPr>
      </c:pivotFmt>
      <c:pivotFmt>
        <c:idx val="986"/>
        <c:spPr>
          <a:solidFill>
            <a:schemeClr val="accent1"/>
          </a:solidFill>
          <a:ln w="19050">
            <a:solidFill>
              <a:schemeClr val="lt1"/>
            </a:solidFill>
          </a:ln>
          <a:effectLst/>
        </c:spPr>
      </c:pivotFmt>
      <c:pivotFmt>
        <c:idx val="987"/>
        <c:spPr>
          <a:solidFill>
            <a:schemeClr val="accent1"/>
          </a:solidFill>
          <a:ln w="19050">
            <a:solidFill>
              <a:schemeClr val="lt1"/>
            </a:solidFill>
          </a:ln>
          <a:effectLst/>
        </c:spPr>
      </c:pivotFmt>
      <c:pivotFmt>
        <c:idx val="988"/>
        <c:spPr>
          <a:solidFill>
            <a:schemeClr val="accent1"/>
          </a:solidFill>
          <a:ln w="19050">
            <a:solidFill>
              <a:schemeClr val="lt1"/>
            </a:solidFill>
          </a:ln>
          <a:effectLst/>
        </c:spPr>
      </c:pivotFmt>
      <c:pivotFmt>
        <c:idx val="989"/>
        <c:spPr>
          <a:solidFill>
            <a:schemeClr val="accent1"/>
          </a:solidFill>
          <a:ln w="19050">
            <a:solidFill>
              <a:schemeClr val="lt1"/>
            </a:solidFill>
          </a:ln>
          <a:effectLst/>
        </c:spPr>
      </c:pivotFmt>
      <c:pivotFmt>
        <c:idx val="990"/>
        <c:spPr>
          <a:solidFill>
            <a:schemeClr val="accent1"/>
          </a:solidFill>
          <a:ln w="19050">
            <a:solidFill>
              <a:schemeClr val="lt1"/>
            </a:solidFill>
          </a:ln>
          <a:effectLst/>
        </c:spPr>
      </c:pivotFmt>
      <c:pivotFmt>
        <c:idx val="991"/>
        <c:spPr>
          <a:solidFill>
            <a:schemeClr val="accent1"/>
          </a:solidFill>
          <a:ln w="19050">
            <a:solidFill>
              <a:schemeClr val="lt1"/>
            </a:solidFill>
          </a:ln>
          <a:effectLst/>
        </c:spPr>
      </c:pivotFmt>
      <c:pivotFmt>
        <c:idx val="992"/>
        <c:spPr>
          <a:solidFill>
            <a:schemeClr val="accent1"/>
          </a:solidFill>
          <a:ln w="19050">
            <a:solidFill>
              <a:schemeClr val="lt1"/>
            </a:solidFill>
          </a:ln>
          <a:effectLst/>
        </c:spPr>
      </c:pivotFmt>
      <c:pivotFmt>
        <c:idx val="993"/>
        <c:spPr>
          <a:solidFill>
            <a:schemeClr val="accent1"/>
          </a:solidFill>
          <a:ln w="19050">
            <a:solidFill>
              <a:schemeClr val="lt1"/>
            </a:solidFill>
          </a:ln>
          <a:effectLst/>
        </c:spPr>
      </c:pivotFmt>
      <c:pivotFmt>
        <c:idx val="994"/>
        <c:spPr>
          <a:solidFill>
            <a:schemeClr val="accent1"/>
          </a:solidFill>
          <a:ln w="19050">
            <a:solidFill>
              <a:schemeClr val="lt1"/>
            </a:solidFill>
          </a:ln>
          <a:effectLst/>
        </c:spPr>
      </c:pivotFmt>
      <c:pivotFmt>
        <c:idx val="995"/>
        <c:spPr>
          <a:solidFill>
            <a:schemeClr val="accent1"/>
          </a:solidFill>
          <a:ln w="19050">
            <a:solidFill>
              <a:schemeClr val="lt1"/>
            </a:solidFill>
          </a:ln>
          <a:effectLst/>
        </c:spPr>
      </c:pivotFmt>
      <c:pivotFmt>
        <c:idx val="996"/>
        <c:spPr>
          <a:solidFill>
            <a:schemeClr val="accent1"/>
          </a:solidFill>
          <a:ln w="19050">
            <a:solidFill>
              <a:schemeClr val="lt1"/>
            </a:solidFill>
          </a:ln>
          <a:effectLst/>
        </c:spPr>
      </c:pivotFmt>
      <c:pivotFmt>
        <c:idx val="997"/>
        <c:spPr>
          <a:solidFill>
            <a:schemeClr val="accent1"/>
          </a:solidFill>
          <a:ln w="19050">
            <a:solidFill>
              <a:schemeClr val="lt1"/>
            </a:solidFill>
          </a:ln>
          <a:effectLst/>
        </c:spPr>
      </c:pivotFmt>
      <c:pivotFmt>
        <c:idx val="998"/>
        <c:spPr>
          <a:solidFill>
            <a:schemeClr val="accent1"/>
          </a:solidFill>
          <a:ln w="19050">
            <a:solidFill>
              <a:schemeClr val="lt1"/>
            </a:solidFill>
          </a:ln>
          <a:effectLst/>
        </c:spPr>
      </c:pivotFmt>
      <c:pivotFmt>
        <c:idx val="999"/>
        <c:spPr>
          <a:solidFill>
            <a:schemeClr val="accent1"/>
          </a:solidFill>
          <a:ln w="19050">
            <a:solidFill>
              <a:schemeClr val="lt1"/>
            </a:solidFill>
          </a:ln>
          <a:effectLst/>
        </c:spPr>
      </c:pivotFmt>
      <c:pivotFmt>
        <c:idx val="1000"/>
        <c:spPr>
          <a:solidFill>
            <a:schemeClr val="accent1"/>
          </a:solidFill>
          <a:ln w="19050">
            <a:solidFill>
              <a:schemeClr val="lt1"/>
            </a:solidFill>
          </a:ln>
          <a:effectLst/>
        </c:spPr>
      </c:pivotFmt>
      <c:pivotFmt>
        <c:idx val="1001"/>
        <c:spPr>
          <a:solidFill>
            <a:schemeClr val="accent1"/>
          </a:solidFill>
          <a:ln w="19050">
            <a:solidFill>
              <a:schemeClr val="lt1"/>
            </a:solidFill>
          </a:ln>
          <a:effectLst/>
        </c:spPr>
      </c:pivotFmt>
      <c:pivotFmt>
        <c:idx val="1002"/>
        <c:spPr>
          <a:solidFill>
            <a:schemeClr val="accent1"/>
          </a:solidFill>
          <a:ln w="19050">
            <a:solidFill>
              <a:schemeClr val="lt1"/>
            </a:solidFill>
          </a:ln>
          <a:effectLst/>
        </c:spPr>
      </c:pivotFmt>
      <c:pivotFmt>
        <c:idx val="1003"/>
        <c:spPr>
          <a:solidFill>
            <a:schemeClr val="accent1"/>
          </a:solidFill>
          <a:ln w="19050">
            <a:solidFill>
              <a:schemeClr val="lt1"/>
            </a:solidFill>
          </a:ln>
          <a:effectLst/>
        </c:spPr>
      </c:pivotFmt>
      <c:pivotFmt>
        <c:idx val="1004"/>
        <c:spPr>
          <a:solidFill>
            <a:schemeClr val="accent1"/>
          </a:solidFill>
          <a:ln w="19050">
            <a:solidFill>
              <a:schemeClr val="lt1"/>
            </a:solidFill>
          </a:ln>
          <a:effectLst/>
        </c:spPr>
      </c:pivotFmt>
      <c:pivotFmt>
        <c:idx val="1005"/>
        <c:spPr>
          <a:solidFill>
            <a:schemeClr val="accent1"/>
          </a:solidFill>
          <a:ln w="19050">
            <a:solidFill>
              <a:schemeClr val="lt1"/>
            </a:solidFill>
          </a:ln>
          <a:effectLst/>
        </c:spPr>
      </c:pivotFmt>
      <c:pivotFmt>
        <c:idx val="1006"/>
        <c:spPr>
          <a:solidFill>
            <a:schemeClr val="accent1"/>
          </a:solidFill>
          <a:ln w="19050">
            <a:solidFill>
              <a:schemeClr val="lt1"/>
            </a:solidFill>
          </a:ln>
          <a:effectLst/>
        </c:spPr>
      </c:pivotFmt>
      <c:pivotFmt>
        <c:idx val="1007"/>
        <c:spPr>
          <a:solidFill>
            <a:schemeClr val="accent1"/>
          </a:solidFill>
          <a:ln w="19050">
            <a:solidFill>
              <a:schemeClr val="lt1"/>
            </a:solidFill>
          </a:ln>
          <a:effectLst/>
        </c:spPr>
      </c:pivotFmt>
      <c:pivotFmt>
        <c:idx val="1008"/>
        <c:spPr>
          <a:solidFill>
            <a:schemeClr val="accent1"/>
          </a:solidFill>
          <a:ln w="19050">
            <a:solidFill>
              <a:schemeClr val="lt1"/>
            </a:solidFill>
          </a:ln>
          <a:effectLst/>
        </c:spPr>
      </c:pivotFmt>
      <c:pivotFmt>
        <c:idx val="1009"/>
        <c:spPr>
          <a:solidFill>
            <a:schemeClr val="accent1"/>
          </a:solidFill>
          <a:ln w="19050">
            <a:solidFill>
              <a:schemeClr val="lt1"/>
            </a:solidFill>
          </a:ln>
          <a:effectLst/>
        </c:spPr>
      </c:pivotFmt>
      <c:pivotFmt>
        <c:idx val="1010"/>
        <c:spPr>
          <a:solidFill>
            <a:schemeClr val="accent1"/>
          </a:solidFill>
          <a:ln w="19050">
            <a:solidFill>
              <a:schemeClr val="lt1"/>
            </a:solidFill>
          </a:ln>
          <a:effectLst/>
        </c:spPr>
      </c:pivotFmt>
      <c:pivotFmt>
        <c:idx val="1011"/>
        <c:spPr>
          <a:solidFill>
            <a:schemeClr val="accent1"/>
          </a:solidFill>
          <a:ln w="19050">
            <a:solidFill>
              <a:schemeClr val="lt1"/>
            </a:solidFill>
          </a:ln>
          <a:effectLst/>
        </c:spPr>
      </c:pivotFmt>
      <c:pivotFmt>
        <c:idx val="1012"/>
        <c:spPr>
          <a:solidFill>
            <a:schemeClr val="accent1"/>
          </a:solidFill>
          <a:ln w="19050">
            <a:solidFill>
              <a:schemeClr val="lt1"/>
            </a:solidFill>
          </a:ln>
          <a:effectLst/>
        </c:spPr>
      </c:pivotFmt>
      <c:pivotFmt>
        <c:idx val="1013"/>
        <c:spPr>
          <a:solidFill>
            <a:schemeClr val="accent1"/>
          </a:solidFill>
          <a:ln w="19050">
            <a:solidFill>
              <a:schemeClr val="lt1"/>
            </a:solidFill>
          </a:ln>
          <a:effectLst/>
        </c:spPr>
      </c:pivotFmt>
      <c:pivotFmt>
        <c:idx val="1014"/>
        <c:spPr>
          <a:solidFill>
            <a:schemeClr val="accent1"/>
          </a:solidFill>
          <a:ln w="19050">
            <a:solidFill>
              <a:schemeClr val="lt1"/>
            </a:solidFill>
          </a:ln>
          <a:effectLst/>
        </c:spPr>
      </c:pivotFmt>
      <c:pivotFmt>
        <c:idx val="1015"/>
        <c:spPr>
          <a:solidFill>
            <a:schemeClr val="accent1"/>
          </a:solidFill>
          <a:ln w="19050">
            <a:solidFill>
              <a:schemeClr val="lt1"/>
            </a:solidFill>
          </a:ln>
          <a:effectLst/>
        </c:spPr>
      </c:pivotFmt>
      <c:pivotFmt>
        <c:idx val="1016"/>
        <c:spPr>
          <a:solidFill>
            <a:schemeClr val="accent1"/>
          </a:solidFill>
          <a:ln w="19050">
            <a:solidFill>
              <a:schemeClr val="lt1"/>
            </a:solidFill>
          </a:ln>
          <a:effectLst/>
        </c:spPr>
      </c:pivotFmt>
      <c:pivotFmt>
        <c:idx val="1017"/>
        <c:spPr>
          <a:solidFill>
            <a:schemeClr val="accent1"/>
          </a:solidFill>
          <a:ln w="19050">
            <a:solidFill>
              <a:schemeClr val="lt1"/>
            </a:solidFill>
          </a:ln>
          <a:effectLst/>
        </c:spPr>
      </c:pivotFmt>
      <c:pivotFmt>
        <c:idx val="1018"/>
        <c:spPr>
          <a:solidFill>
            <a:schemeClr val="accent1"/>
          </a:solidFill>
          <a:ln w="19050">
            <a:solidFill>
              <a:schemeClr val="lt1"/>
            </a:solidFill>
          </a:ln>
          <a:effectLst/>
        </c:spPr>
      </c:pivotFmt>
      <c:pivotFmt>
        <c:idx val="1019"/>
        <c:spPr>
          <a:solidFill>
            <a:schemeClr val="accent1"/>
          </a:solidFill>
          <a:ln w="19050">
            <a:solidFill>
              <a:schemeClr val="lt1"/>
            </a:solidFill>
          </a:ln>
          <a:effectLst/>
        </c:spPr>
      </c:pivotFmt>
      <c:pivotFmt>
        <c:idx val="1020"/>
        <c:spPr>
          <a:solidFill>
            <a:schemeClr val="accent1"/>
          </a:solidFill>
          <a:ln w="19050">
            <a:solidFill>
              <a:schemeClr val="lt1"/>
            </a:solidFill>
          </a:ln>
          <a:effectLst/>
        </c:spPr>
      </c:pivotFmt>
      <c:pivotFmt>
        <c:idx val="1021"/>
        <c:spPr>
          <a:solidFill>
            <a:schemeClr val="accent1"/>
          </a:solidFill>
          <a:ln w="19050">
            <a:solidFill>
              <a:schemeClr val="lt1"/>
            </a:solidFill>
          </a:ln>
          <a:effectLst/>
        </c:spPr>
      </c:pivotFmt>
      <c:pivotFmt>
        <c:idx val="1022"/>
        <c:spPr>
          <a:solidFill>
            <a:schemeClr val="accent1"/>
          </a:solidFill>
          <a:ln w="19050">
            <a:solidFill>
              <a:schemeClr val="lt1"/>
            </a:solidFill>
          </a:ln>
          <a:effectLst/>
        </c:spPr>
      </c:pivotFmt>
      <c:pivotFmt>
        <c:idx val="1023"/>
        <c:spPr>
          <a:solidFill>
            <a:schemeClr val="accent1"/>
          </a:solidFill>
          <a:ln w="19050">
            <a:solidFill>
              <a:schemeClr val="lt1"/>
            </a:solidFill>
          </a:ln>
          <a:effectLst/>
        </c:spPr>
      </c:pivotFmt>
      <c:pivotFmt>
        <c:idx val="1024"/>
        <c:spPr>
          <a:solidFill>
            <a:schemeClr val="accent1"/>
          </a:solidFill>
          <a:ln w="19050">
            <a:solidFill>
              <a:schemeClr val="lt1"/>
            </a:solidFill>
          </a:ln>
          <a:effectLst/>
        </c:spPr>
      </c:pivotFmt>
      <c:pivotFmt>
        <c:idx val="1025"/>
        <c:spPr>
          <a:solidFill>
            <a:schemeClr val="accent1"/>
          </a:solidFill>
          <a:ln w="19050">
            <a:solidFill>
              <a:schemeClr val="lt1"/>
            </a:solidFill>
          </a:ln>
          <a:effectLst/>
        </c:spPr>
      </c:pivotFmt>
      <c:pivotFmt>
        <c:idx val="1026"/>
        <c:spPr>
          <a:solidFill>
            <a:schemeClr val="accent1"/>
          </a:solidFill>
          <a:ln w="19050">
            <a:solidFill>
              <a:schemeClr val="lt1"/>
            </a:solidFill>
          </a:ln>
          <a:effectLst/>
        </c:spPr>
      </c:pivotFmt>
      <c:pivotFmt>
        <c:idx val="1027"/>
        <c:spPr>
          <a:solidFill>
            <a:schemeClr val="accent1"/>
          </a:solidFill>
          <a:ln w="19050">
            <a:solidFill>
              <a:schemeClr val="lt1"/>
            </a:solidFill>
          </a:ln>
          <a:effectLst/>
        </c:spPr>
      </c:pivotFmt>
      <c:pivotFmt>
        <c:idx val="1028"/>
        <c:spPr>
          <a:solidFill>
            <a:schemeClr val="accent1"/>
          </a:solidFill>
          <a:ln w="19050">
            <a:solidFill>
              <a:schemeClr val="lt1"/>
            </a:solidFill>
          </a:ln>
          <a:effectLst/>
        </c:spPr>
      </c:pivotFmt>
      <c:pivotFmt>
        <c:idx val="1029"/>
        <c:spPr>
          <a:solidFill>
            <a:schemeClr val="accent1"/>
          </a:solidFill>
          <a:ln w="19050">
            <a:solidFill>
              <a:schemeClr val="lt1"/>
            </a:solidFill>
          </a:ln>
          <a:effectLst/>
        </c:spPr>
      </c:pivotFmt>
      <c:pivotFmt>
        <c:idx val="1030"/>
        <c:spPr>
          <a:solidFill>
            <a:schemeClr val="accent1"/>
          </a:solidFill>
          <a:ln w="19050">
            <a:solidFill>
              <a:schemeClr val="lt1"/>
            </a:solidFill>
          </a:ln>
          <a:effectLst/>
        </c:spPr>
      </c:pivotFmt>
      <c:pivotFmt>
        <c:idx val="1031"/>
        <c:spPr>
          <a:solidFill>
            <a:schemeClr val="accent1"/>
          </a:solidFill>
          <a:ln w="19050">
            <a:solidFill>
              <a:schemeClr val="lt1"/>
            </a:solidFill>
          </a:ln>
          <a:effectLst/>
        </c:spPr>
      </c:pivotFmt>
      <c:pivotFmt>
        <c:idx val="1032"/>
        <c:spPr>
          <a:solidFill>
            <a:schemeClr val="accent1"/>
          </a:solidFill>
          <a:ln w="19050">
            <a:solidFill>
              <a:schemeClr val="lt1"/>
            </a:solidFill>
          </a:ln>
          <a:effectLst/>
        </c:spPr>
      </c:pivotFmt>
      <c:pivotFmt>
        <c:idx val="1033"/>
        <c:spPr>
          <a:solidFill>
            <a:schemeClr val="accent1"/>
          </a:solidFill>
          <a:ln w="19050">
            <a:solidFill>
              <a:schemeClr val="lt1"/>
            </a:solidFill>
          </a:ln>
          <a:effectLst/>
        </c:spPr>
      </c:pivotFmt>
      <c:pivotFmt>
        <c:idx val="1034"/>
        <c:spPr>
          <a:solidFill>
            <a:schemeClr val="accent1"/>
          </a:solidFill>
          <a:ln w="19050">
            <a:solidFill>
              <a:schemeClr val="lt1"/>
            </a:solidFill>
          </a:ln>
          <a:effectLst/>
        </c:spPr>
      </c:pivotFmt>
      <c:pivotFmt>
        <c:idx val="1035"/>
        <c:spPr>
          <a:solidFill>
            <a:schemeClr val="accent1"/>
          </a:solidFill>
          <a:ln w="19050">
            <a:solidFill>
              <a:schemeClr val="lt1"/>
            </a:solidFill>
          </a:ln>
          <a:effectLst/>
        </c:spPr>
      </c:pivotFmt>
      <c:pivotFmt>
        <c:idx val="1036"/>
        <c:spPr>
          <a:solidFill>
            <a:schemeClr val="accent1"/>
          </a:solidFill>
          <a:ln w="19050">
            <a:solidFill>
              <a:schemeClr val="lt1"/>
            </a:solidFill>
          </a:ln>
          <a:effectLst/>
        </c:spPr>
      </c:pivotFmt>
      <c:pivotFmt>
        <c:idx val="1037"/>
        <c:spPr>
          <a:solidFill>
            <a:schemeClr val="accent1"/>
          </a:solidFill>
          <a:ln w="19050">
            <a:solidFill>
              <a:schemeClr val="lt1"/>
            </a:solidFill>
          </a:ln>
          <a:effectLst/>
        </c:spPr>
      </c:pivotFmt>
      <c:pivotFmt>
        <c:idx val="1038"/>
        <c:spPr>
          <a:solidFill>
            <a:schemeClr val="accent1"/>
          </a:solidFill>
          <a:ln w="19050">
            <a:solidFill>
              <a:schemeClr val="lt1"/>
            </a:solidFill>
          </a:ln>
          <a:effectLst/>
        </c:spPr>
      </c:pivotFmt>
      <c:pivotFmt>
        <c:idx val="1039"/>
        <c:spPr>
          <a:solidFill>
            <a:schemeClr val="accent1"/>
          </a:solidFill>
          <a:ln w="19050">
            <a:solidFill>
              <a:schemeClr val="lt1"/>
            </a:solidFill>
          </a:ln>
          <a:effectLst/>
        </c:spPr>
      </c:pivotFmt>
      <c:pivotFmt>
        <c:idx val="1040"/>
        <c:spPr>
          <a:solidFill>
            <a:schemeClr val="accent1"/>
          </a:solidFill>
          <a:ln w="19050">
            <a:solidFill>
              <a:schemeClr val="lt1"/>
            </a:solidFill>
          </a:ln>
          <a:effectLst/>
        </c:spPr>
      </c:pivotFmt>
      <c:pivotFmt>
        <c:idx val="1041"/>
        <c:spPr>
          <a:solidFill>
            <a:schemeClr val="accent1"/>
          </a:solidFill>
          <a:ln w="19050">
            <a:solidFill>
              <a:schemeClr val="lt1"/>
            </a:solidFill>
          </a:ln>
          <a:effectLst/>
        </c:spPr>
      </c:pivotFmt>
      <c:pivotFmt>
        <c:idx val="1042"/>
        <c:spPr>
          <a:solidFill>
            <a:schemeClr val="accent1"/>
          </a:solidFill>
          <a:ln w="19050">
            <a:solidFill>
              <a:schemeClr val="lt1"/>
            </a:solidFill>
          </a:ln>
          <a:effectLst/>
        </c:spPr>
      </c:pivotFmt>
      <c:pivotFmt>
        <c:idx val="1043"/>
        <c:spPr>
          <a:solidFill>
            <a:schemeClr val="accent1"/>
          </a:solidFill>
          <a:ln w="19050">
            <a:solidFill>
              <a:schemeClr val="lt1"/>
            </a:solidFill>
          </a:ln>
          <a:effectLst/>
        </c:spPr>
      </c:pivotFmt>
      <c:pivotFmt>
        <c:idx val="1044"/>
        <c:spPr>
          <a:solidFill>
            <a:schemeClr val="accent1"/>
          </a:solidFill>
          <a:ln w="19050">
            <a:solidFill>
              <a:schemeClr val="lt1"/>
            </a:solidFill>
          </a:ln>
          <a:effectLst/>
        </c:spPr>
      </c:pivotFmt>
      <c:pivotFmt>
        <c:idx val="1045"/>
        <c:spPr>
          <a:solidFill>
            <a:schemeClr val="accent1"/>
          </a:solidFill>
          <a:ln w="19050">
            <a:solidFill>
              <a:schemeClr val="lt1"/>
            </a:solidFill>
          </a:ln>
          <a:effectLst/>
        </c:spPr>
      </c:pivotFmt>
      <c:pivotFmt>
        <c:idx val="1046"/>
        <c:spPr>
          <a:solidFill>
            <a:schemeClr val="accent1"/>
          </a:solidFill>
          <a:ln w="19050">
            <a:solidFill>
              <a:schemeClr val="lt1"/>
            </a:solidFill>
          </a:ln>
          <a:effectLst/>
        </c:spPr>
      </c:pivotFmt>
      <c:pivotFmt>
        <c:idx val="1047"/>
        <c:spPr>
          <a:solidFill>
            <a:schemeClr val="accent1"/>
          </a:solidFill>
          <a:ln w="19050">
            <a:solidFill>
              <a:schemeClr val="lt1"/>
            </a:solidFill>
          </a:ln>
          <a:effectLst/>
        </c:spPr>
      </c:pivotFmt>
      <c:pivotFmt>
        <c:idx val="1048"/>
        <c:spPr>
          <a:solidFill>
            <a:schemeClr val="accent1"/>
          </a:solidFill>
          <a:ln w="19050">
            <a:solidFill>
              <a:schemeClr val="lt1"/>
            </a:solidFill>
          </a:ln>
          <a:effectLst/>
        </c:spPr>
      </c:pivotFmt>
      <c:pivotFmt>
        <c:idx val="1049"/>
        <c:spPr>
          <a:solidFill>
            <a:schemeClr val="accent1"/>
          </a:solidFill>
          <a:ln w="19050">
            <a:solidFill>
              <a:schemeClr val="lt1"/>
            </a:solidFill>
          </a:ln>
          <a:effectLst/>
        </c:spPr>
      </c:pivotFmt>
      <c:pivotFmt>
        <c:idx val="1050"/>
        <c:spPr>
          <a:solidFill>
            <a:schemeClr val="accent1"/>
          </a:solidFill>
          <a:ln w="19050">
            <a:solidFill>
              <a:schemeClr val="lt1"/>
            </a:solidFill>
          </a:ln>
          <a:effectLst/>
        </c:spPr>
      </c:pivotFmt>
      <c:pivotFmt>
        <c:idx val="1051"/>
        <c:spPr>
          <a:solidFill>
            <a:schemeClr val="accent1"/>
          </a:solidFill>
          <a:ln w="19050">
            <a:solidFill>
              <a:schemeClr val="lt1"/>
            </a:solidFill>
          </a:ln>
          <a:effectLst/>
        </c:spPr>
      </c:pivotFmt>
      <c:pivotFmt>
        <c:idx val="1052"/>
        <c:spPr>
          <a:solidFill>
            <a:schemeClr val="accent1"/>
          </a:solidFill>
          <a:ln w="19050">
            <a:solidFill>
              <a:schemeClr val="lt1"/>
            </a:solidFill>
          </a:ln>
          <a:effectLst/>
        </c:spPr>
      </c:pivotFmt>
      <c:pivotFmt>
        <c:idx val="1053"/>
        <c:spPr>
          <a:solidFill>
            <a:schemeClr val="accent1"/>
          </a:solidFill>
          <a:ln w="19050">
            <a:solidFill>
              <a:schemeClr val="lt1"/>
            </a:solidFill>
          </a:ln>
          <a:effectLst/>
        </c:spPr>
      </c:pivotFmt>
      <c:pivotFmt>
        <c:idx val="1054"/>
        <c:spPr>
          <a:solidFill>
            <a:schemeClr val="accent1"/>
          </a:solidFill>
          <a:ln w="19050">
            <a:solidFill>
              <a:schemeClr val="lt1"/>
            </a:solidFill>
          </a:ln>
          <a:effectLst/>
        </c:spPr>
      </c:pivotFmt>
      <c:pivotFmt>
        <c:idx val="1055"/>
        <c:spPr>
          <a:solidFill>
            <a:schemeClr val="accent1"/>
          </a:solidFill>
          <a:ln w="19050">
            <a:solidFill>
              <a:schemeClr val="lt1"/>
            </a:solidFill>
          </a:ln>
          <a:effectLst/>
        </c:spPr>
      </c:pivotFmt>
      <c:pivotFmt>
        <c:idx val="1056"/>
        <c:spPr>
          <a:solidFill>
            <a:schemeClr val="accent1"/>
          </a:solidFill>
          <a:ln w="19050">
            <a:solidFill>
              <a:schemeClr val="lt1"/>
            </a:solidFill>
          </a:ln>
          <a:effectLst/>
        </c:spPr>
      </c:pivotFmt>
      <c:pivotFmt>
        <c:idx val="1057"/>
        <c:spPr>
          <a:solidFill>
            <a:schemeClr val="accent1"/>
          </a:solidFill>
          <a:ln w="19050">
            <a:solidFill>
              <a:schemeClr val="lt1"/>
            </a:solidFill>
          </a:ln>
          <a:effectLst/>
        </c:spPr>
      </c:pivotFmt>
      <c:pivotFmt>
        <c:idx val="1058"/>
        <c:spPr>
          <a:solidFill>
            <a:schemeClr val="accent1"/>
          </a:solidFill>
          <a:ln w="19050">
            <a:solidFill>
              <a:schemeClr val="lt1"/>
            </a:solidFill>
          </a:ln>
          <a:effectLst/>
        </c:spPr>
      </c:pivotFmt>
      <c:pivotFmt>
        <c:idx val="1059"/>
        <c:spPr>
          <a:solidFill>
            <a:schemeClr val="accent1"/>
          </a:solidFill>
          <a:ln w="19050">
            <a:solidFill>
              <a:schemeClr val="lt1"/>
            </a:solidFill>
          </a:ln>
          <a:effectLst/>
        </c:spPr>
      </c:pivotFmt>
      <c:pivotFmt>
        <c:idx val="1060"/>
        <c:spPr>
          <a:solidFill>
            <a:schemeClr val="accent1"/>
          </a:solidFill>
          <a:ln w="19050">
            <a:solidFill>
              <a:schemeClr val="lt1"/>
            </a:solidFill>
          </a:ln>
          <a:effectLst/>
        </c:spPr>
      </c:pivotFmt>
      <c:pivotFmt>
        <c:idx val="1061"/>
        <c:spPr>
          <a:solidFill>
            <a:schemeClr val="accent1"/>
          </a:solidFill>
          <a:ln w="19050">
            <a:solidFill>
              <a:schemeClr val="lt1"/>
            </a:solidFill>
          </a:ln>
          <a:effectLst/>
        </c:spPr>
      </c:pivotFmt>
      <c:pivotFmt>
        <c:idx val="1062"/>
        <c:spPr>
          <a:solidFill>
            <a:schemeClr val="accent1"/>
          </a:solidFill>
          <a:ln w="19050">
            <a:solidFill>
              <a:schemeClr val="lt1"/>
            </a:solidFill>
          </a:ln>
          <a:effectLst/>
        </c:spPr>
      </c:pivotFmt>
      <c:pivotFmt>
        <c:idx val="1063"/>
        <c:spPr>
          <a:solidFill>
            <a:schemeClr val="accent1"/>
          </a:solidFill>
          <a:ln w="19050">
            <a:solidFill>
              <a:schemeClr val="lt1"/>
            </a:solidFill>
          </a:ln>
          <a:effectLst/>
        </c:spPr>
      </c:pivotFmt>
      <c:pivotFmt>
        <c:idx val="1064"/>
        <c:spPr>
          <a:solidFill>
            <a:schemeClr val="accent1"/>
          </a:solidFill>
          <a:ln w="19050">
            <a:solidFill>
              <a:schemeClr val="lt1"/>
            </a:solidFill>
          </a:ln>
          <a:effectLst/>
        </c:spPr>
      </c:pivotFmt>
      <c:pivotFmt>
        <c:idx val="1065"/>
        <c:spPr>
          <a:solidFill>
            <a:schemeClr val="accent1"/>
          </a:solidFill>
          <a:ln w="19050">
            <a:solidFill>
              <a:schemeClr val="lt1"/>
            </a:solidFill>
          </a:ln>
          <a:effectLst/>
        </c:spPr>
      </c:pivotFmt>
      <c:pivotFmt>
        <c:idx val="1066"/>
        <c:spPr>
          <a:solidFill>
            <a:schemeClr val="accent1"/>
          </a:solidFill>
          <a:ln w="19050">
            <a:solidFill>
              <a:schemeClr val="lt1"/>
            </a:solidFill>
          </a:ln>
          <a:effectLst/>
        </c:spPr>
      </c:pivotFmt>
      <c:pivotFmt>
        <c:idx val="1067"/>
        <c:spPr>
          <a:solidFill>
            <a:schemeClr val="accent1"/>
          </a:solidFill>
          <a:ln w="19050">
            <a:solidFill>
              <a:schemeClr val="lt1"/>
            </a:solidFill>
          </a:ln>
          <a:effectLst/>
        </c:spPr>
      </c:pivotFmt>
    </c:pivotFmts>
    <c:plotArea>
      <c:layout/>
      <c:pieChart>
        <c:varyColors val="1"/>
        <c:ser>
          <c:idx val="0"/>
          <c:order val="0"/>
          <c:tx>
            <c:strRef>
              <c:f>Sheet1!$B$3</c:f>
              <c:strCache>
                <c:ptCount val="1"/>
                <c:pt idx="0">
                  <c:v>Average of AirQuality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C6-425B-B9B7-EE7C7F9C26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C6-425B-B9B7-EE7C7F9C26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C6-425B-B9B7-EE7C7F9C26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C6-425B-B9B7-EE7C7F9C266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C6-425B-B9B7-EE7C7F9C266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9C6-425B-B9B7-EE7C7F9C266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9C6-425B-B9B7-EE7C7F9C266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9C6-425B-B9B7-EE7C7F9C266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9C6-425B-B9B7-EE7C7F9C266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9C6-425B-B9B7-EE7C7F9C2669}"/>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9C6-425B-B9B7-EE7C7F9C2669}"/>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9C6-425B-B9B7-EE7C7F9C2669}"/>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F9C6-425B-B9B7-EE7C7F9C2669}"/>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F9C6-425B-B9B7-EE7C7F9C2669}"/>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F9C6-425B-B9B7-EE7C7F9C2669}"/>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F9C6-425B-B9B7-EE7C7F9C2669}"/>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F9C6-425B-B9B7-EE7C7F9C2669}"/>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F9C6-425B-B9B7-EE7C7F9C2669}"/>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F9C6-425B-B9B7-EE7C7F9C2669}"/>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F9C6-425B-B9B7-EE7C7F9C2669}"/>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F9C6-425B-B9B7-EE7C7F9C2669}"/>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F9C6-425B-B9B7-EE7C7F9C2669}"/>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F9C6-425B-B9B7-EE7C7F9C2669}"/>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F9C6-425B-B9B7-EE7C7F9C2669}"/>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F9C6-425B-B9B7-EE7C7F9C2669}"/>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F9C6-425B-B9B7-EE7C7F9C2669}"/>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F9C6-425B-B9B7-EE7C7F9C2669}"/>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F9C6-425B-B9B7-EE7C7F9C2669}"/>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F9C6-425B-B9B7-EE7C7F9C2669}"/>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F9C6-425B-B9B7-EE7C7F9C2669}"/>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F9C6-425B-B9B7-EE7C7F9C2669}"/>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F9C6-425B-B9B7-EE7C7F9C2669}"/>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F9C6-425B-B9B7-EE7C7F9C2669}"/>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F9C6-425B-B9B7-EE7C7F9C2669}"/>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F9C6-425B-B9B7-EE7C7F9C2669}"/>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F9C6-425B-B9B7-EE7C7F9C2669}"/>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F9C6-425B-B9B7-EE7C7F9C2669}"/>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4B-F9C6-425B-B9B7-EE7C7F9C2669}"/>
              </c:ext>
            </c:extLst>
          </c:dPt>
          <c:dPt>
            <c:idx val="38"/>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4D-F9C6-425B-B9B7-EE7C7F9C2669}"/>
              </c:ext>
            </c:extLst>
          </c:dPt>
          <c:dPt>
            <c:idx val="3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4F-F9C6-425B-B9B7-EE7C7F9C2669}"/>
              </c:ext>
            </c:extLst>
          </c:dPt>
          <c:dPt>
            <c:idx val="40"/>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51-F9C6-425B-B9B7-EE7C7F9C2669}"/>
              </c:ext>
            </c:extLst>
          </c:dPt>
          <c:dPt>
            <c:idx val="41"/>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53-F9C6-425B-B9B7-EE7C7F9C2669}"/>
              </c:ext>
            </c:extLst>
          </c:dPt>
          <c:dPt>
            <c:idx val="42"/>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055-F9C6-425B-B9B7-EE7C7F9C2669}"/>
              </c:ext>
            </c:extLst>
          </c:dPt>
          <c:dPt>
            <c:idx val="43"/>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057-F9C6-425B-B9B7-EE7C7F9C2669}"/>
              </c:ext>
            </c:extLst>
          </c:dPt>
          <c:dPt>
            <c:idx val="44"/>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059-F9C6-425B-B9B7-EE7C7F9C2669}"/>
              </c:ext>
            </c:extLst>
          </c:dPt>
          <c:dPt>
            <c:idx val="45"/>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05B-F9C6-425B-B9B7-EE7C7F9C2669}"/>
              </c:ext>
            </c:extLst>
          </c:dPt>
          <c:dPt>
            <c:idx val="46"/>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05D-F9C6-425B-B9B7-EE7C7F9C2669}"/>
              </c:ext>
            </c:extLst>
          </c:dPt>
          <c:dPt>
            <c:idx val="47"/>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05F-F9C6-425B-B9B7-EE7C7F9C2669}"/>
              </c:ext>
            </c:extLst>
          </c:dPt>
          <c:dPt>
            <c:idx val="48"/>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061-F9C6-425B-B9B7-EE7C7F9C2669}"/>
              </c:ext>
            </c:extLst>
          </c:dPt>
          <c:dPt>
            <c:idx val="49"/>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063-F9C6-425B-B9B7-EE7C7F9C2669}"/>
              </c:ext>
            </c:extLst>
          </c:dPt>
          <c:dPt>
            <c:idx val="50"/>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065-F9C6-425B-B9B7-EE7C7F9C2669}"/>
              </c:ext>
            </c:extLst>
          </c:dPt>
          <c:dPt>
            <c:idx val="51"/>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067-F9C6-425B-B9B7-EE7C7F9C2669}"/>
              </c:ext>
            </c:extLst>
          </c:dPt>
          <c:dPt>
            <c:idx val="52"/>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069-F9C6-425B-B9B7-EE7C7F9C2669}"/>
              </c:ext>
            </c:extLst>
          </c:dPt>
          <c:dPt>
            <c:idx val="53"/>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06B-F9C6-425B-B9B7-EE7C7F9C2669}"/>
              </c:ext>
            </c:extLst>
          </c:dPt>
          <c:dPt>
            <c:idx val="54"/>
            <c:bubble3D val="0"/>
            <c:spPr>
              <a:solidFill>
                <a:schemeClr val="accent1"/>
              </a:solidFill>
              <a:ln w="19050">
                <a:solidFill>
                  <a:schemeClr val="lt1"/>
                </a:solidFill>
              </a:ln>
              <a:effectLst/>
            </c:spPr>
            <c:extLst>
              <c:ext xmlns:c16="http://schemas.microsoft.com/office/drawing/2014/chart" uri="{C3380CC4-5D6E-409C-BE32-E72D297353CC}">
                <c16:uniqueId val="{0000006D-F9C6-425B-B9B7-EE7C7F9C2669}"/>
              </c:ext>
            </c:extLst>
          </c:dPt>
          <c:dPt>
            <c:idx val="55"/>
            <c:bubble3D val="0"/>
            <c:spPr>
              <a:solidFill>
                <a:schemeClr val="accent2"/>
              </a:solidFill>
              <a:ln w="19050">
                <a:solidFill>
                  <a:schemeClr val="lt1"/>
                </a:solidFill>
              </a:ln>
              <a:effectLst/>
            </c:spPr>
            <c:extLst>
              <c:ext xmlns:c16="http://schemas.microsoft.com/office/drawing/2014/chart" uri="{C3380CC4-5D6E-409C-BE32-E72D297353CC}">
                <c16:uniqueId val="{0000006F-F9C6-425B-B9B7-EE7C7F9C2669}"/>
              </c:ext>
            </c:extLst>
          </c:dPt>
          <c:dPt>
            <c:idx val="56"/>
            <c:bubble3D val="0"/>
            <c:spPr>
              <a:solidFill>
                <a:schemeClr val="accent3"/>
              </a:solidFill>
              <a:ln w="19050">
                <a:solidFill>
                  <a:schemeClr val="lt1"/>
                </a:solidFill>
              </a:ln>
              <a:effectLst/>
            </c:spPr>
            <c:extLst>
              <c:ext xmlns:c16="http://schemas.microsoft.com/office/drawing/2014/chart" uri="{C3380CC4-5D6E-409C-BE32-E72D297353CC}">
                <c16:uniqueId val="{00000071-F9C6-425B-B9B7-EE7C7F9C2669}"/>
              </c:ext>
            </c:extLst>
          </c:dPt>
          <c:dPt>
            <c:idx val="57"/>
            <c:bubble3D val="0"/>
            <c:spPr>
              <a:solidFill>
                <a:schemeClr val="accent4"/>
              </a:solidFill>
              <a:ln w="19050">
                <a:solidFill>
                  <a:schemeClr val="lt1"/>
                </a:solidFill>
              </a:ln>
              <a:effectLst/>
            </c:spPr>
            <c:extLst>
              <c:ext xmlns:c16="http://schemas.microsoft.com/office/drawing/2014/chart" uri="{C3380CC4-5D6E-409C-BE32-E72D297353CC}">
                <c16:uniqueId val="{00000073-F9C6-425B-B9B7-EE7C7F9C2669}"/>
              </c:ext>
            </c:extLst>
          </c:dPt>
          <c:dPt>
            <c:idx val="58"/>
            <c:bubble3D val="0"/>
            <c:spPr>
              <a:solidFill>
                <a:schemeClr val="accent5"/>
              </a:solidFill>
              <a:ln w="19050">
                <a:solidFill>
                  <a:schemeClr val="lt1"/>
                </a:solidFill>
              </a:ln>
              <a:effectLst/>
            </c:spPr>
            <c:extLst>
              <c:ext xmlns:c16="http://schemas.microsoft.com/office/drawing/2014/chart" uri="{C3380CC4-5D6E-409C-BE32-E72D297353CC}">
                <c16:uniqueId val="{00000075-F9C6-425B-B9B7-EE7C7F9C2669}"/>
              </c:ext>
            </c:extLst>
          </c:dPt>
          <c:dPt>
            <c:idx val="59"/>
            <c:bubble3D val="0"/>
            <c:spPr>
              <a:solidFill>
                <a:schemeClr val="accent6"/>
              </a:solidFill>
              <a:ln w="19050">
                <a:solidFill>
                  <a:schemeClr val="lt1"/>
                </a:solidFill>
              </a:ln>
              <a:effectLst/>
            </c:spPr>
            <c:extLst>
              <c:ext xmlns:c16="http://schemas.microsoft.com/office/drawing/2014/chart" uri="{C3380CC4-5D6E-409C-BE32-E72D297353CC}">
                <c16:uniqueId val="{00000077-F9C6-425B-B9B7-EE7C7F9C2669}"/>
              </c:ext>
            </c:extLst>
          </c:dPt>
          <c:dPt>
            <c:idx val="60"/>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79-F9C6-425B-B9B7-EE7C7F9C2669}"/>
              </c:ext>
            </c:extLst>
          </c:dPt>
          <c:dPt>
            <c:idx val="61"/>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7B-F9C6-425B-B9B7-EE7C7F9C2669}"/>
              </c:ext>
            </c:extLst>
          </c:dPt>
          <c:dPt>
            <c:idx val="62"/>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7D-F9C6-425B-B9B7-EE7C7F9C2669}"/>
              </c:ext>
            </c:extLst>
          </c:dPt>
          <c:dPt>
            <c:idx val="63"/>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7F-F9C6-425B-B9B7-EE7C7F9C2669}"/>
              </c:ext>
            </c:extLst>
          </c:dPt>
          <c:dPt>
            <c:idx val="6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81-F9C6-425B-B9B7-EE7C7F9C2669}"/>
              </c:ext>
            </c:extLst>
          </c:dPt>
          <c:dPt>
            <c:idx val="6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83-F9C6-425B-B9B7-EE7C7F9C2669}"/>
              </c:ext>
            </c:extLst>
          </c:dPt>
          <c:dPt>
            <c:idx val="6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85-F9C6-425B-B9B7-EE7C7F9C2669}"/>
              </c:ext>
            </c:extLst>
          </c:dPt>
          <c:dPt>
            <c:idx val="67"/>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87-F9C6-425B-B9B7-EE7C7F9C2669}"/>
              </c:ext>
            </c:extLst>
          </c:dPt>
          <c:dPt>
            <c:idx val="68"/>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89-F9C6-425B-B9B7-EE7C7F9C2669}"/>
              </c:ext>
            </c:extLst>
          </c:dPt>
          <c:dPt>
            <c:idx val="69"/>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8B-F9C6-425B-B9B7-EE7C7F9C2669}"/>
              </c:ext>
            </c:extLst>
          </c:dPt>
          <c:dPt>
            <c:idx val="70"/>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8D-F9C6-425B-B9B7-EE7C7F9C2669}"/>
              </c:ext>
            </c:extLst>
          </c:dPt>
          <c:dPt>
            <c:idx val="71"/>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8F-F9C6-425B-B9B7-EE7C7F9C2669}"/>
              </c:ext>
            </c:extLst>
          </c:dPt>
          <c:dPt>
            <c:idx val="72"/>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91-F9C6-425B-B9B7-EE7C7F9C2669}"/>
              </c:ext>
            </c:extLst>
          </c:dPt>
          <c:dPt>
            <c:idx val="73"/>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93-F9C6-425B-B9B7-EE7C7F9C2669}"/>
              </c:ext>
            </c:extLst>
          </c:dPt>
          <c:dPt>
            <c:idx val="74"/>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95-F9C6-425B-B9B7-EE7C7F9C2669}"/>
              </c:ext>
            </c:extLst>
          </c:dPt>
          <c:dPt>
            <c:idx val="75"/>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97-F9C6-425B-B9B7-EE7C7F9C2669}"/>
              </c:ext>
            </c:extLst>
          </c:dPt>
          <c:dPt>
            <c:idx val="76"/>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99-F9C6-425B-B9B7-EE7C7F9C2669}"/>
              </c:ext>
            </c:extLst>
          </c:dPt>
          <c:dPt>
            <c:idx val="77"/>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9B-F9C6-425B-B9B7-EE7C7F9C2669}"/>
              </c:ext>
            </c:extLst>
          </c:dPt>
          <c:dPt>
            <c:idx val="78"/>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9D-F9C6-425B-B9B7-EE7C7F9C2669}"/>
              </c:ext>
            </c:extLst>
          </c:dPt>
          <c:dPt>
            <c:idx val="79"/>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9F-F9C6-425B-B9B7-EE7C7F9C2669}"/>
              </c:ext>
            </c:extLst>
          </c:dPt>
          <c:dPt>
            <c:idx val="80"/>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A1-F9C6-425B-B9B7-EE7C7F9C2669}"/>
              </c:ext>
            </c:extLst>
          </c:dPt>
          <c:dPt>
            <c:idx val="81"/>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A3-F9C6-425B-B9B7-EE7C7F9C2669}"/>
              </c:ext>
            </c:extLst>
          </c:dPt>
          <c:dPt>
            <c:idx val="8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A5-F9C6-425B-B9B7-EE7C7F9C2669}"/>
              </c:ext>
            </c:extLst>
          </c:dPt>
          <c:dPt>
            <c:idx val="83"/>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A7-F9C6-425B-B9B7-EE7C7F9C2669}"/>
              </c:ext>
            </c:extLst>
          </c:dPt>
          <c:dPt>
            <c:idx val="84"/>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A9-F9C6-425B-B9B7-EE7C7F9C2669}"/>
              </c:ext>
            </c:extLst>
          </c:dPt>
          <c:dPt>
            <c:idx val="85"/>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AB-F9C6-425B-B9B7-EE7C7F9C2669}"/>
              </c:ext>
            </c:extLst>
          </c:dPt>
          <c:dPt>
            <c:idx val="86"/>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AD-F9C6-425B-B9B7-EE7C7F9C2669}"/>
              </c:ext>
            </c:extLst>
          </c:dPt>
          <c:dPt>
            <c:idx val="87"/>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AF-F9C6-425B-B9B7-EE7C7F9C2669}"/>
              </c:ext>
            </c:extLst>
          </c:dPt>
          <c:dPt>
            <c:idx val="88"/>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B1-F9C6-425B-B9B7-EE7C7F9C2669}"/>
              </c:ext>
            </c:extLst>
          </c:dPt>
          <c:dPt>
            <c:idx val="89"/>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B3-F9C6-425B-B9B7-EE7C7F9C2669}"/>
              </c:ext>
            </c:extLst>
          </c:dPt>
          <c:dPt>
            <c:idx val="90"/>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B5-F9C6-425B-B9B7-EE7C7F9C2669}"/>
              </c:ext>
            </c:extLst>
          </c:dPt>
          <c:dPt>
            <c:idx val="91"/>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B7-F9C6-425B-B9B7-EE7C7F9C2669}"/>
              </c:ext>
            </c:extLst>
          </c:dPt>
          <c:dPt>
            <c:idx val="92"/>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B9-F9C6-425B-B9B7-EE7C7F9C2669}"/>
              </c:ext>
            </c:extLst>
          </c:dPt>
          <c:dPt>
            <c:idx val="93"/>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BB-F9C6-425B-B9B7-EE7C7F9C2669}"/>
              </c:ext>
            </c:extLst>
          </c:dPt>
          <c:dPt>
            <c:idx val="94"/>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BD-F9C6-425B-B9B7-EE7C7F9C2669}"/>
              </c:ext>
            </c:extLst>
          </c:dPt>
          <c:dPt>
            <c:idx val="95"/>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BF-F9C6-425B-B9B7-EE7C7F9C2669}"/>
              </c:ext>
            </c:extLst>
          </c:dPt>
          <c:dPt>
            <c:idx val="96"/>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0C1-F9C6-425B-B9B7-EE7C7F9C2669}"/>
              </c:ext>
            </c:extLst>
          </c:dPt>
          <c:dPt>
            <c:idx val="97"/>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0C3-F9C6-425B-B9B7-EE7C7F9C2669}"/>
              </c:ext>
            </c:extLst>
          </c:dPt>
          <c:dPt>
            <c:idx val="98"/>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0C5-F9C6-425B-B9B7-EE7C7F9C2669}"/>
              </c:ext>
            </c:extLst>
          </c:dPt>
          <c:dPt>
            <c:idx val="99"/>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0C7-F9C6-425B-B9B7-EE7C7F9C2669}"/>
              </c:ext>
            </c:extLst>
          </c:dPt>
          <c:dPt>
            <c:idx val="100"/>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0C9-F9C6-425B-B9B7-EE7C7F9C2669}"/>
              </c:ext>
            </c:extLst>
          </c:dPt>
          <c:dPt>
            <c:idx val="101"/>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0CB-F9C6-425B-B9B7-EE7C7F9C2669}"/>
              </c:ext>
            </c:extLst>
          </c:dPt>
          <c:dPt>
            <c:idx val="102"/>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0CD-F9C6-425B-B9B7-EE7C7F9C2669}"/>
              </c:ext>
            </c:extLst>
          </c:dPt>
          <c:dPt>
            <c:idx val="103"/>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0CF-F9C6-425B-B9B7-EE7C7F9C2669}"/>
              </c:ext>
            </c:extLst>
          </c:dPt>
          <c:dPt>
            <c:idx val="104"/>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0D1-F9C6-425B-B9B7-EE7C7F9C2669}"/>
              </c:ext>
            </c:extLst>
          </c:dPt>
          <c:dPt>
            <c:idx val="105"/>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0D3-F9C6-425B-B9B7-EE7C7F9C2669}"/>
              </c:ext>
            </c:extLst>
          </c:dPt>
          <c:dPt>
            <c:idx val="106"/>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0D5-F9C6-425B-B9B7-EE7C7F9C2669}"/>
              </c:ext>
            </c:extLst>
          </c:dPt>
          <c:dPt>
            <c:idx val="107"/>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0D7-F9C6-425B-B9B7-EE7C7F9C2669}"/>
              </c:ext>
            </c:extLst>
          </c:dPt>
          <c:dPt>
            <c:idx val="108"/>
            <c:bubble3D val="0"/>
            <c:spPr>
              <a:solidFill>
                <a:schemeClr val="accent1"/>
              </a:solidFill>
              <a:ln w="19050">
                <a:solidFill>
                  <a:schemeClr val="lt1"/>
                </a:solidFill>
              </a:ln>
              <a:effectLst/>
            </c:spPr>
            <c:extLst>
              <c:ext xmlns:c16="http://schemas.microsoft.com/office/drawing/2014/chart" uri="{C3380CC4-5D6E-409C-BE32-E72D297353CC}">
                <c16:uniqueId val="{000000D9-F9C6-425B-B9B7-EE7C7F9C2669}"/>
              </c:ext>
            </c:extLst>
          </c:dPt>
          <c:dPt>
            <c:idx val="109"/>
            <c:bubble3D val="0"/>
            <c:spPr>
              <a:solidFill>
                <a:schemeClr val="accent2"/>
              </a:solidFill>
              <a:ln w="19050">
                <a:solidFill>
                  <a:schemeClr val="lt1"/>
                </a:solidFill>
              </a:ln>
              <a:effectLst/>
            </c:spPr>
            <c:extLst>
              <c:ext xmlns:c16="http://schemas.microsoft.com/office/drawing/2014/chart" uri="{C3380CC4-5D6E-409C-BE32-E72D297353CC}">
                <c16:uniqueId val="{000000DB-F9C6-425B-B9B7-EE7C7F9C2669}"/>
              </c:ext>
            </c:extLst>
          </c:dPt>
          <c:dPt>
            <c:idx val="110"/>
            <c:bubble3D val="0"/>
            <c:spPr>
              <a:solidFill>
                <a:schemeClr val="accent3"/>
              </a:solidFill>
              <a:ln w="19050">
                <a:solidFill>
                  <a:schemeClr val="lt1"/>
                </a:solidFill>
              </a:ln>
              <a:effectLst/>
            </c:spPr>
            <c:extLst>
              <c:ext xmlns:c16="http://schemas.microsoft.com/office/drawing/2014/chart" uri="{C3380CC4-5D6E-409C-BE32-E72D297353CC}">
                <c16:uniqueId val="{000000DD-F9C6-425B-B9B7-EE7C7F9C2669}"/>
              </c:ext>
            </c:extLst>
          </c:dPt>
          <c:dPt>
            <c:idx val="111"/>
            <c:bubble3D val="0"/>
            <c:spPr>
              <a:solidFill>
                <a:schemeClr val="accent4"/>
              </a:solidFill>
              <a:ln w="19050">
                <a:solidFill>
                  <a:schemeClr val="lt1"/>
                </a:solidFill>
              </a:ln>
              <a:effectLst/>
            </c:spPr>
            <c:extLst>
              <c:ext xmlns:c16="http://schemas.microsoft.com/office/drawing/2014/chart" uri="{C3380CC4-5D6E-409C-BE32-E72D297353CC}">
                <c16:uniqueId val="{000000DF-F9C6-425B-B9B7-EE7C7F9C2669}"/>
              </c:ext>
            </c:extLst>
          </c:dPt>
          <c:dPt>
            <c:idx val="112"/>
            <c:bubble3D val="0"/>
            <c:spPr>
              <a:solidFill>
                <a:schemeClr val="accent5"/>
              </a:solidFill>
              <a:ln w="19050">
                <a:solidFill>
                  <a:schemeClr val="lt1"/>
                </a:solidFill>
              </a:ln>
              <a:effectLst/>
            </c:spPr>
            <c:extLst>
              <c:ext xmlns:c16="http://schemas.microsoft.com/office/drawing/2014/chart" uri="{C3380CC4-5D6E-409C-BE32-E72D297353CC}">
                <c16:uniqueId val="{000000E1-F9C6-425B-B9B7-EE7C7F9C2669}"/>
              </c:ext>
            </c:extLst>
          </c:dPt>
          <c:dPt>
            <c:idx val="113"/>
            <c:bubble3D val="0"/>
            <c:spPr>
              <a:solidFill>
                <a:schemeClr val="accent6"/>
              </a:solidFill>
              <a:ln w="19050">
                <a:solidFill>
                  <a:schemeClr val="lt1"/>
                </a:solidFill>
              </a:ln>
              <a:effectLst/>
            </c:spPr>
            <c:extLst>
              <c:ext xmlns:c16="http://schemas.microsoft.com/office/drawing/2014/chart" uri="{C3380CC4-5D6E-409C-BE32-E72D297353CC}">
                <c16:uniqueId val="{000000E3-F9C6-425B-B9B7-EE7C7F9C2669}"/>
              </c:ext>
            </c:extLst>
          </c:dPt>
          <c:dPt>
            <c:idx val="114"/>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E5-F9C6-425B-B9B7-EE7C7F9C2669}"/>
              </c:ext>
            </c:extLst>
          </c:dPt>
          <c:dPt>
            <c:idx val="115"/>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E7-F9C6-425B-B9B7-EE7C7F9C2669}"/>
              </c:ext>
            </c:extLst>
          </c:dPt>
          <c:dPt>
            <c:idx val="116"/>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E9-F9C6-425B-B9B7-EE7C7F9C2669}"/>
              </c:ext>
            </c:extLst>
          </c:dPt>
          <c:dPt>
            <c:idx val="117"/>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EB-F9C6-425B-B9B7-EE7C7F9C2669}"/>
              </c:ext>
            </c:extLst>
          </c:dPt>
          <c:dPt>
            <c:idx val="118"/>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ED-F9C6-425B-B9B7-EE7C7F9C2669}"/>
              </c:ext>
            </c:extLst>
          </c:dPt>
          <c:dPt>
            <c:idx val="119"/>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EF-F9C6-425B-B9B7-EE7C7F9C2669}"/>
              </c:ext>
            </c:extLst>
          </c:dPt>
          <c:dPt>
            <c:idx val="120"/>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F1-F9C6-425B-B9B7-EE7C7F9C2669}"/>
              </c:ext>
            </c:extLst>
          </c:dPt>
          <c:dPt>
            <c:idx val="121"/>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F3-F9C6-425B-B9B7-EE7C7F9C2669}"/>
              </c:ext>
            </c:extLst>
          </c:dPt>
          <c:dPt>
            <c:idx val="122"/>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F5-F9C6-425B-B9B7-EE7C7F9C2669}"/>
              </c:ext>
            </c:extLst>
          </c:dPt>
          <c:dPt>
            <c:idx val="123"/>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F7-F9C6-425B-B9B7-EE7C7F9C2669}"/>
              </c:ext>
            </c:extLst>
          </c:dPt>
          <c:dPt>
            <c:idx val="124"/>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F9-F9C6-425B-B9B7-EE7C7F9C2669}"/>
              </c:ext>
            </c:extLst>
          </c:dPt>
          <c:dPt>
            <c:idx val="125"/>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FB-F9C6-425B-B9B7-EE7C7F9C2669}"/>
              </c:ext>
            </c:extLst>
          </c:dPt>
          <c:dPt>
            <c:idx val="126"/>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FD-F9C6-425B-B9B7-EE7C7F9C2669}"/>
              </c:ext>
            </c:extLst>
          </c:dPt>
          <c:dPt>
            <c:idx val="127"/>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FF-F9C6-425B-B9B7-EE7C7F9C2669}"/>
              </c:ext>
            </c:extLst>
          </c:dPt>
          <c:dPt>
            <c:idx val="128"/>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101-F9C6-425B-B9B7-EE7C7F9C2669}"/>
              </c:ext>
            </c:extLst>
          </c:dPt>
          <c:dPt>
            <c:idx val="129"/>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103-F9C6-425B-B9B7-EE7C7F9C2669}"/>
              </c:ext>
            </c:extLst>
          </c:dPt>
          <c:dPt>
            <c:idx val="130"/>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105-F9C6-425B-B9B7-EE7C7F9C2669}"/>
              </c:ext>
            </c:extLst>
          </c:dPt>
          <c:dPt>
            <c:idx val="131"/>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107-F9C6-425B-B9B7-EE7C7F9C2669}"/>
              </c:ext>
            </c:extLst>
          </c:dPt>
          <c:dPt>
            <c:idx val="132"/>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109-F9C6-425B-B9B7-EE7C7F9C2669}"/>
              </c:ext>
            </c:extLst>
          </c:dPt>
          <c:dPt>
            <c:idx val="13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10B-F9C6-425B-B9B7-EE7C7F9C2669}"/>
              </c:ext>
            </c:extLst>
          </c:dPt>
          <c:dPt>
            <c:idx val="134"/>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10D-F9C6-425B-B9B7-EE7C7F9C2669}"/>
              </c:ext>
            </c:extLst>
          </c:dPt>
          <c:dPt>
            <c:idx val="135"/>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10F-F9C6-425B-B9B7-EE7C7F9C2669}"/>
              </c:ext>
            </c:extLst>
          </c:dPt>
          <c:dPt>
            <c:idx val="136"/>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111-F9C6-425B-B9B7-EE7C7F9C2669}"/>
              </c:ext>
            </c:extLst>
          </c:dPt>
          <c:dPt>
            <c:idx val="137"/>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113-F9C6-425B-B9B7-EE7C7F9C2669}"/>
              </c:ext>
            </c:extLst>
          </c:dPt>
          <c:dPt>
            <c:idx val="138"/>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115-F9C6-425B-B9B7-EE7C7F9C2669}"/>
              </c:ext>
            </c:extLst>
          </c:dPt>
          <c:dPt>
            <c:idx val="139"/>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117-F9C6-425B-B9B7-EE7C7F9C2669}"/>
              </c:ext>
            </c:extLst>
          </c:dPt>
          <c:dPt>
            <c:idx val="140"/>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119-F9C6-425B-B9B7-EE7C7F9C2669}"/>
              </c:ext>
            </c:extLst>
          </c:dPt>
          <c:dPt>
            <c:idx val="141"/>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11B-F9C6-425B-B9B7-EE7C7F9C2669}"/>
              </c:ext>
            </c:extLst>
          </c:dPt>
          <c:dPt>
            <c:idx val="142"/>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11D-F9C6-425B-B9B7-EE7C7F9C2669}"/>
              </c:ext>
            </c:extLst>
          </c:dPt>
          <c:dPt>
            <c:idx val="143"/>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11F-F9C6-425B-B9B7-EE7C7F9C2669}"/>
              </c:ext>
            </c:extLst>
          </c:dPt>
          <c:dPt>
            <c:idx val="144"/>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121-F9C6-425B-B9B7-EE7C7F9C2669}"/>
              </c:ext>
            </c:extLst>
          </c:dPt>
          <c:dPt>
            <c:idx val="145"/>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123-F9C6-425B-B9B7-EE7C7F9C2669}"/>
              </c:ext>
            </c:extLst>
          </c:dPt>
          <c:dPt>
            <c:idx val="146"/>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125-F9C6-425B-B9B7-EE7C7F9C2669}"/>
              </c:ext>
            </c:extLst>
          </c:dPt>
          <c:dPt>
            <c:idx val="147"/>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127-F9C6-425B-B9B7-EE7C7F9C2669}"/>
              </c:ext>
            </c:extLst>
          </c:dPt>
          <c:dPt>
            <c:idx val="148"/>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129-F9C6-425B-B9B7-EE7C7F9C2669}"/>
              </c:ext>
            </c:extLst>
          </c:dPt>
          <c:dPt>
            <c:idx val="149"/>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12B-F9C6-425B-B9B7-EE7C7F9C2669}"/>
              </c:ext>
            </c:extLst>
          </c:dPt>
          <c:dPt>
            <c:idx val="150"/>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12D-F9C6-425B-B9B7-EE7C7F9C2669}"/>
              </c:ext>
            </c:extLst>
          </c:dPt>
          <c:dPt>
            <c:idx val="151"/>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12F-F9C6-425B-B9B7-EE7C7F9C2669}"/>
              </c:ext>
            </c:extLst>
          </c:dPt>
          <c:dPt>
            <c:idx val="152"/>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131-F9C6-425B-B9B7-EE7C7F9C2669}"/>
              </c:ext>
            </c:extLst>
          </c:dPt>
          <c:dPt>
            <c:idx val="153"/>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133-F9C6-425B-B9B7-EE7C7F9C2669}"/>
              </c:ext>
            </c:extLst>
          </c:dPt>
          <c:dPt>
            <c:idx val="154"/>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135-F9C6-425B-B9B7-EE7C7F9C2669}"/>
              </c:ext>
            </c:extLst>
          </c:dPt>
          <c:dPt>
            <c:idx val="155"/>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137-F9C6-425B-B9B7-EE7C7F9C2669}"/>
              </c:ext>
            </c:extLst>
          </c:dPt>
          <c:dPt>
            <c:idx val="156"/>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139-F9C6-425B-B9B7-EE7C7F9C2669}"/>
              </c:ext>
            </c:extLst>
          </c:dPt>
          <c:dPt>
            <c:idx val="157"/>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13B-F9C6-425B-B9B7-EE7C7F9C2669}"/>
              </c:ext>
            </c:extLst>
          </c:dPt>
          <c:dPt>
            <c:idx val="158"/>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13D-F9C6-425B-B9B7-EE7C7F9C2669}"/>
              </c:ext>
            </c:extLst>
          </c:dPt>
          <c:dPt>
            <c:idx val="159"/>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13F-F9C6-425B-B9B7-EE7C7F9C2669}"/>
              </c:ext>
            </c:extLst>
          </c:dPt>
          <c:dPt>
            <c:idx val="160"/>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141-F9C6-425B-B9B7-EE7C7F9C2669}"/>
              </c:ext>
            </c:extLst>
          </c:dPt>
          <c:dPt>
            <c:idx val="161"/>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143-F9C6-425B-B9B7-EE7C7F9C2669}"/>
              </c:ext>
            </c:extLst>
          </c:dPt>
          <c:dPt>
            <c:idx val="162"/>
            <c:bubble3D val="0"/>
            <c:spPr>
              <a:solidFill>
                <a:schemeClr val="accent1"/>
              </a:solidFill>
              <a:ln w="19050">
                <a:solidFill>
                  <a:schemeClr val="lt1"/>
                </a:solidFill>
              </a:ln>
              <a:effectLst/>
            </c:spPr>
            <c:extLst>
              <c:ext xmlns:c16="http://schemas.microsoft.com/office/drawing/2014/chart" uri="{C3380CC4-5D6E-409C-BE32-E72D297353CC}">
                <c16:uniqueId val="{00000145-F9C6-425B-B9B7-EE7C7F9C2669}"/>
              </c:ext>
            </c:extLst>
          </c:dPt>
          <c:dPt>
            <c:idx val="163"/>
            <c:bubble3D val="0"/>
            <c:spPr>
              <a:solidFill>
                <a:schemeClr val="accent2"/>
              </a:solidFill>
              <a:ln w="19050">
                <a:solidFill>
                  <a:schemeClr val="lt1"/>
                </a:solidFill>
              </a:ln>
              <a:effectLst/>
            </c:spPr>
            <c:extLst>
              <c:ext xmlns:c16="http://schemas.microsoft.com/office/drawing/2014/chart" uri="{C3380CC4-5D6E-409C-BE32-E72D297353CC}">
                <c16:uniqueId val="{00000147-F9C6-425B-B9B7-EE7C7F9C2669}"/>
              </c:ext>
            </c:extLst>
          </c:dPt>
          <c:dPt>
            <c:idx val="164"/>
            <c:bubble3D val="0"/>
            <c:spPr>
              <a:solidFill>
                <a:schemeClr val="accent3"/>
              </a:solidFill>
              <a:ln w="19050">
                <a:solidFill>
                  <a:schemeClr val="lt1"/>
                </a:solidFill>
              </a:ln>
              <a:effectLst/>
            </c:spPr>
            <c:extLst>
              <c:ext xmlns:c16="http://schemas.microsoft.com/office/drawing/2014/chart" uri="{C3380CC4-5D6E-409C-BE32-E72D297353CC}">
                <c16:uniqueId val="{00000149-F9C6-425B-B9B7-EE7C7F9C2669}"/>
              </c:ext>
            </c:extLst>
          </c:dPt>
          <c:dPt>
            <c:idx val="165"/>
            <c:bubble3D val="0"/>
            <c:spPr>
              <a:solidFill>
                <a:schemeClr val="accent4"/>
              </a:solidFill>
              <a:ln w="19050">
                <a:solidFill>
                  <a:schemeClr val="lt1"/>
                </a:solidFill>
              </a:ln>
              <a:effectLst/>
            </c:spPr>
            <c:extLst>
              <c:ext xmlns:c16="http://schemas.microsoft.com/office/drawing/2014/chart" uri="{C3380CC4-5D6E-409C-BE32-E72D297353CC}">
                <c16:uniqueId val="{0000014B-F9C6-425B-B9B7-EE7C7F9C2669}"/>
              </c:ext>
            </c:extLst>
          </c:dPt>
          <c:dPt>
            <c:idx val="166"/>
            <c:bubble3D val="0"/>
            <c:spPr>
              <a:solidFill>
                <a:schemeClr val="accent5"/>
              </a:solidFill>
              <a:ln w="19050">
                <a:solidFill>
                  <a:schemeClr val="lt1"/>
                </a:solidFill>
              </a:ln>
              <a:effectLst/>
            </c:spPr>
            <c:extLst>
              <c:ext xmlns:c16="http://schemas.microsoft.com/office/drawing/2014/chart" uri="{C3380CC4-5D6E-409C-BE32-E72D297353CC}">
                <c16:uniqueId val="{0000014D-F9C6-425B-B9B7-EE7C7F9C2669}"/>
              </c:ext>
            </c:extLst>
          </c:dPt>
          <c:dPt>
            <c:idx val="167"/>
            <c:bubble3D val="0"/>
            <c:spPr>
              <a:solidFill>
                <a:schemeClr val="accent6"/>
              </a:solidFill>
              <a:ln w="19050">
                <a:solidFill>
                  <a:schemeClr val="lt1"/>
                </a:solidFill>
              </a:ln>
              <a:effectLst/>
            </c:spPr>
            <c:extLst>
              <c:ext xmlns:c16="http://schemas.microsoft.com/office/drawing/2014/chart" uri="{C3380CC4-5D6E-409C-BE32-E72D297353CC}">
                <c16:uniqueId val="{0000014F-F9C6-425B-B9B7-EE7C7F9C2669}"/>
              </c:ext>
            </c:extLst>
          </c:dPt>
          <c:dPt>
            <c:idx val="168"/>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151-F9C6-425B-B9B7-EE7C7F9C2669}"/>
              </c:ext>
            </c:extLst>
          </c:dPt>
          <c:dPt>
            <c:idx val="169"/>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153-F9C6-425B-B9B7-EE7C7F9C2669}"/>
              </c:ext>
            </c:extLst>
          </c:dPt>
          <c:dPt>
            <c:idx val="170"/>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155-F9C6-425B-B9B7-EE7C7F9C2669}"/>
              </c:ext>
            </c:extLst>
          </c:dPt>
          <c:dPt>
            <c:idx val="171"/>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157-F9C6-425B-B9B7-EE7C7F9C2669}"/>
              </c:ext>
            </c:extLst>
          </c:dPt>
          <c:dPt>
            <c:idx val="172"/>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159-F9C6-425B-B9B7-EE7C7F9C2669}"/>
              </c:ext>
            </c:extLst>
          </c:dPt>
          <c:dPt>
            <c:idx val="17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15B-F9C6-425B-B9B7-EE7C7F9C2669}"/>
              </c:ext>
            </c:extLst>
          </c:dPt>
          <c:dPt>
            <c:idx val="174"/>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15D-F9C6-425B-B9B7-EE7C7F9C2669}"/>
              </c:ext>
            </c:extLst>
          </c:dPt>
          <c:dPt>
            <c:idx val="175"/>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15F-F9C6-425B-B9B7-EE7C7F9C2669}"/>
              </c:ext>
            </c:extLst>
          </c:dPt>
          <c:dPt>
            <c:idx val="176"/>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161-F9C6-425B-B9B7-EE7C7F9C2669}"/>
              </c:ext>
            </c:extLst>
          </c:dPt>
          <c:cat>
            <c:strRef>
              <c:f>Sheet1!$A$4:$A$181</c:f>
              <c:strCache>
                <c:ptCount val="177"/>
                <c:pt idx="0">
                  <c:v>Afghanistan</c:v>
                </c:pt>
                <c:pt idx="1">
                  <c:v>Albania</c:v>
                </c:pt>
                <c:pt idx="2">
                  <c:v>Algeria</c:v>
                </c:pt>
                <c:pt idx="3">
                  <c:v>Andorra</c:v>
                </c:pt>
                <c:pt idx="4">
                  <c:v>Angola</c:v>
                </c:pt>
                <c:pt idx="5">
                  <c:v>Argentina</c:v>
                </c:pt>
                <c:pt idx="6">
                  <c:v>Armenia</c:v>
                </c:pt>
                <c:pt idx="7">
                  <c:v>Australia</c:v>
                </c:pt>
                <c:pt idx="8">
                  <c:v>Austria</c:v>
                </c:pt>
                <c:pt idx="9">
                  <c:v>Azerbaijan</c:v>
                </c:pt>
                <c:pt idx="10">
                  <c:v>Bahrain</c:v>
                </c:pt>
                <c:pt idx="11">
                  <c:v>Bangladesh</c:v>
                </c:pt>
                <c:pt idx="12">
                  <c:v>Barbados</c:v>
                </c:pt>
                <c:pt idx="13">
                  <c:v>Belarus</c:v>
                </c:pt>
                <c:pt idx="14">
                  <c:v>Belgium</c:v>
                </c:pt>
                <c:pt idx="15">
                  <c:v>Belize</c:v>
                </c:pt>
                <c:pt idx="16">
                  <c:v>Benin</c:v>
                </c:pt>
                <c:pt idx="17">
                  <c:v>Bhutan</c:v>
                </c:pt>
                <c:pt idx="18">
                  <c:v>Bolivia</c:v>
                </c:pt>
                <c:pt idx="19">
                  <c:v>Bosnia and Herzegovina</c:v>
                </c:pt>
                <c:pt idx="20">
                  <c:v>Botswana</c:v>
                </c:pt>
                <c:pt idx="21">
                  <c:v>Brazil</c:v>
                </c:pt>
                <c:pt idx="22">
                  <c:v>Brunei</c:v>
                </c:pt>
                <c:pt idx="23">
                  <c:v>Bulgaria</c:v>
                </c:pt>
                <c:pt idx="24">
                  <c:v>Burundi</c:v>
                </c:pt>
                <c:pt idx="25">
                  <c:v>Cambodia</c:v>
                </c:pt>
                <c:pt idx="26">
                  <c:v>Cameroon</c:v>
                </c:pt>
                <c:pt idx="27">
                  <c:v>Canada</c:v>
                </c:pt>
                <c:pt idx="28">
                  <c:v>Central African Republic</c:v>
                </c:pt>
                <c:pt idx="29">
                  <c:v>Chad</c:v>
                </c:pt>
                <c:pt idx="30">
                  <c:v>Chile</c:v>
                </c:pt>
                <c:pt idx="31">
                  <c:v>Colombia</c:v>
                </c:pt>
                <c:pt idx="32">
                  <c:v>Costa Rica</c:v>
                </c:pt>
                <c:pt idx="33">
                  <c:v>Cote d'Ivoire</c:v>
                </c:pt>
                <c:pt idx="34">
                  <c:v>Croatia</c:v>
                </c:pt>
                <c:pt idx="35">
                  <c:v>Cuba</c:v>
                </c:pt>
                <c:pt idx="36">
                  <c:v>Cyprus</c:v>
                </c:pt>
                <c:pt idx="37">
                  <c:v>Czech Republic</c:v>
                </c:pt>
                <c:pt idx="38">
                  <c:v>Djibouti</c:v>
                </c:pt>
                <c:pt idx="39">
                  <c:v>Dominican Republic</c:v>
                </c:pt>
                <c:pt idx="40">
                  <c:v>Ecuador</c:v>
                </c:pt>
                <c:pt idx="41">
                  <c:v>Egypt</c:v>
                </c:pt>
                <c:pt idx="42">
                  <c:v>El Salvador</c:v>
                </c:pt>
                <c:pt idx="43">
                  <c:v>Equatorial Guinea</c:v>
                </c:pt>
                <c:pt idx="44">
                  <c:v>Eritrea</c:v>
                </c:pt>
                <c:pt idx="45">
                  <c:v>Estonia</c:v>
                </c:pt>
                <c:pt idx="46">
                  <c:v>Eswatini</c:v>
                </c:pt>
                <c:pt idx="47">
                  <c:v>Ethiopia</c:v>
                </c:pt>
                <c:pt idx="48">
                  <c:v>Federated States of Micronesia</c:v>
                </c:pt>
                <c:pt idx="49">
                  <c:v>Fiji</c:v>
                </c:pt>
                <c:pt idx="50">
                  <c:v>Finland</c:v>
                </c:pt>
                <c:pt idx="51">
                  <c:v>France</c:v>
                </c:pt>
                <c:pt idx="52">
                  <c:v>Gabon</c:v>
                </c:pt>
                <c:pt idx="53">
                  <c:v>Georgia</c:v>
                </c:pt>
                <c:pt idx="54">
                  <c:v>Germany</c:v>
                </c:pt>
                <c:pt idx="55">
                  <c:v>Ghana</c:v>
                </c:pt>
                <c:pt idx="56">
                  <c:v>Greece</c:v>
                </c:pt>
                <c:pt idx="57">
                  <c:v>Grenada</c:v>
                </c:pt>
                <c:pt idx="58">
                  <c:v>Guatemala</c:v>
                </c:pt>
                <c:pt idx="59">
                  <c:v>Guinea</c:v>
                </c:pt>
                <c:pt idx="60">
                  <c:v>Guyana</c:v>
                </c:pt>
                <c:pt idx="61">
                  <c:v>Haiti</c:v>
                </c:pt>
                <c:pt idx="62">
                  <c:v>Honduras</c:v>
                </c:pt>
                <c:pt idx="63">
                  <c:v>Hungary</c:v>
                </c:pt>
                <c:pt idx="64">
                  <c:v>Iceland</c:v>
                </c:pt>
                <c:pt idx="65">
                  <c:v>India</c:v>
                </c:pt>
                <c:pt idx="66">
                  <c:v>Indonesia</c:v>
                </c:pt>
                <c:pt idx="67">
                  <c:v>Iran</c:v>
                </c:pt>
                <c:pt idx="68">
                  <c:v>Iraq</c:v>
                </c:pt>
                <c:pt idx="69">
                  <c:v>Ireland</c:v>
                </c:pt>
                <c:pt idx="70">
                  <c:v>Israel</c:v>
                </c:pt>
                <c:pt idx="71">
                  <c:v>Italy</c:v>
                </c:pt>
                <c:pt idx="72">
                  <c:v>Jamaica</c:v>
                </c:pt>
                <c:pt idx="73">
                  <c:v>Japan</c:v>
                </c:pt>
                <c:pt idx="74">
                  <c:v>Jordan</c:v>
                </c:pt>
                <c:pt idx="75">
                  <c:v>Kazakhstan</c:v>
                </c:pt>
                <c:pt idx="76">
                  <c:v>Kenya</c:v>
                </c:pt>
                <c:pt idx="77">
                  <c:v>Kuwait</c:v>
                </c:pt>
                <c:pt idx="78">
                  <c:v>Kyrgyzstan</c:v>
                </c:pt>
                <c:pt idx="79">
                  <c:v>Laos</c:v>
                </c:pt>
                <c:pt idx="80">
                  <c:v>Latvia</c:v>
                </c:pt>
                <c:pt idx="81">
                  <c:v>Lebanon</c:v>
                </c:pt>
                <c:pt idx="82">
                  <c:v>Lesotho</c:v>
                </c:pt>
                <c:pt idx="83">
                  <c:v>Liberia</c:v>
                </c:pt>
                <c:pt idx="84">
                  <c:v>Libya</c:v>
                </c:pt>
                <c:pt idx="85">
                  <c:v>Liechtenstein</c:v>
                </c:pt>
                <c:pt idx="86">
                  <c:v>Lithuania</c:v>
                </c:pt>
                <c:pt idx="87">
                  <c:v>Luxembourg</c:v>
                </c:pt>
                <c:pt idx="88">
                  <c:v>Madagascar</c:v>
                </c:pt>
                <c:pt idx="89">
                  <c:v>Malawi</c:v>
                </c:pt>
                <c:pt idx="90">
                  <c:v>Malaysia</c:v>
                </c:pt>
                <c:pt idx="91">
                  <c:v>Maldives</c:v>
                </c:pt>
                <c:pt idx="92">
                  <c:v>Mali</c:v>
                </c:pt>
                <c:pt idx="93">
                  <c:v>Malta</c:v>
                </c:pt>
                <c:pt idx="94">
                  <c:v>Marshall Islands</c:v>
                </c:pt>
                <c:pt idx="95">
                  <c:v>Mauritania</c:v>
                </c:pt>
                <c:pt idx="96">
                  <c:v>Mauritius</c:v>
                </c:pt>
                <c:pt idx="97">
                  <c:v>Mexico</c:v>
                </c:pt>
                <c:pt idx="98">
                  <c:v>Moldova</c:v>
                </c:pt>
                <c:pt idx="99">
                  <c:v>Monaco</c:v>
                </c:pt>
                <c:pt idx="100">
                  <c:v>Mongolia</c:v>
                </c:pt>
                <c:pt idx="101">
                  <c:v>Montenegro</c:v>
                </c:pt>
                <c:pt idx="102">
                  <c:v>Morocco</c:v>
                </c:pt>
                <c:pt idx="103">
                  <c:v>Mozambique</c:v>
                </c:pt>
                <c:pt idx="104">
                  <c:v>Myanmar</c:v>
                </c:pt>
                <c:pt idx="105">
                  <c:v>Namibia</c:v>
                </c:pt>
                <c:pt idx="106">
                  <c:v>Nepal</c:v>
                </c:pt>
                <c:pt idx="107">
                  <c:v>New Zealand</c:v>
                </c:pt>
                <c:pt idx="108">
                  <c:v>Nicaragua</c:v>
                </c:pt>
                <c:pt idx="109">
                  <c:v>Niger</c:v>
                </c:pt>
                <c:pt idx="110">
                  <c:v>Nigeria</c:v>
                </c:pt>
                <c:pt idx="111">
                  <c:v>North Macedonia</c:v>
                </c:pt>
                <c:pt idx="112">
                  <c:v>Norway</c:v>
                </c:pt>
                <c:pt idx="113">
                  <c:v>Oman</c:v>
                </c:pt>
                <c:pt idx="114">
                  <c:v>Pakistan</c:v>
                </c:pt>
                <c:pt idx="115">
                  <c:v>Palau</c:v>
                </c:pt>
                <c:pt idx="116">
                  <c:v>Panama</c:v>
                </c:pt>
                <c:pt idx="117">
                  <c:v>Papua New Guinea</c:v>
                </c:pt>
                <c:pt idx="118">
                  <c:v>Paraguay</c:v>
                </c:pt>
                <c:pt idx="119">
                  <c:v>People's Republic of China</c:v>
                </c:pt>
                <c:pt idx="120">
                  <c:v>Peru</c:v>
                </c:pt>
                <c:pt idx="121">
                  <c:v>Philippines</c:v>
                </c:pt>
                <c:pt idx="122">
                  <c:v>Poland</c:v>
                </c:pt>
                <c:pt idx="123">
                  <c:v>Portugal</c:v>
                </c:pt>
                <c:pt idx="124">
                  <c:v>Qatar</c:v>
                </c:pt>
                <c:pt idx="125">
                  <c:v>Republic of the Congo</c:v>
                </c:pt>
                <c:pt idx="126">
                  <c:v>Romania</c:v>
                </c:pt>
                <c:pt idx="127">
                  <c:v>Russia</c:v>
                </c:pt>
                <c:pt idx="128">
                  <c:v>Rwanda</c:v>
                </c:pt>
                <c:pt idx="129">
                  <c:v>Saint Lucia</c:v>
                </c:pt>
                <c:pt idx="130">
                  <c:v>Samoa</c:v>
                </c:pt>
                <c:pt idx="131">
                  <c:v>San Marino</c:v>
                </c:pt>
                <c:pt idx="132">
                  <c:v>Saudi Arabia</c:v>
                </c:pt>
                <c:pt idx="133">
                  <c:v>Senegal</c:v>
                </c:pt>
                <c:pt idx="134">
                  <c:v>Serbia</c:v>
                </c:pt>
                <c:pt idx="135">
                  <c:v>Seychelles</c:v>
                </c:pt>
                <c:pt idx="136">
                  <c:v>Sierra Leone</c:v>
                </c:pt>
                <c:pt idx="137">
                  <c:v>Singapore</c:v>
                </c:pt>
                <c:pt idx="138">
                  <c:v>Slovakia</c:v>
                </c:pt>
                <c:pt idx="139">
                  <c:v>Slovenia</c:v>
                </c:pt>
                <c:pt idx="140">
                  <c:v>Solomon Islands</c:v>
                </c:pt>
                <c:pt idx="141">
                  <c:v>Somalia</c:v>
                </c:pt>
                <c:pt idx="142">
                  <c:v>South Africa</c:v>
                </c:pt>
                <c:pt idx="143">
                  <c:v>South Korea</c:v>
                </c:pt>
                <c:pt idx="144">
                  <c:v>South Sudan</c:v>
                </c:pt>
                <c:pt idx="145">
                  <c:v>Spain</c:v>
                </c:pt>
                <c:pt idx="146">
                  <c:v>Sri Lanka</c:v>
                </c:pt>
                <c:pt idx="147">
                  <c:v>Sudan</c:v>
                </c:pt>
                <c:pt idx="148">
                  <c:v>Suriname</c:v>
                </c:pt>
                <c:pt idx="149">
                  <c:v>Sweden</c:v>
                </c:pt>
                <c:pt idx="150">
                  <c:v>Switzerland</c:v>
                </c:pt>
                <c:pt idx="151">
                  <c:v>Syria</c:v>
                </c:pt>
                <c:pt idx="152">
                  <c:v>Taiwan</c:v>
                </c:pt>
                <c:pt idx="153">
                  <c:v>Tajikistan</c:v>
                </c:pt>
                <c:pt idx="154">
                  <c:v>Tanzania</c:v>
                </c:pt>
                <c:pt idx="155">
                  <c:v>Thailand</c:v>
                </c:pt>
                <c:pt idx="156">
                  <c:v>The Bahamas</c:v>
                </c:pt>
                <c:pt idx="157">
                  <c:v>The Gambia</c:v>
                </c:pt>
                <c:pt idx="158">
                  <c:v>Timor-Leste</c:v>
                </c:pt>
                <c:pt idx="159">
                  <c:v>Togo</c:v>
                </c:pt>
                <c:pt idx="160">
                  <c:v>Trinidad and Tobago</c:v>
                </c:pt>
                <c:pt idx="161">
                  <c:v>Tunisia</c:v>
                </c:pt>
                <c:pt idx="162">
                  <c:v>Turkey</c:v>
                </c:pt>
                <c:pt idx="163">
                  <c:v>Turkmenistan</c:v>
                </c:pt>
                <c:pt idx="164">
                  <c:v>Uganda</c:v>
                </c:pt>
                <c:pt idx="165">
                  <c:v>Ukraine</c:v>
                </c:pt>
                <c:pt idx="166">
                  <c:v>United Arab Emirates</c:v>
                </c:pt>
                <c:pt idx="167">
                  <c:v>United Kingdom</c:v>
                </c:pt>
                <c:pt idx="168">
                  <c:v>United States of America</c:v>
                </c:pt>
                <c:pt idx="169">
                  <c:v>Uruguay</c:v>
                </c:pt>
                <c:pt idx="170">
                  <c:v>Uzbekistan</c:v>
                </c:pt>
                <c:pt idx="171">
                  <c:v>Vanuatu</c:v>
                </c:pt>
                <c:pt idx="172">
                  <c:v>Venezuela</c:v>
                </c:pt>
                <c:pt idx="173">
                  <c:v>Vietnam</c:v>
                </c:pt>
                <c:pt idx="174">
                  <c:v>Yemen</c:v>
                </c:pt>
                <c:pt idx="175">
                  <c:v>Zambia</c:v>
                </c:pt>
                <c:pt idx="176">
                  <c:v>Zimbabwe</c:v>
                </c:pt>
              </c:strCache>
            </c:strRef>
          </c:cat>
          <c:val>
            <c:numRef>
              <c:f>Sheet1!$B$4:$B$181</c:f>
              <c:numCache>
                <c:formatCode>General</c:formatCode>
                <c:ptCount val="177"/>
                <c:pt idx="0">
                  <c:v>37.213693956666667</c:v>
                </c:pt>
                <c:pt idx="1">
                  <c:v>51.873624862500002</c:v>
                </c:pt>
                <c:pt idx="2">
                  <c:v>57.607466062941178</c:v>
                </c:pt>
                <c:pt idx="3">
                  <c:v>43.75</c:v>
                </c:pt>
                <c:pt idx="4">
                  <c:v>15</c:v>
                </c:pt>
                <c:pt idx="5">
                  <c:v>68.147780805909093</c:v>
                </c:pt>
                <c:pt idx="6">
                  <c:v>22.270114943333329</c:v>
                </c:pt>
                <c:pt idx="7">
                  <c:v>80.598013095555558</c:v>
                </c:pt>
                <c:pt idx="8">
                  <c:v>83.490955493888876</c:v>
                </c:pt>
                <c:pt idx="9">
                  <c:v>29.896907219999999</c:v>
                </c:pt>
                <c:pt idx="10">
                  <c:v>32.656695156666672</c:v>
                </c:pt>
                <c:pt idx="11">
                  <c:v>37.141523157777776</c:v>
                </c:pt>
                <c:pt idx="12">
                  <c:v>88.333333333333329</c:v>
                </c:pt>
                <c:pt idx="13">
                  <c:v>50.506834441999999</c:v>
                </c:pt>
                <c:pt idx="14">
                  <c:v>67.730261209428562</c:v>
                </c:pt>
                <c:pt idx="15">
                  <c:v>78.125</c:v>
                </c:pt>
                <c:pt idx="16">
                  <c:v>25</c:v>
                </c:pt>
                <c:pt idx="17">
                  <c:v>59.821428569999995</c:v>
                </c:pt>
                <c:pt idx="18">
                  <c:v>44.832516340000005</c:v>
                </c:pt>
                <c:pt idx="19">
                  <c:v>57.296646275454549</c:v>
                </c:pt>
                <c:pt idx="20">
                  <c:v>64.802631579999996</c:v>
                </c:pt>
                <c:pt idx="21">
                  <c:v>63.291875784368933</c:v>
                </c:pt>
                <c:pt idx="22">
                  <c:v>47.727272724999999</c:v>
                </c:pt>
                <c:pt idx="23">
                  <c:v>43.882158751481484</c:v>
                </c:pt>
                <c:pt idx="24">
                  <c:v>25</c:v>
                </c:pt>
                <c:pt idx="25">
                  <c:v>56.705082743333328</c:v>
                </c:pt>
                <c:pt idx="26">
                  <c:v>28.8125</c:v>
                </c:pt>
                <c:pt idx="27">
                  <c:v>84.293743715923583</c:v>
                </c:pt>
                <c:pt idx="28">
                  <c:v>0</c:v>
                </c:pt>
                <c:pt idx="29">
                  <c:v>68.055555556666661</c:v>
                </c:pt>
                <c:pt idx="30">
                  <c:v>35.986637938125</c:v>
                </c:pt>
                <c:pt idx="31">
                  <c:v>59.762014506249997</c:v>
                </c:pt>
                <c:pt idx="32">
                  <c:v>66.878619689999994</c:v>
                </c:pt>
                <c:pt idx="33">
                  <c:v>6.9444444440000002</c:v>
                </c:pt>
                <c:pt idx="34">
                  <c:v>76.910738391562489</c:v>
                </c:pt>
                <c:pt idx="35">
                  <c:v>15.555555556666667</c:v>
                </c:pt>
                <c:pt idx="36">
                  <c:v>62.934680452499997</c:v>
                </c:pt>
                <c:pt idx="37">
                  <c:v>70.562599533859654</c:v>
                </c:pt>
                <c:pt idx="38">
                  <c:v>54.166666669999998</c:v>
                </c:pt>
                <c:pt idx="39">
                  <c:v>30.929357591428573</c:v>
                </c:pt>
                <c:pt idx="40">
                  <c:v>57.433044652666666</c:v>
                </c:pt>
                <c:pt idx="41">
                  <c:v>46.002195220187502</c:v>
                </c:pt>
                <c:pt idx="42">
                  <c:v>18.421052629999998</c:v>
                </c:pt>
                <c:pt idx="43">
                  <c:v>31.666666666666668</c:v>
                </c:pt>
                <c:pt idx="44">
                  <c:v>100</c:v>
                </c:pt>
                <c:pt idx="45">
                  <c:v>94.190795976153851</c:v>
                </c:pt>
                <c:pt idx="46">
                  <c:v>93.75</c:v>
                </c:pt>
                <c:pt idx="47">
                  <c:v>52.424242423333332</c:v>
                </c:pt>
                <c:pt idx="48">
                  <c:v>100</c:v>
                </c:pt>
                <c:pt idx="49">
                  <c:v>41.160714284999997</c:v>
                </c:pt>
                <c:pt idx="50">
                  <c:v>95.771386222333319</c:v>
                </c:pt>
                <c:pt idx="51">
                  <c:v>72.381948989782614</c:v>
                </c:pt>
                <c:pt idx="52">
                  <c:v>37.5</c:v>
                </c:pt>
                <c:pt idx="53">
                  <c:v>48.055275537500002</c:v>
                </c:pt>
                <c:pt idx="54">
                  <c:v>83.768501685564516</c:v>
                </c:pt>
                <c:pt idx="55">
                  <c:v>50.185185186666672</c:v>
                </c:pt>
                <c:pt idx="56">
                  <c:v>76.590285026388898</c:v>
                </c:pt>
                <c:pt idx="57">
                  <c:v>57.222222223333326</c:v>
                </c:pt>
                <c:pt idx="58">
                  <c:v>33.531746033333334</c:v>
                </c:pt>
                <c:pt idx="59">
                  <c:v>5</c:v>
                </c:pt>
                <c:pt idx="60">
                  <c:v>62.938596490000002</c:v>
                </c:pt>
                <c:pt idx="61">
                  <c:v>12.5</c:v>
                </c:pt>
                <c:pt idx="62">
                  <c:v>37.738095238</c:v>
                </c:pt>
                <c:pt idx="63">
                  <c:v>69.938521098518521</c:v>
                </c:pt>
                <c:pt idx="64">
                  <c:v>78.798309178888886</c:v>
                </c:pt>
                <c:pt idx="65">
                  <c:v>44.122723331688306</c:v>
                </c:pt>
                <c:pt idx="66">
                  <c:v>65.997582512128204</c:v>
                </c:pt>
                <c:pt idx="67">
                  <c:v>30.255146665542856</c:v>
                </c:pt>
                <c:pt idx="68">
                  <c:v>20.189393938000002</c:v>
                </c:pt>
                <c:pt idx="69">
                  <c:v>82.843918611666666</c:v>
                </c:pt>
                <c:pt idx="70">
                  <c:v>33.384693543846154</c:v>
                </c:pt>
                <c:pt idx="71">
                  <c:v>58.028613395294123</c:v>
                </c:pt>
                <c:pt idx="72">
                  <c:v>66.155303029999999</c:v>
                </c:pt>
                <c:pt idx="73">
                  <c:v>76.354796054102565</c:v>
                </c:pt>
                <c:pt idx="74">
                  <c:v>42.884615385000004</c:v>
                </c:pt>
                <c:pt idx="75">
                  <c:v>13.737824674818182</c:v>
                </c:pt>
                <c:pt idx="76">
                  <c:v>75.568181818181813</c:v>
                </c:pt>
                <c:pt idx="77">
                  <c:v>35.135135140000003</c:v>
                </c:pt>
                <c:pt idx="78">
                  <c:v>39.523809523333334</c:v>
                </c:pt>
                <c:pt idx="79">
                  <c:v>43.542568539999998</c:v>
                </c:pt>
                <c:pt idx="80">
                  <c:v>84.517268445714294</c:v>
                </c:pt>
                <c:pt idx="81">
                  <c:v>29.935515872499998</c:v>
                </c:pt>
                <c:pt idx="82">
                  <c:v>45.833333330000002</c:v>
                </c:pt>
                <c:pt idx="83">
                  <c:v>8.3333333350000007</c:v>
                </c:pt>
                <c:pt idx="84">
                  <c:v>54.232804232857141</c:v>
                </c:pt>
                <c:pt idx="85">
                  <c:v>87.5</c:v>
                </c:pt>
                <c:pt idx="86">
                  <c:v>71.677727347999991</c:v>
                </c:pt>
                <c:pt idx="87">
                  <c:v>71.818693694999993</c:v>
                </c:pt>
                <c:pt idx="88">
                  <c:v>13.636363636666667</c:v>
                </c:pt>
                <c:pt idx="89">
                  <c:v>72.5</c:v>
                </c:pt>
                <c:pt idx="90">
                  <c:v>49.721906180000005</c:v>
                </c:pt>
                <c:pt idx="91">
                  <c:v>42.78846154</c:v>
                </c:pt>
                <c:pt idx="92">
                  <c:v>15</c:v>
                </c:pt>
                <c:pt idx="93">
                  <c:v>29.933862433333331</c:v>
                </c:pt>
                <c:pt idx="94">
                  <c:v>43.75</c:v>
                </c:pt>
                <c:pt idx="95">
                  <c:v>43.75</c:v>
                </c:pt>
                <c:pt idx="96">
                  <c:v>62.5</c:v>
                </c:pt>
                <c:pt idx="97">
                  <c:v>64.563552877608686</c:v>
                </c:pt>
                <c:pt idx="98">
                  <c:v>50</c:v>
                </c:pt>
                <c:pt idx="99">
                  <c:v>25.757575760000002</c:v>
                </c:pt>
                <c:pt idx="100">
                  <c:v>23.590686274500001</c:v>
                </c:pt>
                <c:pt idx="101">
                  <c:v>63.135521885555562</c:v>
                </c:pt>
                <c:pt idx="102">
                  <c:v>59.823288972777782</c:v>
                </c:pt>
                <c:pt idx="103">
                  <c:v>36.298076922500002</c:v>
                </c:pt>
                <c:pt idx="104">
                  <c:v>12.462207104285714</c:v>
                </c:pt>
                <c:pt idx="105">
                  <c:v>49.275362319999999</c:v>
                </c:pt>
                <c:pt idx="106">
                  <c:v>48.343506086923078</c:v>
                </c:pt>
                <c:pt idx="107">
                  <c:v>83.787404898620679</c:v>
                </c:pt>
                <c:pt idx="108">
                  <c:v>55</c:v>
                </c:pt>
                <c:pt idx="109">
                  <c:v>25</c:v>
                </c:pt>
                <c:pt idx="110">
                  <c:v>17.162162162307691</c:v>
                </c:pt>
                <c:pt idx="111">
                  <c:v>42.627699248571432</c:v>
                </c:pt>
                <c:pt idx="112">
                  <c:v>88.684587384642867</c:v>
                </c:pt>
                <c:pt idx="113">
                  <c:v>79.364754098000006</c:v>
                </c:pt>
                <c:pt idx="114">
                  <c:v>51.62116698129033</c:v>
                </c:pt>
                <c:pt idx="115">
                  <c:v>100</c:v>
                </c:pt>
                <c:pt idx="116">
                  <c:v>65.705128204999994</c:v>
                </c:pt>
                <c:pt idx="117">
                  <c:v>54.947916667499996</c:v>
                </c:pt>
                <c:pt idx="118">
                  <c:v>69.827586205000003</c:v>
                </c:pt>
                <c:pt idx="119">
                  <c:v>10.76106702620168</c:v>
                </c:pt>
                <c:pt idx="120">
                  <c:v>42.756944444166663</c:v>
                </c:pt>
                <c:pt idx="121">
                  <c:v>45.354397374909091</c:v>
                </c:pt>
                <c:pt idx="122">
                  <c:v>47.879595180106392</c:v>
                </c:pt>
                <c:pt idx="123">
                  <c:v>83.65267728188681</c:v>
                </c:pt>
                <c:pt idx="124">
                  <c:v>26.07942431</c:v>
                </c:pt>
                <c:pt idx="125">
                  <c:v>18.75</c:v>
                </c:pt>
                <c:pt idx="126">
                  <c:v>66.496775400000004</c:v>
                </c:pt>
                <c:pt idx="127">
                  <c:v>42.201368893046521</c:v>
                </c:pt>
                <c:pt idx="128">
                  <c:v>56.25</c:v>
                </c:pt>
                <c:pt idx="129">
                  <c:v>70.833333330000002</c:v>
                </c:pt>
                <c:pt idx="130">
                  <c:v>70.833333330000002</c:v>
                </c:pt>
                <c:pt idx="131">
                  <c:v>87.5</c:v>
                </c:pt>
                <c:pt idx="132">
                  <c:v>39.215604376428573</c:v>
                </c:pt>
                <c:pt idx="133">
                  <c:v>30.172413795000001</c:v>
                </c:pt>
                <c:pt idx="134">
                  <c:v>42.954924672173917</c:v>
                </c:pt>
                <c:pt idx="135">
                  <c:v>62.5</c:v>
                </c:pt>
                <c:pt idx="136">
                  <c:v>25</c:v>
                </c:pt>
                <c:pt idx="137">
                  <c:v>65.878378380000001</c:v>
                </c:pt>
                <c:pt idx="138">
                  <c:v>64.781846634800004</c:v>
                </c:pt>
                <c:pt idx="139">
                  <c:v>76.656342316315786</c:v>
                </c:pt>
                <c:pt idx="140">
                  <c:v>39.0625</c:v>
                </c:pt>
                <c:pt idx="141">
                  <c:v>80</c:v>
                </c:pt>
                <c:pt idx="142">
                  <c:v>52.794520960088896</c:v>
                </c:pt>
                <c:pt idx="143">
                  <c:v>24.597574614942857</c:v>
                </c:pt>
                <c:pt idx="144">
                  <c:v>62.5</c:v>
                </c:pt>
                <c:pt idx="145">
                  <c:v>79.896779062435897</c:v>
                </c:pt>
                <c:pt idx="146">
                  <c:v>53.701641892727274</c:v>
                </c:pt>
                <c:pt idx="147">
                  <c:v>66.964285715000003</c:v>
                </c:pt>
                <c:pt idx="148">
                  <c:v>61.363636360000001</c:v>
                </c:pt>
                <c:pt idx="149">
                  <c:v>82.938708292000001</c:v>
                </c:pt>
                <c:pt idx="150">
                  <c:v>82.955761575757577</c:v>
                </c:pt>
                <c:pt idx="151">
                  <c:v>31.547619047571427</c:v>
                </c:pt>
                <c:pt idx="152">
                  <c:v>33.663000323333335</c:v>
                </c:pt>
                <c:pt idx="153">
                  <c:v>41.666666669999998</c:v>
                </c:pt>
                <c:pt idx="154">
                  <c:v>62.838541667499996</c:v>
                </c:pt>
                <c:pt idx="155">
                  <c:v>42.74215502725</c:v>
                </c:pt>
                <c:pt idx="156">
                  <c:v>58.333333333333336</c:v>
                </c:pt>
                <c:pt idx="157">
                  <c:v>75</c:v>
                </c:pt>
                <c:pt idx="158">
                  <c:v>79.6875</c:v>
                </c:pt>
                <c:pt idx="159">
                  <c:v>37.5</c:v>
                </c:pt>
                <c:pt idx="160">
                  <c:v>51.375</c:v>
                </c:pt>
                <c:pt idx="161">
                  <c:v>22.037037036666664</c:v>
                </c:pt>
                <c:pt idx="162">
                  <c:v>33.10796034451613</c:v>
                </c:pt>
                <c:pt idx="163">
                  <c:v>80.555555554999998</c:v>
                </c:pt>
                <c:pt idx="164">
                  <c:v>56.333333333333336</c:v>
                </c:pt>
                <c:pt idx="165">
                  <c:v>51.769136026666665</c:v>
                </c:pt>
                <c:pt idx="166">
                  <c:v>47.263703644285712</c:v>
                </c:pt>
                <c:pt idx="167">
                  <c:v>70.716382439647035</c:v>
                </c:pt>
                <c:pt idx="168">
                  <c:v>80.603661354881197</c:v>
                </c:pt>
                <c:pt idx="169">
                  <c:v>85.617690058333338</c:v>
                </c:pt>
                <c:pt idx="170">
                  <c:v>56.451612900000001</c:v>
                </c:pt>
                <c:pt idx="171">
                  <c:v>75</c:v>
                </c:pt>
                <c:pt idx="172">
                  <c:v>36.514508929000002</c:v>
                </c:pt>
                <c:pt idx="173">
                  <c:v>44.557442896666664</c:v>
                </c:pt>
                <c:pt idx="174">
                  <c:v>39.583333334999999</c:v>
                </c:pt>
                <c:pt idx="175">
                  <c:v>45.833333332500004</c:v>
                </c:pt>
                <c:pt idx="176">
                  <c:v>45.329670329999999</c:v>
                </c:pt>
              </c:numCache>
            </c:numRef>
          </c:val>
          <c:extLst>
            <c:ext xmlns:c16="http://schemas.microsoft.com/office/drawing/2014/chart" uri="{C3380CC4-5D6E-409C-BE32-E72D297353CC}">
              <c16:uniqueId val="{00000162-F9C6-425B-B9B7-EE7C7F9C2669}"/>
            </c:ext>
          </c:extLst>
        </c:ser>
        <c:ser>
          <c:idx val="1"/>
          <c:order val="1"/>
          <c:tx>
            <c:strRef>
              <c:f>Sheet1!$C$3</c:f>
              <c:strCache>
                <c:ptCount val="1"/>
                <c:pt idx="0">
                  <c:v>Average of WaterPollution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164-F9C6-425B-B9B7-EE7C7F9C26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166-F9C6-425B-B9B7-EE7C7F9C26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168-F9C6-425B-B9B7-EE7C7F9C26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16A-F9C6-425B-B9B7-EE7C7F9C266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16C-F9C6-425B-B9B7-EE7C7F9C266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16E-F9C6-425B-B9B7-EE7C7F9C266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170-F9C6-425B-B9B7-EE7C7F9C266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172-F9C6-425B-B9B7-EE7C7F9C266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174-F9C6-425B-B9B7-EE7C7F9C266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176-F9C6-425B-B9B7-EE7C7F9C2669}"/>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178-F9C6-425B-B9B7-EE7C7F9C2669}"/>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17A-F9C6-425B-B9B7-EE7C7F9C2669}"/>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17C-F9C6-425B-B9B7-EE7C7F9C2669}"/>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17E-F9C6-425B-B9B7-EE7C7F9C2669}"/>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180-F9C6-425B-B9B7-EE7C7F9C2669}"/>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182-F9C6-425B-B9B7-EE7C7F9C2669}"/>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184-F9C6-425B-B9B7-EE7C7F9C2669}"/>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186-F9C6-425B-B9B7-EE7C7F9C2669}"/>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188-F9C6-425B-B9B7-EE7C7F9C2669}"/>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18A-F9C6-425B-B9B7-EE7C7F9C2669}"/>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18C-F9C6-425B-B9B7-EE7C7F9C2669}"/>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18E-F9C6-425B-B9B7-EE7C7F9C2669}"/>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190-F9C6-425B-B9B7-EE7C7F9C2669}"/>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192-F9C6-425B-B9B7-EE7C7F9C2669}"/>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194-F9C6-425B-B9B7-EE7C7F9C2669}"/>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196-F9C6-425B-B9B7-EE7C7F9C2669}"/>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198-F9C6-425B-B9B7-EE7C7F9C2669}"/>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19A-F9C6-425B-B9B7-EE7C7F9C2669}"/>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19C-F9C6-425B-B9B7-EE7C7F9C2669}"/>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19E-F9C6-425B-B9B7-EE7C7F9C2669}"/>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1A0-F9C6-425B-B9B7-EE7C7F9C2669}"/>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1A2-F9C6-425B-B9B7-EE7C7F9C2669}"/>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1A4-F9C6-425B-B9B7-EE7C7F9C2669}"/>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1A6-F9C6-425B-B9B7-EE7C7F9C2669}"/>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1A8-F9C6-425B-B9B7-EE7C7F9C2669}"/>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1AA-F9C6-425B-B9B7-EE7C7F9C2669}"/>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1AC-F9C6-425B-B9B7-EE7C7F9C2669}"/>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1AE-F9C6-425B-B9B7-EE7C7F9C2669}"/>
              </c:ext>
            </c:extLst>
          </c:dPt>
          <c:dPt>
            <c:idx val="38"/>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1B0-F9C6-425B-B9B7-EE7C7F9C2669}"/>
              </c:ext>
            </c:extLst>
          </c:dPt>
          <c:dPt>
            <c:idx val="3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1B2-F9C6-425B-B9B7-EE7C7F9C2669}"/>
              </c:ext>
            </c:extLst>
          </c:dPt>
          <c:dPt>
            <c:idx val="40"/>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1B4-F9C6-425B-B9B7-EE7C7F9C2669}"/>
              </c:ext>
            </c:extLst>
          </c:dPt>
          <c:dPt>
            <c:idx val="41"/>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1B6-F9C6-425B-B9B7-EE7C7F9C2669}"/>
              </c:ext>
            </c:extLst>
          </c:dPt>
          <c:dPt>
            <c:idx val="42"/>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1B8-F9C6-425B-B9B7-EE7C7F9C2669}"/>
              </c:ext>
            </c:extLst>
          </c:dPt>
          <c:dPt>
            <c:idx val="43"/>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1BA-F9C6-425B-B9B7-EE7C7F9C2669}"/>
              </c:ext>
            </c:extLst>
          </c:dPt>
          <c:dPt>
            <c:idx val="44"/>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1BC-F9C6-425B-B9B7-EE7C7F9C2669}"/>
              </c:ext>
            </c:extLst>
          </c:dPt>
          <c:dPt>
            <c:idx val="45"/>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1BE-F9C6-425B-B9B7-EE7C7F9C2669}"/>
              </c:ext>
            </c:extLst>
          </c:dPt>
          <c:dPt>
            <c:idx val="46"/>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1C0-F9C6-425B-B9B7-EE7C7F9C2669}"/>
              </c:ext>
            </c:extLst>
          </c:dPt>
          <c:dPt>
            <c:idx val="47"/>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1C2-F9C6-425B-B9B7-EE7C7F9C2669}"/>
              </c:ext>
            </c:extLst>
          </c:dPt>
          <c:dPt>
            <c:idx val="48"/>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1C4-F9C6-425B-B9B7-EE7C7F9C2669}"/>
              </c:ext>
            </c:extLst>
          </c:dPt>
          <c:dPt>
            <c:idx val="49"/>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1C6-F9C6-425B-B9B7-EE7C7F9C2669}"/>
              </c:ext>
            </c:extLst>
          </c:dPt>
          <c:dPt>
            <c:idx val="50"/>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1C8-F9C6-425B-B9B7-EE7C7F9C2669}"/>
              </c:ext>
            </c:extLst>
          </c:dPt>
          <c:dPt>
            <c:idx val="51"/>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1CA-F9C6-425B-B9B7-EE7C7F9C2669}"/>
              </c:ext>
            </c:extLst>
          </c:dPt>
          <c:dPt>
            <c:idx val="52"/>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1CC-F9C6-425B-B9B7-EE7C7F9C2669}"/>
              </c:ext>
            </c:extLst>
          </c:dPt>
          <c:dPt>
            <c:idx val="53"/>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1CE-F9C6-425B-B9B7-EE7C7F9C2669}"/>
              </c:ext>
            </c:extLst>
          </c:dPt>
          <c:dPt>
            <c:idx val="54"/>
            <c:bubble3D val="0"/>
            <c:spPr>
              <a:solidFill>
                <a:schemeClr val="accent1"/>
              </a:solidFill>
              <a:ln w="19050">
                <a:solidFill>
                  <a:schemeClr val="lt1"/>
                </a:solidFill>
              </a:ln>
              <a:effectLst/>
            </c:spPr>
            <c:extLst>
              <c:ext xmlns:c16="http://schemas.microsoft.com/office/drawing/2014/chart" uri="{C3380CC4-5D6E-409C-BE32-E72D297353CC}">
                <c16:uniqueId val="{000001D0-F9C6-425B-B9B7-EE7C7F9C2669}"/>
              </c:ext>
            </c:extLst>
          </c:dPt>
          <c:dPt>
            <c:idx val="55"/>
            <c:bubble3D val="0"/>
            <c:spPr>
              <a:solidFill>
                <a:schemeClr val="accent2"/>
              </a:solidFill>
              <a:ln w="19050">
                <a:solidFill>
                  <a:schemeClr val="lt1"/>
                </a:solidFill>
              </a:ln>
              <a:effectLst/>
            </c:spPr>
            <c:extLst>
              <c:ext xmlns:c16="http://schemas.microsoft.com/office/drawing/2014/chart" uri="{C3380CC4-5D6E-409C-BE32-E72D297353CC}">
                <c16:uniqueId val="{000001D2-F9C6-425B-B9B7-EE7C7F9C2669}"/>
              </c:ext>
            </c:extLst>
          </c:dPt>
          <c:dPt>
            <c:idx val="56"/>
            <c:bubble3D val="0"/>
            <c:spPr>
              <a:solidFill>
                <a:schemeClr val="accent3"/>
              </a:solidFill>
              <a:ln w="19050">
                <a:solidFill>
                  <a:schemeClr val="lt1"/>
                </a:solidFill>
              </a:ln>
              <a:effectLst/>
            </c:spPr>
            <c:extLst>
              <c:ext xmlns:c16="http://schemas.microsoft.com/office/drawing/2014/chart" uri="{C3380CC4-5D6E-409C-BE32-E72D297353CC}">
                <c16:uniqueId val="{000001D4-F9C6-425B-B9B7-EE7C7F9C2669}"/>
              </c:ext>
            </c:extLst>
          </c:dPt>
          <c:dPt>
            <c:idx val="57"/>
            <c:bubble3D val="0"/>
            <c:spPr>
              <a:solidFill>
                <a:schemeClr val="accent4"/>
              </a:solidFill>
              <a:ln w="19050">
                <a:solidFill>
                  <a:schemeClr val="lt1"/>
                </a:solidFill>
              </a:ln>
              <a:effectLst/>
            </c:spPr>
            <c:extLst>
              <c:ext xmlns:c16="http://schemas.microsoft.com/office/drawing/2014/chart" uri="{C3380CC4-5D6E-409C-BE32-E72D297353CC}">
                <c16:uniqueId val="{000001D6-F9C6-425B-B9B7-EE7C7F9C2669}"/>
              </c:ext>
            </c:extLst>
          </c:dPt>
          <c:dPt>
            <c:idx val="58"/>
            <c:bubble3D val="0"/>
            <c:spPr>
              <a:solidFill>
                <a:schemeClr val="accent5"/>
              </a:solidFill>
              <a:ln w="19050">
                <a:solidFill>
                  <a:schemeClr val="lt1"/>
                </a:solidFill>
              </a:ln>
              <a:effectLst/>
            </c:spPr>
            <c:extLst>
              <c:ext xmlns:c16="http://schemas.microsoft.com/office/drawing/2014/chart" uri="{C3380CC4-5D6E-409C-BE32-E72D297353CC}">
                <c16:uniqueId val="{000001D8-F9C6-425B-B9B7-EE7C7F9C2669}"/>
              </c:ext>
            </c:extLst>
          </c:dPt>
          <c:dPt>
            <c:idx val="59"/>
            <c:bubble3D val="0"/>
            <c:spPr>
              <a:solidFill>
                <a:schemeClr val="accent6"/>
              </a:solidFill>
              <a:ln w="19050">
                <a:solidFill>
                  <a:schemeClr val="lt1"/>
                </a:solidFill>
              </a:ln>
              <a:effectLst/>
            </c:spPr>
            <c:extLst>
              <c:ext xmlns:c16="http://schemas.microsoft.com/office/drawing/2014/chart" uri="{C3380CC4-5D6E-409C-BE32-E72D297353CC}">
                <c16:uniqueId val="{000001DA-F9C6-425B-B9B7-EE7C7F9C2669}"/>
              </c:ext>
            </c:extLst>
          </c:dPt>
          <c:dPt>
            <c:idx val="60"/>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1DC-F9C6-425B-B9B7-EE7C7F9C2669}"/>
              </c:ext>
            </c:extLst>
          </c:dPt>
          <c:dPt>
            <c:idx val="61"/>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1DE-F9C6-425B-B9B7-EE7C7F9C2669}"/>
              </c:ext>
            </c:extLst>
          </c:dPt>
          <c:dPt>
            <c:idx val="62"/>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1E0-F9C6-425B-B9B7-EE7C7F9C2669}"/>
              </c:ext>
            </c:extLst>
          </c:dPt>
          <c:dPt>
            <c:idx val="63"/>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1E2-F9C6-425B-B9B7-EE7C7F9C2669}"/>
              </c:ext>
            </c:extLst>
          </c:dPt>
          <c:dPt>
            <c:idx val="6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1E4-F9C6-425B-B9B7-EE7C7F9C2669}"/>
              </c:ext>
            </c:extLst>
          </c:dPt>
          <c:dPt>
            <c:idx val="6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1E6-F9C6-425B-B9B7-EE7C7F9C2669}"/>
              </c:ext>
            </c:extLst>
          </c:dPt>
          <c:dPt>
            <c:idx val="6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1E8-F9C6-425B-B9B7-EE7C7F9C2669}"/>
              </c:ext>
            </c:extLst>
          </c:dPt>
          <c:dPt>
            <c:idx val="67"/>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1EA-F9C6-425B-B9B7-EE7C7F9C2669}"/>
              </c:ext>
            </c:extLst>
          </c:dPt>
          <c:dPt>
            <c:idx val="68"/>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1EC-F9C6-425B-B9B7-EE7C7F9C2669}"/>
              </c:ext>
            </c:extLst>
          </c:dPt>
          <c:dPt>
            <c:idx val="69"/>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1EE-F9C6-425B-B9B7-EE7C7F9C2669}"/>
              </c:ext>
            </c:extLst>
          </c:dPt>
          <c:dPt>
            <c:idx val="70"/>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1F0-F9C6-425B-B9B7-EE7C7F9C2669}"/>
              </c:ext>
            </c:extLst>
          </c:dPt>
          <c:dPt>
            <c:idx val="71"/>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1F2-F9C6-425B-B9B7-EE7C7F9C2669}"/>
              </c:ext>
            </c:extLst>
          </c:dPt>
          <c:dPt>
            <c:idx val="72"/>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1F4-F9C6-425B-B9B7-EE7C7F9C2669}"/>
              </c:ext>
            </c:extLst>
          </c:dPt>
          <c:dPt>
            <c:idx val="73"/>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1F6-F9C6-425B-B9B7-EE7C7F9C2669}"/>
              </c:ext>
            </c:extLst>
          </c:dPt>
          <c:dPt>
            <c:idx val="74"/>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1F8-F9C6-425B-B9B7-EE7C7F9C2669}"/>
              </c:ext>
            </c:extLst>
          </c:dPt>
          <c:dPt>
            <c:idx val="75"/>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1FA-F9C6-425B-B9B7-EE7C7F9C2669}"/>
              </c:ext>
            </c:extLst>
          </c:dPt>
          <c:dPt>
            <c:idx val="76"/>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1FC-F9C6-425B-B9B7-EE7C7F9C2669}"/>
              </c:ext>
            </c:extLst>
          </c:dPt>
          <c:dPt>
            <c:idx val="77"/>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1FE-F9C6-425B-B9B7-EE7C7F9C2669}"/>
              </c:ext>
            </c:extLst>
          </c:dPt>
          <c:dPt>
            <c:idx val="78"/>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200-F9C6-425B-B9B7-EE7C7F9C2669}"/>
              </c:ext>
            </c:extLst>
          </c:dPt>
          <c:dPt>
            <c:idx val="79"/>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202-F9C6-425B-B9B7-EE7C7F9C2669}"/>
              </c:ext>
            </c:extLst>
          </c:dPt>
          <c:dPt>
            <c:idx val="80"/>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204-F9C6-425B-B9B7-EE7C7F9C2669}"/>
              </c:ext>
            </c:extLst>
          </c:dPt>
          <c:dPt>
            <c:idx val="81"/>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206-F9C6-425B-B9B7-EE7C7F9C2669}"/>
              </c:ext>
            </c:extLst>
          </c:dPt>
          <c:dPt>
            <c:idx val="8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208-F9C6-425B-B9B7-EE7C7F9C2669}"/>
              </c:ext>
            </c:extLst>
          </c:dPt>
          <c:dPt>
            <c:idx val="83"/>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20A-F9C6-425B-B9B7-EE7C7F9C2669}"/>
              </c:ext>
            </c:extLst>
          </c:dPt>
          <c:dPt>
            <c:idx val="84"/>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20C-F9C6-425B-B9B7-EE7C7F9C2669}"/>
              </c:ext>
            </c:extLst>
          </c:dPt>
          <c:dPt>
            <c:idx val="85"/>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20E-F9C6-425B-B9B7-EE7C7F9C2669}"/>
              </c:ext>
            </c:extLst>
          </c:dPt>
          <c:dPt>
            <c:idx val="86"/>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210-F9C6-425B-B9B7-EE7C7F9C2669}"/>
              </c:ext>
            </c:extLst>
          </c:dPt>
          <c:dPt>
            <c:idx val="87"/>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212-F9C6-425B-B9B7-EE7C7F9C2669}"/>
              </c:ext>
            </c:extLst>
          </c:dPt>
          <c:dPt>
            <c:idx val="88"/>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214-F9C6-425B-B9B7-EE7C7F9C2669}"/>
              </c:ext>
            </c:extLst>
          </c:dPt>
          <c:dPt>
            <c:idx val="89"/>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216-F9C6-425B-B9B7-EE7C7F9C2669}"/>
              </c:ext>
            </c:extLst>
          </c:dPt>
          <c:dPt>
            <c:idx val="90"/>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218-F9C6-425B-B9B7-EE7C7F9C2669}"/>
              </c:ext>
            </c:extLst>
          </c:dPt>
          <c:dPt>
            <c:idx val="91"/>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21A-F9C6-425B-B9B7-EE7C7F9C2669}"/>
              </c:ext>
            </c:extLst>
          </c:dPt>
          <c:dPt>
            <c:idx val="92"/>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21C-F9C6-425B-B9B7-EE7C7F9C2669}"/>
              </c:ext>
            </c:extLst>
          </c:dPt>
          <c:dPt>
            <c:idx val="93"/>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21E-F9C6-425B-B9B7-EE7C7F9C2669}"/>
              </c:ext>
            </c:extLst>
          </c:dPt>
          <c:dPt>
            <c:idx val="94"/>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220-F9C6-425B-B9B7-EE7C7F9C2669}"/>
              </c:ext>
            </c:extLst>
          </c:dPt>
          <c:dPt>
            <c:idx val="95"/>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222-F9C6-425B-B9B7-EE7C7F9C2669}"/>
              </c:ext>
            </c:extLst>
          </c:dPt>
          <c:dPt>
            <c:idx val="96"/>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224-F9C6-425B-B9B7-EE7C7F9C2669}"/>
              </c:ext>
            </c:extLst>
          </c:dPt>
          <c:dPt>
            <c:idx val="97"/>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226-F9C6-425B-B9B7-EE7C7F9C2669}"/>
              </c:ext>
            </c:extLst>
          </c:dPt>
          <c:dPt>
            <c:idx val="98"/>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228-F9C6-425B-B9B7-EE7C7F9C2669}"/>
              </c:ext>
            </c:extLst>
          </c:dPt>
          <c:dPt>
            <c:idx val="99"/>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22A-F9C6-425B-B9B7-EE7C7F9C2669}"/>
              </c:ext>
            </c:extLst>
          </c:dPt>
          <c:dPt>
            <c:idx val="100"/>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22C-F9C6-425B-B9B7-EE7C7F9C2669}"/>
              </c:ext>
            </c:extLst>
          </c:dPt>
          <c:dPt>
            <c:idx val="101"/>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22E-F9C6-425B-B9B7-EE7C7F9C2669}"/>
              </c:ext>
            </c:extLst>
          </c:dPt>
          <c:dPt>
            <c:idx val="102"/>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230-F9C6-425B-B9B7-EE7C7F9C2669}"/>
              </c:ext>
            </c:extLst>
          </c:dPt>
          <c:dPt>
            <c:idx val="103"/>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232-F9C6-425B-B9B7-EE7C7F9C2669}"/>
              </c:ext>
            </c:extLst>
          </c:dPt>
          <c:dPt>
            <c:idx val="104"/>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234-F9C6-425B-B9B7-EE7C7F9C2669}"/>
              </c:ext>
            </c:extLst>
          </c:dPt>
          <c:dPt>
            <c:idx val="105"/>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236-F9C6-425B-B9B7-EE7C7F9C2669}"/>
              </c:ext>
            </c:extLst>
          </c:dPt>
          <c:dPt>
            <c:idx val="106"/>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238-F9C6-425B-B9B7-EE7C7F9C2669}"/>
              </c:ext>
            </c:extLst>
          </c:dPt>
          <c:dPt>
            <c:idx val="107"/>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23A-F9C6-425B-B9B7-EE7C7F9C2669}"/>
              </c:ext>
            </c:extLst>
          </c:dPt>
          <c:dPt>
            <c:idx val="108"/>
            <c:bubble3D val="0"/>
            <c:spPr>
              <a:solidFill>
                <a:schemeClr val="accent1"/>
              </a:solidFill>
              <a:ln w="19050">
                <a:solidFill>
                  <a:schemeClr val="lt1"/>
                </a:solidFill>
              </a:ln>
              <a:effectLst/>
            </c:spPr>
            <c:extLst>
              <c:ext xmlns:c16="http://schemas.microsoft.com/office/drawing/2014/chart" uri="{C3380CC4-5D6E-409C-BE32-E72D297353CC}">
                <c16:uniqueId val="{0000023C-F9C6-425B-B9B7-EE7C7F9C2669}"/>
              </c:ext>
            </c:extLst>
          </c:dPt>
          <c:dPt>
            <c:idx val="109"/>
            <c:bubble3D val="0"/>
            <c:spPr>
              <a:solidFill>
                <a:schemeClr val="accent2"/>
              </a:solidFill>
              <a:ln w="19050">
                <a:solidFill>
                  <a:schemeClr val="lt1"/>
                </a:solidFill>
              </a:ln>
              <a:effectLst/>
            </c:spPr>
            <c:extLst>
              <c:ext xmlns:c16="http://schemas.microsoft.com/office/drawing/2014/chart" uri="{C3380CC4-5D6E-409C-BE32-E72D297353CC}">
                <c16:uniqueId val="{0000023E-F9C6-425B-B9B7-EE7C7F9C2669}"/>
              </c:ext>
            </c:extLst>
          </c:dPt>
          <c:dPt>
            <c:idx val="110"/>
            <c:bubble3D val="0"/>
            <c:spPr>
              <a:solidFill>
                <a:schemeClr val="accent3"/>
              </a:solidFill>
              <a:ln w="19050">
                <a:solidFill>
                  <a:schemeClr val="lt1"/>
                </a:solidFill>
              </a:ln>
              <a:effectLst/>
            </c:spPr>
            <c:extLst>
              <c:ext xmlns:c16="http://schemas.microsoft.com/office/drawing/2014/chart" uri="{C3380CC4-5D6E-409C-BE32-E72D297353CC}">
                <c16:uniqueId val="{00000240-F9C6-425B-B9B7-EE7C7F9C2669}"/>
              </c:ext>
            </c:extLst>
          </c:dPt>
          <c:dPt>
            <c:idx val="111"/>
            <c:bubble3D val="0"/>
            <c:spPr>
              <a:solidFill>
                <a:schemeClr val="accent4"/>
              </a:solidFill>
              <a:ln w="19050">
                <a:solidFill>
                  <a:schemeClr val="lt1"/>
                </a:solidFill>
              </a:ln>
              <a:effectLst/>
            </c:spPr>
            <c:extLst>
              <c:ext xmlns:c16="http://schemas.microsoft.com/office/drawing/2014/chart" uri="{C3380CC4-5D6E-409C-BE32-E72D297353CC}">
                <c16:uniqueId val="{00000242-F9C6-425B-B9B7-EE7C7F9C2669}"/>
              </c:ext>
            </c:extLst>
          </c:dPt>
          <c:dPt>
            <c:idx val="112"/>
            <c:bubble3D val="0"/>
            <c:spPr>
              <a:solidFill>
                <a:schemeClr val="accent5"/>
              </a:solidFill>
              <a:ln w="19050">
                <a:solidFill>
                  <a:schemeClr val="lt1"/>
                </a:solidFill>
              </a:ln>
              <a:effectLst/>
            </c:spPr>
            <c:extLst>
              <c:ext xmlns:c16="http://schemas.microsoft.com/office/drawing/2014/chart" uri="{C3380CC4-5D6E-409C-BE32-E72D297353CC}">
                <c16:uniqueId val="{00000244-F9C6-425B-B9B7-EE7C7F9C2669}"/>
              </c:ext>
            </c:extLst>
          </c:dPt>
          <c:dPt>
            <c:idx val="113"/>
            <c:bubble3D val="0"/>
            <c:spPr>
              <a:solidFill>
                <a:schemeClr val="accent6"/>
              </a:solidFill>
              <a:ln w="19050">
                <a:solidFill>
                  <a:schemeClr val="lt1"/>
                </a:solidFill>
              </a:ln>
              <a:effectLst/>
            </c:spPr>
            <c:extLst>
              <c:ext xmlns:c16="http://schemas.microsoft.com/office/drawing/2014/chart" uri="{C3380CC4-5D6E-409C-BE32-E72D297353CC}">
                <c16:uniqueId val="{00000246-F9C6-425B-B9B7-EE7C7F9C2669}"/>
              </c:ext>
            </c:extLst>
          </c:dPt>
          <c:dPt>
            <c:idx val="114"/>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248-F9C6-425B-B9B7-EE7C7F9C2669}"/>
              </c:ext>
            </c:extLst>
          </c:dPt>
          <c:dPt>
            <c:idx val="115"/>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24A-F9C6-425B-B9B7-EE7C7F9C2669}"/>
              </c:ext>
            </c:extLst>
          </c:dPt>
          <c:dPt>
            <c:idx val="116"/>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24C-F9C6-425B-B9B7-EE7C7F9C2669}"/>
              </c:ext>
            </c:extLst>
          </c:dPt>
          <c:dPt>
            <c:idx val="117"/>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24E-F9C6-425B-B9B7-EE7C7F9C2669}"/>
              </c:ext>
            </c:extLst>
          </c:dPt>
          <c:dPt>
            <c:idx val="118"/>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250-F9C6-425B-B9B7-EE7C7F9C2669}"/>
              </c:ext>
            </c:extLst>
          </c:dPt>
          <c:dPt>
            <c:idx val="119"/>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252-F9C6-425B-B9B7-EE7C7F9C2669}"/>
              </c:ext>
            </c:extLst>
          </c:dPt>
          <c:dPt>
            <c:idx val="120"/>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254-F9C6-425B-B9B7-EE7C7F9C2669}"/>
              </c:ext>
            </c:extLst>
          </c:dPt>
          <c:dPt>
            <c:idx val="121"/>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256-F9C6-425B-B9B7-EE7C7F9C2669}"/>
              </c:ext>
            </c:extLst>
          </c:dPt>
          <c:dPt>
            <c:idx val="122"/>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258-F9C6-425B-B9B7-EE7C7F9C2669}"/>
              </c:ext>
            </c:extLst>
          </c:dPt>
          <c:dPt>
            <c:idx val="123"/>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25A-F9C6-425B-B9B7-EE7C7F9C2669}"/>
              </c:ext>
            </c:extLst>
          </c:dPt>
          <c:dPt>
            <c:idx val="124"/>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25C-F9C6-425B-B9B7-EE7C7F9C2669}"/>
              </c:ext>
            </c:extLst>
          </c:dPt>
          <c:dPt>
            <c:idx val="125"/>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25E-F9C6-425B-B9B7-EE7C7F9C2669}"/>
              </c:ext>
            </c:extLst>
          </c:dPt>
          <c:dPt>
            <c:idx val="126"/>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260-F9C6-425B-B9B7-EE7C7F9C2669}"/>
              </c:ext>
            </c:extLst>
          </c:dPt>
          <c:dPt>
            <c:idx val="127"/>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262-F9C6-425B-B9B7-EE7C7F9C2669}"/>
              </c:ext>
            </c:extLst>
          </c:dPt>
          <c:dPt>
            <c:idx val="128"/>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264-F9C6-425B-B9B7-EE7C7F9C2669}"/>
              </c:ext>
            </c:extLst>
          </c:dPt>
          <c:dPt>
            <c:idx val="129"/>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266-F9C6-425B-B9B7-EE7C7F9C2669}"/>
              </c:ext>
            </c:extLst>
          </c:dPt>
          <c:dPt>
            <c:idx val="130"/>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268-F9C6-425B-B9B7-EE7C7F9C2669}"/>
              </c:ext>
            </c:extLst>
          </c:dPt>
          <c:dPt>
            <c:idx val="131"/>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26A-F9C6-425B-B9B7-EE7C7F9C2669}"/>
              </c:ext>
            </c:extLst>
          </c:dPt>
          <c:dPt>
            <c:idx val="132"/>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26C-F9C6-425B-B9B7-EE7C7F9C2669}"/>
              </c:ext>
            </c:extLst>
          </c:dPt>
          <c:dPt>
            <c:idx val="13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26E-F9C6-425B-B9B7-EE7C7F9C2669}"/>
              </c:ext>
            </c:extLst>
          </c:dPt>
          <c:dPt>
            <c:idx val="134"/>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270-F9C6-425B-B9B7-EE7C7F9C2669}"/>
              </c:ext>
            </c:extLst>
          </c:dPt>
          <c:dPt>
            <c:idx val="135"/>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272-F9C6-425B-B9B7-EE7C7F9C2669}"/>
              </c:ext>
            </c:extLst>
          </c:dPt>
          <c:dPt>
            <c:idx val="136"/>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274-F9C6-425B-B9B7-EE7C7F9C2669}"/>
              </c:ext>
            </c:extLst>
          </c:dPt>
          <c:dPt>
            <c:idx val="137"/>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276-F9C6-425B-B9B7-EE7C7F9C2669}"/>
              </c:ext>
            </c:extLst>
          </c:dPt>
          <c:dPt>
            <c:idx val="138"/>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278-F9C6-425B-B9B7-EE7C7F9C2669}"/>
              </c:ext>
            </c:extLst>
          </c:dPt>
          <c:dPt>
            <c:idx val="139"/>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27A-F9C6-425B-B9B7-EE7C7F9C2669}"/>
              </c:ext>
            </c:extLst>
          </c:dPt>
          <c:dPt>
            <c:idx val="140"/>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27C-F9C6-425B-B9B7-EE7C7F9C2669}"/>
              </c:ext>
            </c:extLst>
          </c:dPt>
          <c:dPt>
            <c:idx val="141"/>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27E-F9C6-425B-B9B7-EE7C7F9C2669}"/>
              </c:ext>
            </c:extLst>
          </c:dPt>
          <c:dPt>
            <c:idx val="142"/>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280-F9C6-425B-B9B7-EE7C7F9C2669}"/>
              </c:ext>
            </c:extLst>
          </c:dPt>
          <c:dPt>
            <c:idx val="143"/>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282-F9C6-425B-B9B7-EE7C7F9C2669}"/>
              </c:ext>
            </c:extLst>
          </c:dPt>
          <c:dPt>
            <c:idx val="144"/>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284-F9C6-425B-B9B7-EE7C7F9C2669}"/>
              </c:ext>
            </c:extLst>
          </c:dPt>
          <c:dPt>
            <c:idx val="145"/>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286-F9C6-425B-B9B7-EE7C7F9C2669}"/>
              </c:ext>
            </c:extLst>
          </c:dPt>
          <c:dPt>
            <c:idx val="146"/>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288-F9C6-425B-B9B7-EE7C7F9C2669}"/>
              </c:ext>
            </c:extLst>
          </c:dPt>
          <c:dPt>
            <c:idx val="147"/>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28A-F9C6-425B-B9B7-EE7C7F9C2669}"/>
              </c:ext>
            </c:extLst>
          </c:dPt>
          <c:dPt>
            <c:idx val="148"/>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28C-F9C6-425B-B9B7-EE7C7F9C2669}"/>
              </c:ext>
            </c:extLst>
          </c:dPt>
          <c:dPt>
            <c:idx val="149"/>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28E-F9C6-425B-B9B7-EE7C7F9C2669}"/>
              </c:ext>
            </c:extLst>
          </c:dPt>
          <c:dPt>
            <c:idx val="150"/>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290-F9C6-425B-B9B7-EE7C7F9C2669}"/>
              </c:ext>
            </c:extLst>
          </c:dPt>
          <c:dPt>
            <c:idx val="151"/>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292-F9C6-425B-B9B7-EE7C7F9C2669}"/>
              </c:ext>
            </c:extLst>
          </c:dPt>
          <c:dPt>
            <c:idx val="152"/>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294-F9C6-425B-B9B7-EE7C7F9C2669}"/>
              </c:ext>
            </c:extLst>
          </c:dPt>
          <c:dPt>
            <c:idx val="153"/>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296-F9C6-425B-B9B7-EE7C7F9C2669}"/>
              </c:ext>
            </c:extLst>
          </c:dPt>
          <c:dPt>
            <c:idx val="154"/>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298-F9C6-425B-B9B7-EE7C7F9C2669}"/>
              </c:ext>
            </c:extLst>
          </c:dPt>
          <c:dPt>
            <c:idx val="155"/>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29A-F9C6-425B-B9B7-EE7C7F9C2669}"/>
              </c:ext>
            </c:extLst>
          </c:dPt>
          <c:dPt>
            <c:idx val="156"/>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29C-F9C6-425B-B9B7-EE7C7F9C2669}"/>
              </c:ext>
            </c:extLst>
          </c:dPt>
          <c:dPt>
            <c:idx val="157"/>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29E-F9C6-425B-B9B7-EE7C7F9C2669}"/>
              </c:ext>
            </c:extLst>
          </c:dPt>
          <c:dPt>
            <c:idx val="158"/>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2A0-F9C6-425B-B9B7-EE7C7F9C2669}"/>
              </c:ext>
            </c:extLst>
          </c:dPt>
          <c:dPt>
            <c:idx val="159"/>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2A2-F9C6-425B-B9B7-EE7C7F9C2669}"/>
              </c:ext>
            </c:extLst>
          </c:dPt>
          <c:dPt>
            <c:idx val="160"/>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2A4-F9C6-425B-B9B7-EE7C7F9C2669}"/>
              </c:ext>
            </c:extLst>
          </c:dPt>
          <c:dPt>
            <c:idx val="161"/>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2A6-F9C6-425B-B9B7-EE7C7F9C2669}"/>
              </c:ext>
            </c:extLst>
          </c:dPt>
          <c:dPt>
            <c:idx val="162"/>
            <c:bubble3D val="0"/>
            <c:spPr>
              <a:solidFill>
                <a:schemeClr val="accent1"/>
              </a:solidFill>
              <a:ln w="19050">
                <a:solidFill>
                  <a:schemeClr val="lt1"/>
                </a:solidFill>
              </a:ln>
              <a:effectLst/>
            </c:spPr>
            <c:extLst>
              <c:ext xmlns:c16="http://schemas.microsoft.com/office/drawing/2014/chart" uri="{C3380CC4-5D6E-409C-BE32-E72D297353CC}">
                <c16:uniqueId val="{000002A8-F9C6-425B-B9B7-EE7C7F9C2669}"/>
              </c:ext>
            </c:extLst>
          </c:dPt>
          <c:dPt>
            <c:idx val="163"/>
            <c:bubble3D val="0"/>
            <c:spPr>
              <a:solidFill>
                <a:schemeClr val="accent2"/>
              </a:solidFill>
              <a:ln w="19050">
                <a:solidFill>
                  <a:schemeClr val="lt1"/>
                </a:solidFill>
              </a:ln>
              <a:effectLst/>
            </c:spPr>
            <c:extLst>
              <c:ext xmlns:c16="http://schemas.microsoft.com/office/drawing/2014/chart" uri="{C3380CC4-5D6E-409C-BE32-E72D297353CC}">
                <c16:uniqueId val="{000002AA-F9C6-425B-B9B7-EE7C7F9C2669}"/>
              </c:ext>
            </c:extLst>
          </c:dPt>
          <c:dPt>
            <c:idx val="164"/>
            <c:bubble3D val="0"/>
            <c:spPr>
              <a:solidFill>
                <a:schemeClr val="accent3"/>
              </a:solidFill>
              <a:ln w="19050">
                <a:solidFill>
                  <a:schemeClr val="lt1"/>
                </a:solidFill>
              </a:ln>
              <a:effectLst/>
            </c:spPr>
            <c:extLst>
              <c:ext xmlns:c16="http://schemas.microsoft.com/office/drawing/2014/chart" uri="{C3380CC4-5D6E-409C-BE32-E72D297353CC}">
                <c16:uniqueId val="{000002AC-F9C6-425B-B9B7-EE7C7F9C2669}"/>
              </c:ext>
            </c:extLst>
          </c:dPt>
          <c:dPt>
            <c:idx val="165"/>
            <c:bubble3D val="0"/>
            <c:spPr>
              <a:solidFill>
                <a:schemeClr val="accent4"/>
              </a:solidFill>
              <a:ln w="19050">
                <a:solidFill>
                  <a:schemeClr val="lt1"/>
                </a:solidFill>
              </a:ln>
              <a:effectLst/>
            </c:spPr>
            <c:extLst>
              <c:ext xmlns:c16="http://schemas.microsoft.com/office/drawing/2014/chart" uri="{C3380CC4-5D6E-409C-BE32-E72D297353CC}">
                <c16:uniqueId val="{000002AE-F9C6-425B-B9B7-EE7C7F9C2669}"/>
              </c:ext>
            </c:extLst>
          </c:dPt>
          <c:dPt>
            <c:idx val="166"/>
            <c:bubble3D val="0"/>
            <c:spPr>
              <a:solidFill>
                <a:schemeClr val="accent5"/>
              </a:solidFill>
              <a:ln w="19050">
                <a:solidFill>
                  <a:schemeClr val="lt1"/>
                </a:solidFill>
              </a:ln>
              <a:effectLst/>
            </c:spPr>
            <c:extLst>
              <c:ext xmlns:c16="http://schemas.microsoft.com/office/drawing/2014/chart" uri="{C3380CC4-5D6E-409C-BE32-E72D297353CC}">
                <c16:uniqueId val="{000002B0-F9C6-425B-B9B7-EE7C7F9C2669}"/>
              </c:ext>
            </c:extLst>
          </c:dPt>
          <c:dPt>
            <c:idx val="167"/>
            <c:bubble3D val="0"/>
            <c:spPr>
              <a:solidFill>
                <a:schemeClr val="accent6"/>
              </a:solidFill>
              <a:ln w="19050">
                <a:solidFill>
                  <a:schemeClr val="lt1"/>
                </a:solidFill>
              </a:ln>
              <a:effectLst/>
            </c:spPr>
            <c:extLst>
              <c:ext xmlns:c16="http://schemas.microsoft.com/office/drawing/2014/chart" uri="{C3380CC4-5D6E-409C-BE32-E72D297353CC}">
                <c16:uniqueId val="{000002B2-F9C6-425B-B9B7-EE7C7F9C2669}"/>
              </c:ext>
            </c:extLst>
          </c:dPt>
          <c:dPt>
            <c:idx val="168"/>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2B4-F9C6-425B-B9B7-EE7C7F9C2669}"/>
              </c:ext>
            </c:extLst>
          </c:dPt>
          <c:dPt>
            <c:idx val="169"/>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2B6-F9C6-425B-B9B7-EE7C7F9C2669}"/>
              </c:ext>
            </c:extLst>
          </c:dPt>
          <c:dPt>
            <c:idx val="170"/>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2B8-F9C6-425B-B9B7-EE7C7F9C2669}"/>
              </c:ext>
            </c:extLst>
          </c:dPt>
          <c:dPt>
            <c:idx val="171"/>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2BA-F9C6-425B-B9B7-EE7C7F9C2669}"/>
              </c:ext>
            </c:extLst>
          </c:dPt>
          <c:dPt>
            <c:idx val="172"/>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2BC-F9C6-425B-B9B7-EE7C7F9C2669}"/>
              </c:ext>
            </c:extLst>
          </c:dPt>
          <c:dPt>
            <c:idx val="17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2BE-F9C6-425B-B9B7-EE7C7F9C2669}"/>
              </c:ext>
            </c:extLst>
          </c:dPt>
          <c:dPt>
            <c:idx val="174"/>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2C0-F9C6-425B-B9B7-EE7C7F9C2669}"/>
              </c:ext>
            </c:extLst>
          </c:dPt>
          <c:dPt>
            <c:idx val="175"/>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2C2-F9C6-425B-B9B7-EE7C7F9C2669}"/>
              </c:ext>
            </c:extLst>
          </c:dPt>
          <c:dPt>
            <c:idx val="176"/>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2C4-F9C6-425B-B9B7-EE7C7F9C2669}"/>
              </c:ext>
            </c:extLst>
          </c:dPt>
          <c:cat>
            <c:strRef>
              <c:f>Sheet1!$A$4:$A$181</c:f>
              <c:strCache>
                <c:ptCount val="177"/>
                <c:pt idx="0">
                  <c:v>Afghanistan</c:v>
                </c:pt>
                <c:pt idx="1">
                  <c:v>Albania</c:v>
                </c:pt>
                <c:pt idx="2">
                  <c:v>Algeria</c:v>
                </c:pt>
                <c:pt idx="3">
                  <c:v>Andorra</c:v>
                </c:pt>
                <c:pt idx="4">
                  <c:v>Angola</c:v>
                </c:pt>
                <c:pt idx="5">
                  <c:v>Argentina</c:v>
                </c:pt>
                <c:pt idx="6">
                  <c:v>Armenia</c:v>
                </c:pt>
                <c:pt idx="7">
                  <c:v>Australia</c:v>
                </c:pt>
                <c:pt idx="8">
                  <c:v>Austria</c:v>
                </c:pt>
                <c:pt idx="9">
                  <c:v>Azerbaijan</c:v>
                </c:pt>
                <c:pt idx="10">
                  <c:v>Bahrain</c:v>
                </c:pt>
                <c:pt idx="11">
                  <c:v>Bangladesh</c:v>
                </c:pt>
                <c:pt idx="12">
                  <c:v>Barbados</c:v>
                </c:pt>
                <c:pt idx="13">
                  <c:v>Belarus</c:v>
                </c:pt>
                <c:pt idx="14">
                  <c:v>Belgium</c:v>
                </c:pt>
                <c:pt idx="15">
                  <c:v>Belize</c:v>
                </c:pt>
                <c:pt idx="16">
                  <c:v>Benin</c:v>
                </c:pt>
                <c:pt idx="17">
                  <c:v>Bhutan</c:v>
                </c:pt>
                <c:pt idx="18">
                  <c:v>Bolivia</c:v>
                </c:pt>
                <c:pt idx="19">
                  <c:v>Bosnia and Herzegovina</c:v>
                </c:pt>
                <c:pt idx="20">
                  <c:v>Botswana</c:v>
                </c:pt>
                <c:pt idx="21">
                  <c:v>Brazil</c:v>
                </c:pt>
                <c:pt idx="22">
                  <c:v>Brunei</c:v>
                </c:pt>
                <c:pt idx="23">
                  <c:v>Bulgaria</c:v>
                </c:pt>
                <c:pt idx="24">
                  <c:v>Burundi</c:v>
                </c:pt>
                <c:pt idx="25">
                  <c:v>Cambodia</c:v>
                </c:pt>
                <c:pt idx="26">
                  <c:v>Cameroon</c:v>
                </c:pt>
                <c:pt idx="27">
                  <c:v>Canada</c:v>
                </c:pt>
                <c:pt idx="28">
                  <c:v>Central African Republic</c:v>
                </c:pt>
                <c:pt idx="29">
                  <c:v>Chad</c:v>
                </c:pt>
                <c:pt idx="30">
                  <c:v>Chile</c:v>
                </c:pt>
                <c:pt idx="31">
                  <c:v>Colombia</c:v>
                </c:pt>
                <c:pt idx="32">
                  <c:v>Costa Rica</c:v>
                </c:pt>
                <c:pt idx="33">
                  <c:v>Cote d'Ivoire</c:v>
                </c:pt>
                <c:pt idx="34">
                  <c:v>Croatia</c:v>
                </c:pt>
                <c:pt idx="35">
                  <c:v>Cuba</c:v>
                </c:pt>
                <c:pt idx="36">
                  <c:v>Cyprus</c:v>
                </c:pt>
                <c:pt idx="37">
                  <c:v>Czech Republic</c:v>
                </c:pt>
                <c:pt idx="38">
                  <c:v>Djibouti</c:v>
                </c:pt>
                <c:pt idx="39">
                  <c:v>Dominican Republic</c:v>
                </c:pt>
                <c:pt idx="40">
                  <c:v>Ecuador</c:v>
                </c:pt>
                <c:pt idx="41">
                  <c:v>Egypt</c:v>
                </c:pt>
                <c:pt idx="42">
                  <c:v>El Salvador</c:v>
                </c:pt>
                <c:pt idx="43">
                  <c:v>Equatorial Guinea</c:v>
                </c:pt>
                <c:pt idx="44">
                  <c:v>Eritrea</c:v>
                </c:pt>
                <c:pt idx="45">
                  <c:v>Estonia</c:v>
                </c:pt>
                <c:pt idx="46">
                  <c:v>Eswatini</c:v>
                </c:pt>
                <c:pt idx="47">
                  <c:v>Ethiopia</c:v>
                </c:pt>
                <c:pt idx="48">
                  <c:v>Federated States of Micronesia</c:v>
                </c:pt>
                <c:pt idx="49">
                  <c:v>Fiji</c:v>
                </c:pt>
                <c:pt idx="50">
                  <c:v>Finland</c:v>
                </c:pt>
                <c:pt idx="51">
                  <c:v>France</c:v>
                </c:pt>
                <c:pt idx="52">
                  <c:v>Gabon</c:v>
                </c:pt>
                <c:pt idx="53">
                  <c:v>Georgia</c:v>
                </c:pt>
                <c:pt idx="54">
                  <c:v>Germany</c:v>
                </c:pt>
                <c:pt idx="55">
                  <c:v>Ghana</c:v>
                </c:pt>
                <c:pt idx="56">
                  <c:v>Greece</c:v>
                </c:pt>
                <c:pt idx="57">
                  <c:v>Grenada</c:v>
                </c:pt>
                <c:pt idx="58">
                  <c:v>Guatemala</c:v>
                </c:pt>
                <c:pt idx="59">
                  <c:v>Guinea</c:v>
                </c:pt>
                <c:pt idx="60">
                  <c:v>Guyana</c:v>
                </c:pt>
                <c:pt idx="61">
                  <c:v>Haiti</c:v>
                </c:pt>
                <c:pt idx="62">
                  <c:v>Honduras</c:v>
                </c:pt>
                <c:pt idx="63">
                  <c:v>Hungary</c:v>
                </c:pt>
                <c:pt idx="64">
                  <c:v>Iceland</c:v>
                </c:pt>
                <c:pt idx="65">
                  <c:v>India</c:v>
                </c:pt>
                <c:pt idx="66">
                  <c:v>Indonesia</c:v>
                </c:pt>
                <c:pt idx="67">
                  <c:v>Iran</c:v>
                </c:pt>
                <c:pt idx="68">
                  <c:v>Iraq</c:v>
                </c:pt>
                <c:pt idx="69">
                  <c:v>Ireland</c:v>
                </c:pt>
                <c:pt idx="70">
                  <c:v>Israel</c:v>
                </c:pt>
                <c:pt idx="71">
                  <c:v>Italy</c:v>
                </c:pt>
                <c:pt idx="72">
                  <c:v>Jamaica</c:v>
                </c:pt>
                <c:pt idx="73">
                  <c:v>Japan</c:v>
                </c:pt>
                <c:pt idx="74">
                  <c:v>Jordan</c:v>
                </c:pt>
                <c:pt idx="75">
                  <c:v>Kazakhstan</c:v>
                </c:pt>
                <c:pt idx="76">
                  <c:v>Kenya</c:v>
                </c:pt>
                <c:pt idx="77">
                  <c:v>Kuwait</c:v>
                </c:pt>
                <c:pt idx="78">
                  <c:v>Kyrgyzstan</c:v>
                </c:pt>
                <c:pt idx="79">
                  <c:v>Laos</c:v>
                </c:pt>
                <c:pt idx="80">
                  <c:v>Latvia</c:v>
                </c:pt>
                <c:pt idx="81">
                  <c:v>Lebanon</c:v>
                </c:pt>
                <c:pt idx="82">
                  <c:v>Lesotho</c:v>
                </c:pt>
                <c:pt idx="83">
                  <c:v>Liberia</c:v>
                </c:pt>
                <c:pt idx="84">
                  <c:v>Libya</c:v>
                </c:pt>
                <c:pt idx="85">
                  <c:v>Liechtenstein</c:v>
                </c:pt>
                <c:pt idx="86">
                  <c:v>Lithuania</c:v>
                </c:pt>
                <c:pt idx="87">
                  <c:v>Luxembourg</c:v>
                </c:pt>
                <c:pt idx="88">
                  <c:v>Madagascar</c:v>
                </c:pt>
                <c:pt idx="89">
                  <c:v>Malawi</c:v>
                </c:pt>
                <c:pt idx="90">
                  <c:v>Malaysia</c:v>
                </c:pt>
                <c:pt idx="91">
                  <c:v>Maldives</c:v>
                </c:pt>
                <c:pt idx="92">
                  <c:v>Mali</c:v>
                </c:pt>
                <c:pt idx="93">
                  <c:v>Malta</c:v>
                </c:pt>
                <c:pt idx="94">
                  <c:v>Marshall Islands</c:v>
                </c:pt>
                <c:pt idx="95">
                  <c:v>Mauritania</c:v>
                </c:pt>
                <c:pt idx="96">
                  <c:v>Mauritius</c:v>
                </c:pt>
                <c:pt idx="97">
                  <c:v>Mexico</c:v>
                </c:pt>
                <c:pt idx="98">
                  <c:v>Moldova</c:v>
                </c:pt>
                <c:pt idx="99">
                  <c:v>Monaco</c:v>
                </c:pt>
                <c:pt idx="100">
                  <c:v>Mongolia</c:v>
                </c:pt>
                <c:pt idx="101">
                  <c:v>Montenegro</c:v>
                </c:pt>
                <c:pt idx="102">
                  <c:v>Morocco</c:v>
                </c:pt>
                <c:pt idx="103">
                  <c:v>Mozambique</c:v>
                </c:pt>
                <c:pt idx="104">
                  <c:v>Myanmar</c:v>
                </c:pt>
                <c:pt idx="105">
                  <c:v>Namibia</c:v>
                </c:pt>
                <c:pt idx="106">
                  <c:v>Nepal</c:v>
                </c:pt>
                <c:pt idx="107">
                  <c:v>New Zealand</c:v>
                </c:pt>
                <c:pt idx="108">
                  <c:v>Nicaragua</c:v>
                </c:pt>
                <c:pt idx="109">
                  <c:v>Niger</c:v>
                </c:pt>
                <c:pt idx="110">
                  <c:v>Nigeria</c:v>
                </c:pt>
                <c:pt idx="111">
                  <c:v>North Macedonia</c:v>
                </c:pt>
                <c:pt idx="112">
                  <c:v>Norway</c:v>
                </c:pt>
                <c:pt idx="113">
                  <c:v>Oman</c:v>
                </c:pt>
                <c:pt idx="114">
                  <c:v>Pakistan</c:v>
                </c:pt>
                <c:pt idx="115">
                  <c:v>Palau</c:v>
                </c:pt>
                <c:pt idx="116">
                  <c:v>Panama</c:v>
                </c:pt>
                <c:pt idx="117">
                  <c:v>Papua New Guinea</c:v>
                </c:pt>
                <c:pt idx="118">
                  <c:v>Paraguay</c:v>
                </c:pt>
                <c:pt idx="119">
                  <c:v>People's Republic of China</c:v>
                </c:pt>
                <c:pt idx="120">
                  <c:v>Peru</c:v>
                </c:pt>
                <c:pt idx="121">
                  <c:v>Philippines</c:v>
                </c:pt>
                <c:pt idx="122">
                  <c:v>Poland</c:v>
                </c:pt>
                <c:pt idx="123">
                  <c:v>Portugal</c:v>
                </c:pt>
                <c:pt idx="124">
                  <c:v>Qatar</c:v>
                </c:pt>
                <c:pt idx="125">
                  <c:v>Republic of the Congo</c:v>
                </c:pt>
                <c:pt idx="126">
                  <c:v>Romania</c:v>
                </c:pt>
                <c:pt idx="127">
                  <c:v>Russia</c:v>
                </c:pt>
                <c:pt idx="128">
                  <c:v>Rwanda</c:v>
                </c:pt>
                <c:pt idx="129">
                  <c:v>Saint Lucia</c:v>
                </c:pt>
                <c:pt idx="130">
                  <c:v>Samoa</c:v>
                </c:pt>
                <c:pt idx="131">
                  <c:v>San Marino</c:v>
                </c:pt>
                <c:pt idx="132">
                  <c:v>Saudi Arabia</c:v>
                </c:pt>
                <c:pt idx="133">
                  <c:v>Senegal</c:v>
                </c:pt>
                <c:pt idx="134">
                  <c:v>Serbia</c:v>
                </c:pt>
                <c:pt idx="135">
                  <c:v>Seychelles</c:v>
                </c:pt>
                <c:pt idx="136">
                  <c:v>Sierra Leone</c:v>
                </c:pt>
                <c:pt idx="137">
                  <c:v>Singapore</c:v>
                </c:pt>
                <c:pt idx="138">
                  <c:v>Slovakia</c:v>
                </c:pt>
                <c:pt idx="139">
                  <c:v>Slovenia</c:v>
                </c:pt>
                <c:pt idx="140">
                  <c:v>Solomon Islands</c:v>
                </c:pt>
                <c:pt idx="141">
                  <c:v>Somalia</c:v>
                </c:pt>
                <c:pt idx="142">
                  <c:v>South Africa</c:v>
                </c:pt>
                <c:pt idx="143">
                  <c:v>South Korea</c:v>
                </c:pt>
                <c:pt idx="144">
                  <c:v>South Sudan</c:v>
                </c:pt>
                <c:pt idx="145">
                  <c:v>Spain</c:v>
                </c:pt>
                <c:pt idx="146">
                  <c:v>Sri Lanka</c:v>
                </c:pt>
                <c:pt idx="147">
                  <c:v>Sudan</c:v>
                </c:pt>
                <c:pt idx="148">
                  <c:v>Suriname</c:v>
                </c:pt>
                <c:pt idx="149">
                  <c:v>Sweden</c:v>
                </c:pt>
                <c:pt idx="150">
                  <c:v>Switzerland</c:v>
                </c:pt>
                <c:pt idx="151">
                  <c:v>Syria</c:v>
                </c:pt>
                <c:pt idx="152">
                  <c:v>Taiwan</c:v>
                </c:pt>
                <c:pt idx="153">
                  <c:v>Tajikistan</c:v>
                </c:pt>
                <c:pt idx="154">
                  <c:v>Tanzania</c:v>
                </c:pt>
                <c:pt idx="155">
                  <c:v>Thailand</c:v>
                </c:pt>
                <c:pt idx="156">
                  <c:v>The Bahamas</c:v>
                </c:pt>
                <c:pt idx="157">
                  <c:v>The Gambia</c:v>
                </c:pt>
                <c:pt idx="158">
                  <c:v>Timor-Leste</c:v>
                </c:pt>
                <c:pt idx="159">
                  <c:v>Togo</c:v>
                </c:pt>
                <c:pt idx="160">
                  <c:v>Trinidad and Tobago</c:v>
                </c:pt>
                <c:pt idx="161">
                  <c:v>Tunisia</c:v>
                </c:pt>
                <c:pt idx="162">
                  <c:v>Turkey</c:v>
                </c:pt>
                <c:pt idx="163">
                  <c:v>Turkmenistan</c:v>
                </c:pt>
                <c:pt idx="164">
                  <c:v>Uganda</c:v>
                </c:pt>
                <c:pt idx="165">
                  <c:v>Ukraine</c:v>
                </c:pt>
                <c:pt idx="166">
                  <c:v>United Arab Emirates</c:v>
                </c:pt>
                <c:pt idx="167">
                  <c:v>United Kingdom</c:v>
                </c:pt>
                <c:pt idx="168">
                  <c:v>United States of America</c:v>
                </c:pt>
                <c:pt idx="169">
                  <c:v>Uruguay</c:v>
                </c:pt>
                <c:pt idx="170">
                  <c:v>Uzbekistan</c:v>
                </c:pt>
                <c:pt idx="171">
                  <c:v>Vanuatu</c:v>
                </c:pt>
                <c:pt idx="172">
                  <c:v>Venezuela</c:v>
                </c:pt>
                <c:pt idx="173">
                  <c:v>Vietnam</c:v>
                </c:pt>
                <c:pt idx="174">
                  <c:v>Yemen</c:v>
                </c:pt>
                <c:pt idx="175">
                  <c:v>Zambia</c:v>
                </c:pt>
                <c:pt idx="176">
                  <c:v>Zimbabwe</c:v>
                </c:pt>
              </c:strCache>
            </c:strRef>
          </c:cat>
          <c:val>
            <c:numRef>
              <c:f>Sheet1!$C$4:$C$181</c:f>
              <c:numCache>
                <c:formatCode>General</c:formatCode>
                <c:ptCount val="177"/>
                <c:pt idx="0">
                  <c:v>53.440656565000005</c:v>
                </c:pt>
                <c:pt idx="1">
                  <c:v>57.834201388333334</c:v>
                </c:pt>
                <c:pt idx="2">
                  <c:v>50.623043334705876</c:v>
                </c:pt>
                <c:pt idx="3">
                  <c:v>25</c:v>
                </c:pt>
                <c:pt idx="4">
                  <c:v>81.25</c:v>
                </c:pt>
                <c:pt idx="5">
                  <c:v>54.276152350909094</c:v>
                </c:pt>
                <c:pt idx="6">
                  <c:v>45</c:v>
                </c:pt>
                <c:pt idx="7">
                  <c:v>31.981841465285711</c:v>
                </c:pt>
                <c:pt idx="8">
                  <c:v>37.733800812499993</c:v>
                </c:pt>
                <c:pt idx="9">
                  <c:v>69.02173913</c:v>
                </c:pt>
                <c:pt idx="10">
                  <c:v>62.46639785</c:v>
                </c:pt>
                <c:pt idx="11">
                  <c:v>59.124719142222226</c:v>
                </c:pt>
                <c:pt idx="12">
                  <c:v>46.666666666666664</c:v>
                </c:pt>
                <c:pt idx="13">
                  <c:v>42.495535713999999</c:v>
                </c:pt>
                <c:pt idx="14">
                  <c:v>48.90779355228571</c:v>
                </c:pt>
                <c:pt idx="15">
                  <c:v>70.486111112499998</c:v>
                </c:pt>
                <c:pt idx="16">
                  <c:v>100</c:v>
                </c:pt>
                <c:pt idx="17">
                  <c:v>55</c:v>
                </c:pt>
                <c:pt idx="18">
                  <c:v>74.573863637499997</c:v>
                </c:pt>
                <c:pt idx="19">
                  <c:v>45.748106060909087</c:v>
                </c:pt>
                <c:pt idx="20">
                  <c:v>56.25</c:v>
                </c:pt>
                <c:pt idx="21">
                  <c:v>52.747594721067955</c:v>
                </c:pt>
                <c:pt idx="22">
                  <c:v>74.431818179999993</c:v>
                </c:pt>
                <c:pt idx="23">
                  <c:v>42.775743387518517</c:v>
                </c:pt>
                <c:pt idx="24">
                  <c:v>87.5</c:v>
                </c:pt>
                <c:pt idx="25">
                  <c:v>67.032828281666667</c:v>
                </c:pt>
                <c:pt idx="26">
                  <c:v>72.132034634000007</c:v>
                </c:pt>
                <c:pt idx="27">
                  <c:v>32.551674265961793</c:v>
                </c:pt>
                <c:pt idx="28">
                  <c:v>100</c:v>
                </c:pt>
                <c:pt idx="29">
                  <c:v>26.38888889</c:v>
                </c:pt>
                <c:pt idx="30">
                  <c:v>48.018795031562497</c:v>
                </c:pt>
                <c:pt idx="31">
                  <c:v>53.534586121250001</c:v>
                </c:pt>
                <c:pt idx="32">
                  <c:v>35.807291666666664</c:v>
                </c:pt>
                <c:pt idx="33">
                  <c:v>79.41176471</c:v>
                </c:pt>
                <c:pt idx="34">
                  <c:v>24.544349485187503</c:v>
                </c:pt>
                <c:pt idx="35">
                  <c:v>75</c:v>
                </c:pt>
                <c:pt idx="36">
                  <c:v>39.120370370000003</c:v>
                </c:pt>
                <c:pt idx="37">
                  <c:v>41.425413030701755</c:v>
                </c:pt>
                <c:pt idx="38">
                  <c:v>54.166666669999998</c:v>
                </c:pt>
                <c:pt idx="39">
                  <c:v>63.760669362857143</c:v>
                </c:pt>
                <c:pt idx="40">
                  <c:v>62.595525389999999</c:v>
                </c:pt>
                <c:pt idx="41">
                  <c:v>63.009184103124994</c:v>
                </c:pt>
                <c:pt idx="42">
                  <c:v>76.5625</c:v>
                </c:pt>
                <c:pt idx="43">
                  <c:v>53.333333333333336</c:v>
                </c:pt>
                <c:pt idx="44">
                  <c:v>25</c:v>
                </c:pt>
                <c:pt idx="45">
                  <c:v>28.313349463307695</c:v>
                </c:pt>
                <c:pt idx="46">
                  <c:v>52.083333333333336</c:v>
                </c:pt>
                <c:pt idx="47">
                  <c:v>64.848484849999991</c:v>
                </c:pt>
                <c:pt idx="48">
                  <c:v>100</c:v>
                </c:pt>
                <c:pt idx="49">
                  <c:v>78.973214284999997</c:v>
                </c:pt>
                <c:pt idx="50">
                  <c:v>19.231145328100002</c:v>
                </c:pt>
                <c:pt idx="51">
                  <c:v>34.768501002391304</c:v>
                </c:pt>
                <c:pt idx="52">
                  <c:v>87.5</c:v>
                </c:pt>
                <c:pt idx="53">
                  <c:v>54.605978261250002</c:v>
                </c:pt>
                <c:pt idx="54">
                  <c:v>33.495473876459684</c:v>
                </c:pt>
                <c:pt idx="55">
                  <c:v>69.152046783333333</c:v>
                </c:pt>
                <c:pt idx="56">
                  <c:v>33.779840317222224</c:v>
                </c:pt>
                <c:pt idx="57">
                  <c:v>52.777777776666674</c:v>
                </c:pt>
                <c:pt idx="58">
                  <c:v>66.034226189999998</c:v>
                </c:pt>
                <c:pt idx="59">
                  <c:v>93.75</c:v>
                </c:pt>
                <c:pt idx="60">
                  <c:v>65.277777776666667</c:v>
                </c:pt>
                <c:pt idx="61">
                  <c:v>68.75</c:v>
                </c:pt>
                <c:pt idx="62">
                  <c:v>76.263736264000002</c:v>
                </c:pt>
                <c:pt idx="63">
                  <c:v>31.924382716037034</c:v>
                </c:pt>
                <c:pt idx="64">
                  <c:v>35.290404040444443</c:v>
                </c:pt>
                <c:pt idx="65">
                  <c:v>62.491711723831152</c:v>
                </c:pt>
                <c:pt idx="66">
                  <c:v>30.449822299743584</c:v>
                </c:pt>
                <c:pt idx="67">
                  <c:v>47.777382413428576</c:v>
                </c:pt>
                <c:pt idx="68">
                  <c:v>72.537878788</c:v>
                </c:pt>
                <c:pt idx="69">
                  <c:v>34.479856452625</c:v>
                </c:pt>
                <c:pt idx="70">
                  <c:v>45.400911991153848</c:v>
                </c:pt>
                <c:pt idx="71">
                  <c:v>45.837283365338237</c:v>
                </c:pt>
                <c:pt idx="72">
                  <c:v>53.044569066363628</c:v>
                </c:pt>
                <c:pt idx="73">
                  <c:v>33.925384256410254</c:v>
                </c:pt>
                <c:pt idx="74">
                  <c:v>57.963709677499999</c:v>
                </c:pt>
                <c:pt idx="75">
                  <c:v>69.647776465454541</c:v>
                </c:pt>
                <c:pt idx="76">
                  <c:v>49.305555555454546</c:v>
                </c:pt>
                <c:pt idx="77">
                  <c:v>56.896551719999998</c:v>
                </c:pt>
                <c:pt idx="78">
                  <c:v>48.655913980000001</c:v>
                </c:pt>
                <c:pt idx="79">
                  <c:v>85.555555553333349</c:v>
                </c:pt>
                <c:pt idx="80">
                  <c:v>21.131815044928569</c:v>
                </c:pt>
                <c:pt idx="81">
                  <c:v>90.763449367500002</c:v>
                </c:pt>
                <c:pt idx="82">
                  <c:v>80</c:v>
                </c:pt>
                <c:pt idx="83">
                  <c:v>68.75</c:v>
                </c:pt>
                <c:pt idx="84">
                  <c:v>64.550264549999994</c:v>
                </c:pt>
                <c:pt idx="85">
                  <c:v>0</c:v>
                </c:pt>
                <c:pt idx="86">
                  <c:v>44.250326796666663</c:v>
                </c:pt>
                <c:pt idx="87">
                  <c:v>45.738636362500003</c:v>
                </c:pt>
                <c:pt idx="88">
                  <c:v>77.450980393333339</c:v>
                </c:pt>
                <c:pt idx="89">
                  <c:v>47.5</c:v>
                </c:pt>
                <c:pt idx="90">
                  <c:v>61.137062322424235</c:v>
                </c:pt>
                <c:pt idx="91">
                  <c:v>93.75</c:v>
                </c:pt>
                <c:pt idx="92">
                  <c:v>62.5</c:v>
                </c:pt>
                <c:pt idx="93">
                  <c:v>61.954887219999996</c:v>
                </c:pt>
                <c:pt idx="94">
                  <c:v>91.666666669999998</c:v>
                </c:pt>
                <c:pt idx="95">
                  <c:v>37.5</c:v>
                </c:pt>
                <c:pt idx="96">
                  <c:v>71.726190474999996</c:v>
                </c:pt>
                <c:pt idx="97">
                  <c:v>49.550056478260878</c:v>
                </c:pt>
                <c:pt idx="98">
                  <c:v>75</c:v>
                </c:pt>
                <c:pt idx="99">
                  <c:v>52.55681818</c:v>
                </c:pt>
                <c:pt idx="100">
                  <c:v>55.434782607499997</c:v>
                </c:pt>
                <c:pt idx="101">
                  <c:v>36.728395062222226</c:v>
                </c:pt>
                <c:pt idx="102">
                  <c:v>49.273226773333334</c:v>
                </c:pt>
                <c:pt idx="103">
                  <c:v>79.6875</c:v>
                </c:pt>
                <c:pt idx="104">
                  <c:v>51.049450550000003</c:v>
                </c:pt>
                <c:pt idx="105">
                  <c:v>54.227053140000002</c:v>
                </c:pt>
                <c:pt idx="106">
                  <c:v>60.834135196153845</c:v>
                </c:pt>
                <c:pt idx="107">
                  <c:v>39.909185641379302</c:v>
                </c:pt>
                <c:pt idx="108">
                  <c:v>67</c:v>
                </c:pt>
                <c:pt idx="109">
                  <c:v>100</c:v>
                </c:pt>
                <c:pt idx="110">
                  <c:v>71.303329023846146</c:v>
                </c:pt>
                <c:pt idx="111">
                  <c:v>50.376854858571427</c:v>
                </c:pt>
                <c:pt idx="112">
                  <c:v>26.712641119607145</c:v>
                </c:pt>
                <c:pt idx="113">
                  <c:v>55.929487180000002</c:v>
                </c:pt>
                <c:pt idx="114">
                  <c:v>67.889868777096765</c:v>
                </c:pt>
                <c:pt idx="115">
                  <c:v>0</c:v>
                </c:pt>
                <c:pt idx="116">
                  <c:v>44.302248676666665</c:v>
                </c:pt>
                <c:pt idx="117">
                  <c:v>69.230769229999993</c:v>
                </c:pt>
                <c:pt idx="118">
                  <c:v>33.5</c:v>
                </c:pt>
                <c:pt idx="119">
                  <c:v>54.617488335126048</c:v>
                </c:pt>
                <c:pt idx="120">
                  <c:v>60.572916666666664</c:v>
                </c:pt>
                <c:pt idx="121">
                  <c:v>65.772163692000007</c:v>
                </c:pt>
                <c:pt idx="122">
                  <c:v>43.860231733404255</c:v>
                </c:pt>
                <c:pt idx="123">
                  <c:v>37.52922010264151</c:v>
                </c:pt>
                <c:pt idx="124">
                  <c:v>35.584677419999998</c:v>
                </c:pt>
                <c:pt idx="125">
                  <c:v>81.25</c:v>
                </c:pt>
                <c:pt idx="126">
                  <c:v>43.620133641428573</c:v>
                </c:pt>
                <c:pt idx="127">
                  <c:v>57.089549757906987</c:v>
                </c:pt>
                <c:pt idx="128">
                  <c:v>50</c:v>
                </c:pt>
                <c:pt idx="129">
                  <c:v>33.333333330000002</c:v>
                </c:pt>
                <c:pt idx="130">
                  <c:v>40</c:v>
                </c:pt>
                <c:pt idx="131">
                  <c:v>50</c:v>
                </c:pt>
                <c:pt idx="132">
                  <c:v>47.937889996428567</c:v>
                </c:pt>
                <c:pt idx="133">
                  <c:v>53.5</c:v>
                </c:pt>
                <c:pt idx="134">
                  <c:v>50.437740719130431</c:v>
                </c:pt>
                <c:pt idx="135">
                  <c:v>25</c:v>
                </c:pt>
                <c:pt idx="136">
                  <c:v>100</c:v>
                </c:pt>
                <c:pt idx="137">
                  <c:v>24.204947000000001</c:v>
                </c:pt>
                <c:pt idx="138">
                  <c:v>36.026938835599999</c:v>
                </c:pt>
                <c:pt idx="139">
                  <c:v>22.613986890157896</c:v>
                </c:pt>
                <c:pt idx="140">
                  <c:v>84.722222220000006</c:v>
                </c:pt>
                <c:pt idx="141">
                  <c:v>28.75</c:v>
                </c:pt>
                <c:pt idx="142">
                  <c:v>56.744203858888888</c:v>
                </c:pt>
                <c:pt idx="143">
                  <c:v>48.526194276285715</c:v>
                </c:pt>
                <c:pt idx="144">
                  <c:v>75</c:v>
                </c:pt>
                <c:pt idx="145">
                  <c:v>36.747945476705127</c:v>
                </c:pt>
                <c:pt idx="146">
                  <c:v>59.091067314545462</c:v>
                </c:pt>
                <c:pt idx="147">
                  <c:v>41.40625</c:v>
                </c:pt>
                <c:pt idx="148">
                  <c:v>54.545454550000002</c:v>
                </c:pt>
                <c:pt idx="149">
                  <c:v>18.842412020133334</c:v>
                </c:pt>
                <c:pt idx="150">
                  <c:v>22.089956888575756</c:v>
                </c:pt>
                <c:pt idx="151">
                  <c:v>65.595238095714279</c:v>
                </c:pt>
                <c:pt idx="152">
                  <c:v>60.180352055000007</c:v>
                </c:pt>
                <c:pt idx="153">
                  <c:v>61.111111110000003</c:v>
                </c:pt>
                <c:pt idx="154">
                  <c:v>57</c:v>
                </c:pt>
                <c:pt idx="155">
                  <c:v>54.360891248750001</c:v>
                </c:pt>
                <c:pt idx="156">
                  <c:v>44.753086419999995</c:v>
                </c:pt>
                <c:pt idx="157">
                  <c:v>62.5</c:v>
                </c:pt>
                <c:pt idx="158">
                  <c:v>68.75</c:v>
                </c:pt>
                <c:pt idx="159">
                  <c:v>75</c:v>
                </c:pt>
                <c:pt idx="160">
                  <c:v>61.354166667000001</c:v>
                </c:pt>
                <c:pt idx="161">
                  <c:v>58.564814813333335</c:v>
                </c:pt>
                <c:pt idx="162">
                  <c:v>44.179933908709685</c:v>
                </c:pt>
                <c:pt idx="163">
                  <c:v>18.055555555000002</c:v>
                </c:pt>
                <c:pt idx="164">
                  <c:v>53.030303029999999</c:v>
                </c:pt>
                <c:pt idx="165">
                  <c:v>55.038346713333333</c:v>
                </c:pt>
                <c:pt idx="166">
                  <c:v>41.14073385857143</c:v>
                </c:pt>
                <c:pt idx="167">
                  <c:v>25.791132842505874</c:v>
                </c:pt>
                <c:pt idx="168">
                  <c:v>40.052396517167452</c:v>
                </c:pt>
                <c:pt idx="169">
                  <c:v>30.014430013333339</c:v>
                </c:pt>
                <c:pt idx="170">
                  <c:v>49.166666669999998</c:v>
                </c:pt>
                <c:pt idx="171">
                  <c:v>70</c:v>
                </c:pt>
                <c:pt idx="172">
                  <c:v>78.549636804000002</c:v>
                </c:pt>
                <c:pt idx="173">
                  <c:v>65.526917635000004</c:v>
                </c:pt>
                <c:pt idx="174">
                  <c:v>85.416666667499996</c:v>
                </c:pt>
                <c:pt idx="175">
                  <c:v>80.769230770000007</c:v>
                </c:pt>
                <c:pt idx="176">
                  <c:v>74.107142857500008</c:v>
                </c:pt>
              </c:numCache>
            </c:numRef>
          </c:val>
          <c:extLst>
            <c:ext xmlns:c16="http://schemas.microsoft.com/office/drawing/2014/chart" uri="{C3380CC4-5D6E-409C-BE32-E72D297353CC}">
              <c16:uniqueId val="{000002C5-F9C6-425B-B9B7-EE7C7F9C266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Ayoub Abdel Rahman Ahmed</dc:creator>
  <cp:keywords/>
  <dc:description/>
  <cp:lastModifiedBy>Mohamed Ahmed Ayoub Abdel Rahman Ahmed</cp:lastModifiedBy>
  <cp:revision>1</cp:revision>
  <cp:lastPrinted>2025-09-28T19:44:00Z</cp:lastPrinted>
  <dcterms:created xsi:type="dcterms:W3CDTF">2025-09-28T19:43:00Z</dcterms:created>
  <dcterms:modified xsi:type="dcterms:W3CDTF">2025-09-28T20:52:00Z</dcterms:modified>
</cp:coreProperties>
</file>