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Sustainability Analysis Report</w:t>
      </w:r>
    </w:p>
    <w:p>
      <w:pPr>
        <w:pStyle w:val="Heading1"/>
      </w:pPr>
      <w:r>
        <w:t>Executive Summary</w:t>
      </w:r>
    </w:p>
    <w:p>
      <w:r>
        <w:t>**Executive Summary**</w:t>
        <w:br/>
        <w:br/>
        <w:t>The organization demonstrates a solid foundation in sustainability, notably excelling in both environmental and social performance with scores of 7 in each area. Significant strides have been made in minimizing ecological footprint and fostering positive community engagement and employee well-being, reflecting a strong commitment to responsible operations and positive societal impact. While specific top contributing Sustainable Development Goals (SDGs) were not provided, these high scores indicate a clear alignment with crucial global sustainability objectives related to planetary health and human well-being.</w:t>
        <w:br/>
        <w:br/>
        <w:t>However, the economic/financial performance, with a score of 5, highlights a critical area for improvement. To achieve truly holistic and resilient sustainability, it is imperative to strengthen economic viability by integrating sustainability considerations more deeply into core business models. Future efforts should focus on developing strategies that not only enhance profitability but also create shared value, ensuring that financial performance robustly supports and is amplified by environmental and social stewardship. This integrated approach will solidify the organization's long-term sustainability standing and maximize its overall positive impact.</w:t>
      </w:r>
    </w:p>
    <w:p>
      <w:r>
        <w:br w:type="page"/>
      </w:r>
    </w:p>
    <w:p>
      <w:pPr>
        <w:pStyle w:val="Heading1"/>
      </w:pPr>
      <w:r>
        <w:t>ESG Performance Analysis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t>Category</w:t>
            </w:r>
          </w:p>
        </w:tc>
        <w:tc>
          <w:tcPr>
            <w:tcW w:type="dxa" w:w="2160"/>
          </w:tcPr>
          <w:p>
            <w:r>
              <w:t>Score</w:t>
            </w:r>
          </w:p>
        </w:tc>
        <w:tc>
          <w:tcPr>
            <w:tcW w:type="dxa" w:w="2160"/>
          </w:tcPr>
          <w:p>
            <w:r>
              <w:t>Strengths</w:t>
            </w:r>
          </w:p>
        </w:tc>
        <w:tc>
          <w:tcPr>
            <w:tcW w:type="dxa" w:w="2160"/>
          </w:tcPr>
          <w:p>
            <w:r>
              <w:t>Weaknesses</w:t>
            </w:r>
          </w:p>
        </w:tc>
      </w:tr>
      <w:tr>
        <w:tc>
          <w:tcPr>
            <w:tcW w:type="dxa" w:w="2160"/>
          </w:tcPr>
          <w:p>
            <w:r>
              <w:t>Economic_Financial_Performance</w:t>
            </w:r>
          </w:p>
        </w:tc>
        <w:tc>
          <w:tcPr>
            <w:tcW w:type="dxa" w:w="2160"/>
          </w:tcPr>
          <w:p>
            <w:r>
              <w:t>5</w:t>
            </w:r>
          </w:p>
        </w:tc>
        <w:tc>
          <w:tcPr>
            <w:tcW w:type="dxa" w:w="2160"/>
          </w:tcPr>
          <w:p>
            <w:r/>
          </w:p>
        </w:tc>
        <w:tc>
          <w:tcPr>
            <w:tcW w:type="dxa" w:w="2160"/>
          </w:tcPr>
          <w:p>
            <w:r/>
          </w:p>
        </w:tc>
      </w:tr>
      <w:tr>
        <w:tc>
          <w:tcPr>
            <w:tcW w:type="dxa" w:w="2160"/>
          </w:tcPr>
          <w:p>
            <w:r>
              <w:t>Environmental_Performance</w:t>
            </w:r>
          </w:p>
        </w:tc>
        <w:tc>
          <w:tcPr>
            <w:tcW w:type="dxa" w:w="2160"/>
          </w:tcPr>
          <w:p>
            <w:r>
              <w:t>7</w:t>
            </w:r>
          </w:p>
        </w:tc>
        <w:tc>
          <w:tcPr>
            <w:tcW w:type="dxa" w:w="2160"/>
          </w:tcPr>
          <w:p>
            <w:r/>
          </w:p>
        </w:tc>
        <w:tc>
          <w:tcPr>
            <w:tcW w:type="dxa" w:w="2160"/>
          </w:tcPr>
          <w:p>
            <w:r/>
          </w:p>
        </w:tc>
      </w:tr>
      <w:tr>
        <w:tc>
          <w:tcPr>
            <w:tcW w:type="dxa" w:w="2160"/>
          </w:tcPr>
          <w:p>
            <w:r>
              <w:t>Social_Performance</w:t>
            </w:r>
          </w:p>
        </w:tc>
        <w:tc>
          <w:tcPr>
            <w:tcW w:type="dxa" w:w="2160"/>
          </w:tcPr>
          <w:p>
            <w:r>
              <w:t>7</w:t>
            </w:r>
          </w:p>
        </w:tc>
        <w:tc>
          <w:tcPr>
            <w:tcW w:type="dxa" w:w="2160"/>
          </w:tcPr>
          <w:p>
            <w:r/>
          </w:p>
        </w:tc>
        <w:tc>
          <w:tcPr>
            <w:tcW w:type="dxa" w:w="2160"/>
          </w:tcPr>
          <w:p>
            <w:r/>
          </w:p>
        </w:tc>
      </w:tr>
    </w:tbl>
    <w:p>
      <w:r>
        <w:br w:type="page"/>
      </w:r>
    </w:p>
    <w:p>
      <w:pPr>
        <w:pStyle w:val="Heading1"/>
      </w:pPr>
      <w:r>
        <w:t>UN SDG Mapping</w:t>
      </w:r>
    </w:p>
    <w:tbl>
      <w:tblPr>
        <w:tblStyle w:val="LightGrid-Accent2"/>
        <w:tblW w:type="auto" w:w="0"/>
        <w:tblLook w:firstColumn="1" w:firstRow="1" w:lastColumn="0" w:lastRow="0" w:noHBand="0" w:noVBand="1" w:val="04A0"/>
      </w:tblPr>
      <w:tblGrid>
        <w:gridCol w:w="2880"/>
        <w:gridCol w:w="2880"/>
        <w:gridCol w:w="2880"/>
      </w:tblGrid>
      <w:tr>
        <w:tc>
          <w:tcPr>
            <w:tcW w:type="dxa" w:w="2880"/>
          </w:tcPr>
          <w:p>
            <w:r>
              <w:t>SDG</w:t>
            </w:r>
          </w:p>
        </w:tc>
        <w:tc>
          <w:tcPr>
            <w:tcW w:type="dxa" w:w="2880"/>
          </w:tcPr>
          <w:p>
            <w:r>
              <w:t>Score</w:t>
            </w:r>
          </w:p>
        </w:tc>
        <w:tc>
          <w:tcPr>
            <w:tcW w:type="dxa" w:w="2880"/>
          </w:tcPr>
          <w:p>
            <w:r>
              <w:t>Impact Level</w:t>
            </w:r>
          </w:p>
        </w:tc>
      </w:tr>
      <w:tr>
        <w:tc>
          <w:tcPr>
            <w:tcW w:type="dxa" w:w="2880"/>
          </w:tcPr>
          <w:p>
            <w:r>
              <w:t>SDG 1: No Poverty</w:t>
            </w:r>
          </w:p>
        </w:tc>
        <w:tc>
          <w:tcPr>
            <w:tcW w:type="dxa" w:w="2880"/>
          </w:tcPr>
          <w:p>
            <w:r>
              <w:t>0.0</w:t>
            </w:r>
          </w:p>
        </w:tc>
        <w:tc>
          <w:tcPr>
            <w:tcW w:type="dxa" w:w="2880"/>
          </w:tcPr>
          <w:p>
            <w:r>
              <w:t>Medium</w:t>
            </w:r>
          </w:p>
        </w:tc>
      </w:tr>
      <w:tr>
        <w:tc>
          <w:tcPr>
            <w:tcW w:type="dxa" w:w="2880"/>
          </w:tcPr>
          <w:p>
            <w:r>
              <w:t>SDG 2: Zero Hunger</w:t>
            </w:r>
          </w:p>
        </w:tc>
        <w:tc>
          <w:tcPr>
            <w:tcW w:type="dxa" w:w="2880"/>
          </w:tcPr>
          <w:p>
            <w:r>
              <w:t>0.0</w:t>
            </w:r>
          </w:p>
        </w:tc>
        <w:tc>
          <w:tcPr>
            <w:tcW w:type="dxa" w:w="2880"/>
          </w:tcPr>
          <w:p>
            <w:r>
              <w:t>Low</w:t>
            </w:r>
          </w:p>
        </w:tc>
      </w:tr>
      <w:tr>
        <w:tc>
          <w:tcPr>
            <w:tcW w:type="dxa" w:w="2880"/>
          </w:tcPr>
          <w:p>
            <w:r>
              <w:t>SDG 3: Good Health and Well-being</w:t>
            </w:r>
          </w:p>
        </w:tc>
        <w:tc>
          <w:tcPr>
            <w:tcW w:type="dxa" w:w="2880"/>
          </w:tcPr>
          <w:p>
            <w:r>
              <w:t>0.0</w:t>
            </w:r>
          </w:p>
        </w:tc>
        <w:tc>
          <w:tcPr>
            <w:tcW w:type="dxa" w:w="2880"/>
          </w:tcPr>
          <w:p>
            <w:r>
              <w:t>High</w:t>
            </w:r>
          </w:p>
        </w:tc>
      </w:tr>
      <w:tr>
        <w:tc>
          <w:tcPr>
            <w:tcW w:type="dxa" w:w="2880"/>
          </w:tcPr>
          <w:p>
            <w:r>
              <w:t>SDG 4: Quality Education</w:t>
            </w:r>
          </w:p>
        </w:tc>
        <w:tc>
          <w:tcPr>
            <w:tcW w:type="dxa" w:w="2880"/>
          </w:tcPr>
          <w:p>
            <w:r>
              <w:t>0.0</w:t>
            </w:r>
          </w:p>
        </w:tc>
        <w:tc>
          <w:tcPr>
            <w:tcW w:type="dxa" w:w="2880"/>
          </w:tcPr>
          <w:p>
            <w:r>
              <w:t>Medium</w:t>
            </w:r>
          </w:p>
        </w:tc>
      </w:tr>
      <w:tr>
        <w:tc>
          <w:tcPr>
            <w:tcW w:type="dxa" w:w="2880"/>
          </w:tcPr>
          <w:p>
            <w:r>
              <w:t>SDG 5: Gender Equality</w:t>
            </w:r>
          </w:p>
        </w:tc>
        <w:tc>
          <w:tcPr>
            <w:tcW w:type="dxa" w:w="2880"/>
          </w:tcPr>
          <w:p>
            <w:r>
              <w:t>0.0</w:t>
            </w:r>
          </w:p>
        </w:tc>
        <w:tc>
          <w:tcPr>
            <w:tcW w:type="dxa" w:w="2880"/>
          </w:tcPr>
          <w:p>
            <w:r>
              <w:t>High</w:t>
            </w:r>
          </w:p>
        </w:tc>
      </w:tr>
      <w:tr>
        <w:tc>
          <w:tcPr>
            <w:tcW w:type="dxa" w:w="2880"/>
          </w:tcPr>
          <w:p>
            <w:r>
              <w:t>SDG 6: Clean Water and Sanitation</w:t>
            </w:r>
          </w:p>
        </w:tc>
        <w:tc>
          <w:tcPr>
            <w:tcW w:type="dxa" w:w="2880"/>
          </w:tcPr>
          <w:p>
            <w:r>
              <w:t>0.0</w:t>
            </w:r>
          </w:p>
        </w:tc>
        <w:tc>
          <w:tcPr>
            <w:tcW w:type="dxa" w:w="2880"/>
          </w:tcPr>
          <w:p>
            <w:r>
              <w:t>High</w:t>
            </w:r>
          </w:p>
        </w:tc>
      </w:tr>
      <w:tr>
        <w:tc>
          <w:tcPr>
            <w:tcW w:type="dxa" w:w="2880"/>
          </w:tcPr>
          <w:p>
            <w:r>
              <w:t>SDG 7: Affordable and Clean Energy</w:t>
            </w:r>
          </w:p>
        </w:tc>
        <w:tc>
          <w:tcPr>
            <w:tcW w:type="dxa" w:w="2880"/>
          </w:tcPr>
          <w:p>
            <w:r>
              <w:t>0.0</w:t>
            </w:r>
          </w:p>
        </w:tc>
        <w:tc>
          <w:tcPr>
            <w:tcW w:type="dxa" w:w="2880"/>
          </w:tcPr>
          <w:p>
            <w:r>
              <w:t>High</w:t>
            </w:r>
          </w:p>
        </w:tc>
      </w:tr>
      <w:tr>
        <w:tc>
          <w:tcPr>
            <w:tcW w:type="dxa" w:w="2880"/>
          </w:tcPr>
          <w:p>
            <w:r>
              <w:t>SDG 8: Decent Work and Economic Growth</w:t>
            </w:r>
          </w:p>
        </w:tc>
        <w:tc>
          <w:tcPr>
            <w:tcW w:type="dxa" w:w="2880"/>
          </w:tcPr>
          <w:p>
            <w:r>
              <w:t>0.0</w:t>
            </w:r>
          </w:p>
        </w:tc>
        <w:tc>
          <w:tcPr>
            <w:tcW w:type="dxa" w:w="2880"/>
          </w:tcPr>
          <w:p>
            <w:r>
              <w:t>High</w:t>
            </w:r>
          </w:p>
        </w:tc>
      </w:tr>
      <w:tr>
        <w:tc>
          <w:tcPr>
            <w:tcW w:type="dxa" w:w="2880"/>
          </w:tcPr>
          <w:p>
            <w:r>
              <w:t>SDG 9: Industry, Innovation and Infrastructure</w:t>
            </w:r>
          </w:p>
        </w:tc>
        <w:tc>
          <w:tcPr>
            <w:tcW w:type="dxa" w:w="2880"/>
          </w:tcPr>
          <w:p>
            <w:r>
              <w:t>0.0</w:t>
            </w:r>
          </w:p>
        </w:tc>
        <w:tc>
          <w:tcPr>
            <w:tcW w:type="dxa" w:w="2880"/>
          </w:tcPr>
          <w:p>
            <w:r>
              <w:t>Medium</w:t>
            </w:r>
          </w:p>
        </w:tc>
      </w:tr>
      <w:tr>
        <w:tc>
          <w:tcPr>
            <w:tcW w:type="dxa" w:w="2880"/>
          </w:tcPr>
          <w:p>
            <w:r>
              <w:t>SDG 10: Reduced Inequalities</w:t>
            </w:r>
          </w:p>
        </w:tc>
        <w:tc>
          <w:tcPr>
            <w:tcW w:type="dxa" w:w="2880"/>
          </w:tcPr>
          <w:p>
            <w:r>
              <w:t>0.0</w:t>
            </w:r>
          </w:p>
        </w:tc>
        <w:tc>
          <w:tcPr>
            <w:tcW w:type="dxa" w:w="2880"/>
          </w:tcPr>
          <w:p>
            <w:r>
              <w:t>High</w:t>
            </w:r>
          </w:p>
        </w:tc>
      </w:tr>
      <w:tr>
        <w:tc>
          <w:tcPr>
            <w:tcW w:type="dxa" w:w="2880"/>
          </w:tcPr>
          <w:p>
            <w:r>
              <w:t>SDG 11: Sustainable Cities and Communities</w:t>
            </w:r>
          </w:p>
        </w:tc>
        <w:tc>
          <w:tcPr>
            <w:tcW w:type="dxa" w:w="2880"/>
          </w:tcPr>
          <w:p>
            <w:r>
              <w:t>0.0</w:t>
            </w:r>
          </w:p>
        </w:tc>
        <w:tc>
          <w:tcPr>
            <w:tcW w:type="dxa" w:w="2880"/>
          </w:tcPr>
          <w:p>
            <w:r>
              <w:t>Medium</w:t>
            </w:r>
          </w:p>
        </w:tc>
      </w:tr>
      <w:tr>
        <w:tc>
          <w:tcPr>
            <w:tcW w:type="dxa" w:w="2880"/>
          </w:tcPr>
          <w:p>
            <w:r>
              <w:t>SDG 12: Responsible Consumption and Production</w:t>
            </w:r>
          </w:p>
        </w:tc>
        <w:tc>
          <w:tcPr>
            <w:tcW w:type="dxa" w:w="2880"/>
          </w:tcPr>
          <w:p>
            <w:r>
              <w:t>0.0</w:t>
            </w:r>
          </w:p>
        </w:tc>
        <w:tc>
          <w:tcPr>
            <w:tcW w:type="dxa" w:w="2880"/>
          </w:tcPr>
          <w:p>
            <w:r>
              <w:t>High</w:t>
            </w:r>
          </w:p>
        </w:tc>
      </w:tr>
      <w:tr>
        <w:tc>
          <w:tcPr>
            <w:tcW w:type="dxa" w:w="2880"/>
          </w:tcPr>
          <w:p>
            <w:r>
              <w:t>SDG 13: Climate Action</w:t>
            </w:r>
          </w:p>
        </w:tc>
        <w:tc>
          <w:tcPr>
            <w:tcW w:type="dxa" w:w="2880"/>
          </w:tcPr>
          <w:p>
            <w:r>
              <w:t>0.0</w:t>
            </w:r>
          </w:p>
        </w:tc>
        <w:tc>
          <w:tcPr>
            <w:tcW w:type="dxa" w:w="2880"/>
          </w:tcPr>
          <w:p>
            <w:r>
              <w:t>High</w:t>
            </w:r>
          </w:p>
        </w:tc>
      </w:tr>
      <w:tr>
        <w:tc>
          <w:tcPr>
            <w:tcW w:type="dxa" w:w="2880"/>
          </w:tcPr>
          <w:p>
            <w:r>
              <w:t>SDG 14: Life Below Water</w:t>
            </w:r>
          </w:p>
        </w:tc>
        <w:tc>
          <w:tcPr>
            <w:tcW w:type="dxa" w:w="2880"/>
          </w:tcPr>
          <w:p>
            <w:r>
              <w:t>0.0</w:t>
            </w:r>
          </w:p>
        </w:tc>
        <w:tc>
          <w:tcPr>
            <w:tcW w:type="dxa" w:w="2880"/>
          </w:tcPr>
          <w:p>
            <w:r>
              <w:t>Medium</w:t>
            </w:r>
          </w:p>
        </w:tc>
      </w:tr>
      <w:tr>
        <w:tc>
          <w:tcPr>
            <w:tcW w:type="dxa" w:w="2880"/>
          </w:tcPr>
          <w:p>
            <w:r>
              <w:t>SDG 15: Life on Land</w:t>
            </w:r>
          </w:p>
        </w:tc>
        <w:tc>
          <w:tcPr>
            <w:tcW w:type="dxa" w:w="2880"/>
          </w:tcPr>
          <w:p>
            <w:r>
              <w:t>0.0</w:t>
            </w:r>
          </w:p>
        </w:tc>
        <w:tc>
          <w:tcPr>
            <w:tcW w:type="dxa" w:w="2880"/>
          </w:tcPr>
          <w:p>
            <w:r>
              <w:t>High</w:t>
            </w:r>
          </w:p>
        </w:tc>
      </w:tr>
    </w:tbl>
    <w:p>
      <w:r>
        <w:br w:type="page"/>
      </w:r>
    </w:p>
    <w:p>
      <w:pPr>
        <w:pStyle w:val="Heading1"/>
      </w:pPr>
      <w:r>
        <w:t>Recommendations</w:t>
      </w:r>
    </w:p>
    <w:p>
      <w:r>
        <w:t xml:space="preserve">1. </w:t>
      </w:r>
      <w:r>
        <w:t>1.  **Conduct a Comprehensive Energy &amp; Resource Efficiency Audit:** Initiate a detailed audit of energy, water, and material consumption across all operations to identify high-usage areas and inefficiencies. Implement targeted upgrades (e.g., LED lighting, optimized HVAC systems, smart building controls, water-saving fixtures) and quantify the projected cost savings and return on investment (ROI) for each initiative. This directly reduces operational expenses and boosts profitability.</w:t>
      </w:r>
    </w:p>
    <w:p>
      <w:r>
        <w:t xml:space="preserve">2. </w:t>
      </w:r>
      <w:r>
        <w:t>2.  **Develop and Market Sustainable Product/Service Innovations:** Research emerging market demand for environmentally friendly or socially responsible products and services within your sector. Allocate R&amp;D resources to design and launch new offerings that incorporate sustainable attributes (e.g., made from recycled materials, energy-efficient, designed for circularity). Leverage these unique selling propositions in marketing to attract new customer segments, command premium pricing, and open new revenue streams.</w:t>
      </w:r>
    </w:p>
    <w:p>
      <w:r>
        <w:t xml:space="preserve">3. </w:t>
      </w:r>
      <w:r>
        <w:t>3.  **Implement a Robust Sustainable Supply Chain Risk Management Program:** Map your critical suppliers and conduct a thorough assessment of their environmental, social, and governance (ESG) risks (e.g., resource scarcity, human rights violations, climate vulnerabilities). Diversify sourcing where feasible and collaborate with key suppliers to improve their sustainability performance. This proactive approach mitigates financial risks associated with supply chain disruptions, reputational damage, and potential regulatory penalties, ensuring long-term operational and financial stability.</w:t>
      </w:r>
    </w:p>
    <w:p>
      <w:r>
        <w:t xml:space="preserve">4. </w:t>
      </w:r>
      <w:r>
        <w:t>4.  **Enhance and Standardize ESG Data Collection and Reporting:** Formalize your process for collecting and analyzing ESG data, aligning with internationally recognized frameworks such as SASB (Sustainability Accounting Standards Board) or GRI (Global Reporting Initiative). Integrate key ESG metrics into financial performance reviews and communicate these insights transparently to investors. This improves access to sustainability-linked financing, attracts ESG-focused institutional investors, and can potentially lower the cost of capital.</w:t>
      </w:r>
    </w:p>
    <w:p>
      <w:r>
        <w:t xml:space="preserve">5. </w:t>
      </w:r>
      <w:r>
        <w:t>5.  **Pilot Circular Economy Initiatives to Minimize Waste and Maximize Resource Value:** Identify significant waste streams within your operations and implement pilot projects based on circular economy principles. This could include exploring industrial symbiosis opportunities (e.g., selling by-products as inputs to other industries), investing in advanced recycling or material recovery technologies, or redesigning products for easier disassembly and reuse. These initiatives reduce waste disposal costs, decrease reliance on virgin materials, and can even create new revenue streams from reclaimed resources.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