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Sustainability Analysis Report</w:t>
      </w:r>
    </w:p>
    <w:p>
      <w:pPr>
        <w:pStyle w:val="Heading1"/>
      </w:pPr>
      <w:r>
        <w:t>Executive Summary</w:t>
      </w:r>
    </w:p>
    <w:p>
      <w:r>
        <w:t>Based on the provided data, here is a concise executive summary:</w:t>
        <w:br/>
        <w:br/>
        <w:t>e&amp; Egypt's current sustainability performance is critically underdeveloped, as indicated by a foundational ESG score of 0. This score signifies a significant absence of established policies, transparent reporting, and measurable initiatives across environmental, social, and governance pillars. The analysis did not identify any key strengths, pointing to a fundamental gap in the company's ESG strategy and risk management. Immediate and comprehensive action is required to build a basic framework for sustainability.</w:t>
        <w:br/>
        <w:br/>
        <w:t>A key area for improvement is the company's engagement with global sustainability targets, as there are no identified contributions to the UN Sustainable Development Goals (SDGs). It is crucial for e&amp; Egypt to develop a formal ESG strategy from the ground up, establish robust data collection processes, and set clear performance targets. Aligning with relevant SDGs will be essential to guide this new strategy, enhance corporate reputation, and create long-term value.</w:t>
      </w:r>
    </w:p>
    <w:p>
      <w:r>
        <w:br w:type="page"/>
      </w:r>
    </w:p>
    <w:p>
      <w:pPr>
        <w:pStyle w:val="Heading1"/>
      </w:pPr>
      <w:r>
        <w:t>ESG Performance Analysis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Score</w:t>
            </w:r>
          </w:p>
        </w:tc>
        <w:tc>
          <w:tcPr>
            <w:tcW w:type="dxa" w:w="2160"/>
          </w:tcPr>
          <w:p>
            <w:r>
              <w:t>Strengths</w:t>
            </w:r>
          </w:p>
        </w:tc>
        <w:tc>
          <w:tcPr>
            <w:tcW w:type="dxa" w:w="2160"/>
          </w:tcPr>
          <w:p>
            <w:r>
              <w:t>Weaknesses</w:t>
            </w:r>
          </w:p>
        </w:tc>
      </w:tr>
    </w:tbl>
    <w:p>
      <w:r>
        <w:br w:type="page"/>
      </w:r>
    </w:p>
    <w:p>
      <w:pPr>
        <w:pStyle w:val="Heading1"/>
      </w:pPr>
      <w:r>
        <w:t>UN SDG Mapping</w:t>
      </w:r>
    </w:p>
    <w:tbl>
      <w:tblPr>
        <w:tblStyle w:val="LightGrid-Accent2"/>
        <w:tblW w:type="auto" w:w="0"/>
        <w:tblLook w:firstColumn="1" w:firstRow="1" w:lastColumn="0" w:lastRow="0" w:noHBand="0" w:noVBand="1" w:val="04A0"/>
      </w:tblPr>
      <w:tblGrid>
        <w:gridCol w:w="2880"/>
        <w:gridCol w:w="2880"/>
        <w:gridCol w:w="2880"/>
      </w:tblGrid>
      <w:tr>
        <w:tc>
          <w:tcPr>
            <w:tcW w:type="dxa" w:w="2880"/>
          </w:tcPr>
          <w:p>
            <w:r>
              <w:t>SDG</w:t>
            </w:r>
          </w:p>
        </w:tc>
        <w:tc>
          <w:tcPr>
            <w:tcW w:type="dxa" w:w="2880"/>
          </w:tcPr>
          <w:p>
            <w:r>
              <w:t>Score</w:t>
            </w:r>
          </w:p>
        </w:tc>
        <w:tc>
          <w:tcPr>
            <w:tcW w:type="dxa" w:w="2880"/>
          </w:tcPr>
          <w:p>
            <w:r>
              <w:t>Impact Level</w:t>
            </w:r>
          </w:p>
        </w:tc>
      </w:tr>
    </w:tbl>
    <w:p>
      <w:r>
        <w:br w:type="page"/>
      </w:r>
    </w:p>
    <w:p>
      <w:pPr>
        <w:pStyle w:val="Heading1"/>
      </w:pPr>
      <w:r>
        <w:t>Recommendations</w:t>
      </w:r>
    </w:p>
    <w:p>
      <w:r>
        <w:t xml:space="preserve">1. </w:t>
      </w:r>
      <w:r>
        <w:t>1.  **Implement a Network Energy Modernization Program Focused on Solar Power.**</w:t>
      </w:r>
    </w:p>
    <w:p>
      <w:r>
        <w:t xml:space="preserve">2. </w:t>
      </w:r>
      <w:r>
        <w:t>2.  **Launch a Formal, Nationwide E-Waste Collection and Refurbishment Program.**</w:t>
      </w:r>
    </w:p>
    <w:p>
      <w:r>
        <w:t xml:space="preserve">3. </w:t>
      </w:r>
      <w:r>
        <w:t>3.  **Enhance ESG Transparency by Publishing a Dedicated Annual Sustainability Report.**</w:t>
      </w:r>
    </w:p>
    <w:p>
      <w:r>
        <w:t xml:space="preserve">4. </w:t>
      </w:r>
      <w:r>
        <w:t>4.  **Establish a "Digital Literacy for All" Initiative to Bridge the Digital Divide.**</w:t>
      </w:r>
    </w:p>
    <w:p>
      <w:r>
        <w:t xml:space="preserve">5. </w:t>
      </w:r>
      <w:r>
        <w:t>5.  **Develop and Implement a Supplier ESG Risk Management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