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Partie Développeur - Prototype PAPETIS DISTRIBUTION</w:t>
      </w:r>
    </w:p>
    <w:p>
      <w:pPr>
        <w:jc w:val="center"/>
      </w:pPr>
      <w:r>
        <w:rPr>
          <w:i/>
          <w:sz w:val="22"/>
        </w:rPr>
        <w:t>Réalisé par Abdellah BEN HAYOUNE - Développeur principal</w:t>
      </w:r>
    </w:p>
    <w:p>
      <w:pPr>
        <w:pStyle w:val="Heading1"/>
      </w:pPr>
      <w:r>
        <w:t>1. Objectif de ma partie</w:t>
      </w:r>
    </w:p>
    <w:p>
      <w:r>
        <w:t>Ma mission est de réaliser le prototype fonctionnel de l'outil de prévision des ventes. Cette partie correspond à la phase 3 du projet : développement Python/Streamlit, calculs statistiques, visualisation, export des résultats et préparation du dépôt GitHub.</w:t>
      </w:r>
    </w:p>
    <w:p>
      <w:r>
        <w:t>Le prototype vise un usage simple par des utilisateurs non techniques : contrôleur de gestion, directeur commercial et directrice administrative et financière.</w:t>
      </w:r>
    </w:p>
    <w:p>
      <w:pPr>
        <w:pStyle w:val="Heading1"/>
      </w:pPr>
      <w:r>
        <w:t>2. Environnement technique</w:t>
      </w:r>
    </w:p>
    <w:p>
      <w:pPr>
        <w:pStyle w:val="ListBullet"/>
      </w:pPr>
      <w:r>
        <w:t>Langage : Python</w:t>
      </w:r>
    </w:p>
    <w:p>
      <w:pPr>
        <w:pStyle w:val="ListBullet"/>
      </w:pPr>
      <w:r>
        <w:t>Interface : Streamlit</w:t>
      </w:r>
    </w:p>
    <w:p>
      <w:pPr>
        <w:pStyle w:val="ListBullet"/>
      </w:pPr>
      <w:r>
        <w:t>Bibliothèques : pandas, numpy, matplotlib, openpyxl, xlsxwriter</w:t>
      </w:r>
    </w:p>
    <w:p>
      <w:pPr>
        <w:pStyle w:val="ListBullet"/>
      </w:pPr>
      <w:r>
        <w:t>Données : papetis_ventes_historiques.xlsx, feuille Ventes globales</w:t>
      </w:r>
    </w:p>
    <w:p>
      <w:pPr>
        <w:pStyle w:val="ListBullet"/>
      </w:pPr>
      <w:r>
        <w:t>Sorties : tableau de prévisions, graphique et fichier Excel exportable</w:t>
      </w:r>
    </w:p>
    <w:p>
      <w:pPr>
        <w:pStyle w:val="Heading1"/>
      </w:pPr>
      <w:r>
        <w:t>3. Méthodologie de calcul</w:t>
      </w:r>
    </w:p>
    <w:p>
      <w:pPr>
        <w:pStyle w:val="Heading2"/>
      </w:pPr>
      <w:r>
        <w:t>3.1 Import automatique</w:t>
      </w:r>
    </w:p>
    <w:p>
      <w:r>
        <w:t>L'application charge directement la feuille Ventes globales du fichier Excel. Les colonnes Année, Mois, Nom du mois, t et Ventes sont nettoyées et triées selon la date.</w:t>
      </w:r>
    </w:p>
    <w:p>
      <w:pPr>
        <w:pStyle w:val="Heading2"/>
      </w:pPr>
      <w:r>
        <w:t>3.2 Tendance par moindres carrés ordinaires</w:t>
      </w:r>
    </w:p>
    <w:p>
      <w:r>
        <w:t>L'équation obtenue sur les 60 mois historiques est : Y(t) = 1795.92 + 28.10 x t.</w:t>
      </w:r>
    </w:p>
    <w:p>
      <w:r>
        <w:t>La pente de 28.10 signifie que les ventes augmentent en moyenne d'environ 28.10 kMAD par mois, soit environ 337 kMAD par an.</w:t>
      </w:r>
    </w:p>
    <w:p>
      <w:pPr>
        <w:pStyle w:val="Heading2"/>
      </w:pPr>
      <w:r>
        <w:t>3.3 Moyenne mobile centrée</w:t>
      </w:r>
    </w:p>
    <w:p>
      <w:r>
        <w:t>Une moyenne mobile centrée de 12 mois est calculée afin de lisser la série et de faire apparaître la tendance de fond en limitant l'effet des variations mensuelles.</w:t>
      </w:r>
    </w:p>
    <w:p>
      <w:pPr>
        <w:pStyle w:val="Heading2"/>
      </w:pPr>
      <w:r>
        <w:t>3.4 Modèle saisonnier multiplicatif</w:t>
      </w:r>
    </w:p>
    <w:p>
      <w:r>
        <w:t>Le modèle multiplicatif est retenu car l'amplitude de la saisonnalité augmente avec le niveau global des ventes, particulièrement lors du pic de rentrée scolaire. La formule utilisée est : Prévision = Tendance x Coefficient saisonnier.</w:t>
      </w:r>
    </w:p>
    <w:p>
      <w:pPr>
        <w:pStyle w:val="Heading1"/>
      </w:pPr>
      <w:r>
        <w:t>4. Coefficients saisonniers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Mois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Coefficient</w:t>
            </w:r>
          </w:p>
        </w:tc>
      </w:tr>
      <w:tr>
        <w:tc>
          <w:tcPr>
            <w:tcW w:type="dxa" w:w="5112"/>
          </w:tcPr>
          <w:p>
            <w:r>
              <w:t>janvier</w:t>
            </w:r>
          </w:p>
        </w:tc>
        <w:tc>
          <w:tcPr>
            <w:tcW w:type="dxa" w:w="5112"/>
          </w:tcPr>
          <w:p>
            <w:r>
              <w:t>0.597</w:t>
            </w:r>
          </w:p>
        </w:tc>
      </w:tr>
      <w:tr>
        <w:tc>
          <w:tcPr>
            <w:tcW w:type="dxa" w:w="5112"/>
          </w:tcPr>
          <w:p>
            <w:r>
              <w:t>février</w:t>
            </w:r>
          </w:p>
        </w:tc>
        <w:tc>
          <w:tcPr>
            <w:tcW w:type="dxa" w:w="5112"/>
          </w:tcPr>
          <w:p>
            <w:r>
              <w:t>0.521</w:t>
            </w:r>
          </w:p>
        </w:tc>
      </w:tr>
      <w:tr>
        <w:tc>
          <w:tcPr>
            <w:tcW w:type="dxa" w:w="5112"/>
          </w:tcPr>
          <w:p>
            <w:r>
              <w:t>mars</w:t>
            </w:r>
          </w:p>
        </w:tc>
        <w:tc>
          <w:tcPr>
            <w:tcW w:type="dxa" w:w="5112"/>
          </w:tcPr>
          <w:p>
            <w:r>
              <w:t>0.707</w:t>
            </w:r>
          </w:p>
        </w:tc>
      </w:tr>
      <w:tr>
        <w:tc>
          <w:tcPr>
            <w:tcW w:type="dxa" w:w="5112"/>
          </w:tcPr>
          <w:p>
            <w:r>
              <w:t>avril</w:t>
            </w:r>
          </w:p>
        </w:tc>
        <w:tc>
          <w:tcPr>
            <w:tcW w:type="dxa" w:w="5112"/>
          </w:tcPr>
          <w:p>
            <w:r>
              <w:t>0.615</w:t>
            </w:r>
          </w:p>
        </w:tc>
      </w:tr>
      <w:tr>
        <w:tc>
          <w:tcPr>
            <w:tcW w:type="dxa" w:w="5112"/>
          </w:tcPr>
          <w:p>
            <w:r>
              <w:t>mai</w:t>
            </w:r>
          </w:p>
        </w:tc>
        <w:tc>
          <w:tcPr>
            <w:tcW w:type="dxa" w:w="5112"/>
          </w:tcPr>
          <w:p>
            <w:r>
              <w:t>0.655</w:t>
            </w:r>
          </w:p>
        </w:tc>
      </w:tr>
      <w:tr>
        <w:tc>
          <w:tcPr>
            <w:tcW w:type="dxa" w:w="5112"/>
          </w:tcPr>
          <w:p>
            <w:r>
              <w:t>juin</w:t>
            </w:r>
          </w:p>
        </w:tc>
        <w:tc>
          <w:tcPr>
            <w:tcW w:type="dxa" w:w="5112"/>
          </w:tcPr>
          <w:p>
            <w:r>
              <w:t>0.576</w:t>
            </w:r>
          </w:p>
        </w:tc>
      </w:tr>
      <w:tr>
        <w:tc>
          <w:tcPr>
            <w:tcW w:type="dxa" w:w="5112"/>
          </w:tcPr>
          <w:p>
            <w:r>
              <w:t>juillet</w:t>
            </w:r>
          </w:p>
        </w:tc>
        <w:tc>
          <w:tcPr>
            <w:tcW w:type="dxa" w:w="5112"/>
          </w:tcPr>
          <w:p>
            <w:r>
              <w:t>1.235</w:t>
            </w:r>
          </w:p>
        </w:tc>
      </w:tr>
      <w:tr>
        <w:tc>
          <w:tcPr>
            <w:tcW w:type="dxa" w:w="5112"/>
          </w:tcPr>
          <w:p>
            <w:r>
              <w:t>août</w:t>
            </w:r>
          </w:p>
        </w:tc>
        <w:tc>
          <w:tcPr>
            <w:tcW w:type="dxa" w:w="5112"/>
          </w:tcPr>
          <w:p>
            <w:r>
              <w:t>2.565</w:t>
            </w:r>
          </w:p>
        </w:tc>
      </w:tr>
      <w:tr>
        <w:tc>
          <w:tcPr>
            <w:tcW w:type="dxa" w:w="5112"/>
          </w:tcPr>
          <w:p>
            <w:r>
              <w:t>septembre</w:t>
            </w:r>
          </w:p>
        </w:tc>
        <w:tc>
          <w:tcPr>
            <w:tcW w:type="dxa" w:w="5112"/>
          </w:tcPr>
          <w:p>
            <w:r>
              <w:t>2.309</w:t>
            </w:r>
          </w:p>
        </w:tc>
      </w:tr>
      <w:tr>
        <w:tc>
          <w:tcPr>
            <w:tcW w:type="dxa" w:w="5112"/>
          </w:tcPr>
          <w:p>
            <w:r>
              <w:t>octobre</w:t>
            </w:r>
          </w:p>
        </w:tc>
        <w:tc>
          <w:tcPr>
            <w:tcW w:type="dxa" w:w="5112"/>
          </w:tcPr>
          <w:p>
            <w:r>
              <w:t>1.096</w:t>
            </w:r>
          </w:p>
        </w:tc>
      </w:tr>
      <w:tr>
        <w:tc>
          <w:tcPr>
            <w:tcW w:type="dxa" w:w="5112"/>
          </w:tcPr>
          <w:p>
            <w:r>
              <w:t>novembre</w:t>
            </w:r>
          </w:p>
        </w:tc>
        <w:tc>
          <w:tcPr>
            <w:tcW w:type="dxa" w:w="5112"/>
          </w:tcPr>
          <w:p>
            <w:r>
              <w:t>0.596</w:t>
            </w:r>
          </w:p>
        </w:tc>
      </w:tr>
      <w:tr>
        <w:tc>
          <w:tcPr>
            <w:tcW w:type="dxa" w:w="5112"/>
          </w:tcPr>
          <w:p>
            <w:r>
              <w:t>décembre</w:t>
            </w:r>
          </w:p>
        </w:tc>
        <w:tc>
          <w:tcPr>
            <w:tcW w:type="dxa" w:w="5112"/>
          </w:tcPr>
          <w:p>
            <w:r>
              <w:t>0.529</w:t>
            </w:r>
          </w:p>
        </w:tc>
      </w:tr>
    </w:tbl>
    <w:p>
      <w:pPr>
        <w:pStyle w:val="Heading1"/>
      </w:pPr>
      <w:r>
        <w:t>5. Prévisions mensuelles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Mois</w:t>
            </w:r>
          </w:p>
        </w:tc>
        <w:tc>
          <w:tcPr>
            <w:tcW w:type="dxa" w:w="2045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2045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Tendance</w:t>
            </w:r>
          </w:p>
        </w:tc>
        <w:tc>
          <w:tcPr>
            <w:tcW w:type="dxa" w:w="2045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Coef.</w:t>
            </w:r>
          </w:p>
        </w:tc>
        <w:tc>
          <w:tcPr>
            <w:tcW w:type="dxa" w:w="2045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Prévision kMAD</w:t>
            </w:r>
          </w:p>
        </w:tc>
      </w:tr>
      <w:tr>
        <w:tc>
          <w:tcPr>
            <w:tcW w:type="dxa" w:w="2045"/>
          </w:tcPr>
          <w:p>
            <w:r>
              <w:t>janvier</w:t>
            </w:r>
          </w:p>
        </w:tc>
        <w:tc>
          <w:tcPr>
            <w:tcW w:type="dxa" w:w="2045"/>
          </w:tcPr>
          <w:p>
            <w:r>
              <w:t>61</w:t>
            </w:r>
          </w:p>
        </w:tc>
        <w:tc>
          <w:tcPr>
            <w:tcW w:type="dxa" w:w="2045"/>
          </w:tcPr>
          <w:p>
            <w:r>
              <w:t>3509.98</w:t>
            </w:r>
          </w:p>
        </w:tc>
        <w:tc>
          <w:tcPr>
            <w:tcW w:type="dxa" w:w="2045"/>
          </w:tcPr>
          <w:p>
            <w:r>
              <w:t>0.597</w:t>
            </w:r>
          </w:p>
        </w:tc>
        <w:tc>
          <w:tcPr>
            <w:tcW w:type="dxa" w:w="2045"/>
          </w:tcPr>
          <w:p>
            <w:r>
              <w:t>2095</w:t>
            </w:r>
          </w:p>
        </w:tc>
      </w:tr>
      <w:tr>
        <w:tc>
          <w:tcPr>
            <w:tcW w:type="dxa" w:w="2045"/>
          </w:tcPr>
          <w:p>
            <w:r>
              <w:t>février</w:t>
            </w:r>
          </w:p>
        </w:tc>
        <w:tc>
          <w:tcPr>
            <w:tcW w:type="dxa" w:w="2045"/>
          </w:tcPr>
          <w:p>
            <w:r>
              <w:t>62</w:t>
            </w:r>
          </w:p>
        </w:tc>
        <w:tc>
          <w:tcPr>
            <w:tcW w:type="dxa" w:w="2045"/>
          </w:tcPr>
          <w:p>
            <w:r>
              <w:t>3538.08</w:t>
            </w:r>
          </w:p>
        </w:tc>
        <w:tc>
          <w:tcPr>
            <w:tcW w:type="dxa" w:w="2045"/>
          </w:tcPr>
          <w:p>
            <w:r>
              <w:t>0.521</w:t>
            </w:r>
          </w:p>
        </w:tc>
        <w:tc>
          <w:tcPr>
            <w:tcW w:type="dxa" w:w="2045"/>
          </w:tcPr>
          <w:p>
            <w:r>
              <w:t>1845</w:t>
            </w:r>
          </w:p>
        </w:tc>
      </w:tr>
      <w:tr>
        <w:tc>
          <w:tcPr>
            <w:tcW w:type="dxa" w:w="2045"/>
          </w:tcPr>
          <w:p>
            <w:r>
              <w:t>mars</w:t>
            </w:r>
          </w:p>
        </w:tc>
        <w:tc>
          <w:tcPr>
            <w:tcW w:type="dxa" w:w="2045"/>
          </w:tcPr>
          <w:p>
            <w:r>
              <w:t>63</w:t>
            </w:r>
          </w:p>
        </w:tc>
        <w:tc>
          <w:tcPr>
            <w:tcW w:type="dxa" w:w="2045"/>
          </w:tcPr>
          <w:p>
            <w:r>
              <w:t>3566.18</w:t>
            </w:r>
          </w:p>
        </w:tc>
        <w:tc>
          <w:tcPr>
            <w:tcW w:type="dxa" w:w="2045"/>
          </w:tcPr>
          <w:p>
            <w:r>
              <w:t>0.707</w:t>
            </w:r>
          </w:p>
        </w:tc>
        <w:tc>
          <w:tcPr>
            <w:tcW w:type="dxa" w:w="2045"/>
          </w:tcPr>
          <w:p>
            <w:r>
              <w:t>2520</w:t>
            </w:r>
          </w:p>
        </w:tc>
      </w:tr>
      <w:tr>
        <w:tc>
          <w:tcPr>
            <w:tcW w:type="dxa" w:w="2045"/>
          </w:tcPr>
          <w:p>
            <w:r>
              <w:t>avril</w:t>
            </w:r>
          </w:p>
        </w:tc>
        <w:tc>
          <w:tcPr>
            <w:tcW w:type="dxa" w:w="2045"/>
          </w:tcPr>
          <w:p>
            <w:r>
              <w:t>64</w:t>
            </w:r>
          </w:p>
        </w:tc>
        <w:tc>
          <w:tcPr>
            <w:tcW w:type="dxa" w:w="2045"/>
          </w:tcPr>
          <w:p>
            <w:r>
              <w:t>3594.28</w:t>
            </w:r>
          </w:p>
        </w:tc>
        <w:tc>
          <w:tcPr>
            <w:tcW w:type="dxa" w:w="2045"/>
          </w:tcPr>
          <w:p>
            <w:r>
              <w:t>0.615</w:t>
            </w:r>
          </w:p>
        </w:tc>
        <w:tc>
          <w:tcPr>
            <w:tcW w:type="dxa" w:w="2045"/>
          </w:tcPr>
          <w:p>
            <w:r>
              <w:t>2211</w:t>
            </w:r>
          </w:p>
        </w:tc>
      </w:tr>
      <w:tr>
        <w:tc>
          <w:tcPr>
            <w:tcW w:type="dxa" w:w="2045"/>
          </w:tcPr>
          <w:p>
            <w:r>
              <w:t>mai</w:t>
            </w:r>
          </w:p>
        </w:tc>
        <w:tc>
          <w:tcPr>
            <w:tcW w:type="dxa" w:w="2045"/>
          </w:tcPr>
          <w:p>
            <w:r>
              <w:t>65</w:t>
            </w:r>
          </w:p>
        </w:tc>
        <w:tc>
          <w:tcPr>
            <w:tcW w:type="dxa" w:w="2045"/>
          </w:tcPr>
          <w:p>
            <w:r>
              <w:t>3622.38</w:t>
            </w:r>
          </w:p>
        </w:tc>
        <w:tc>
          <w:tcPr>
            <w:tcW w:type="dxa" w:w="2045"/>
          </w:tcPr>
          <w:p>
            <w:r>
              <w:t>0.655</w:t>
            </w:r>
          </w:p>
        </w:tc>
        <w:tc>
          <w:tcPr>
            <w:tcW w:type="dxa" w:w="2045"/>
          </w:tcPr>
          <w:p>
            <w:r>
              <w:t>2372</w:t>
            </w:r>
          </w:p>
        </w:tc>
      </w:tr>
      <w:tr>
        <w:tc>
          <w:tcPr>
            <w:tcW w:type="dxa" w:w="2045"/>
          </w:tcPr>
          <w:p>
            <w:r>
              <w:t>juin</w:t>
            </w:r>
          </w:p>
        </w:tc>
        <w:tc>
          <w:tcPr>
            <w:tcW w:type="dxa" w:w="2045"/>
          </w:tcPr>
          <w:p>
            <w:r>
              <w:t>66</w:t>
            </w:r>
          </w:p>
        </w:tc>
        <w:tc>
          <w:tcPr>
            <w:tcW w:type="dxa" w:w="2045"/>
          </w:tcPr>
          <w:p>
            <w:r>
              <w:t>3650.48</w:t>
            </w:r>
          </w:p>
        </w:tc>
        <w:tc>
          <w:tcPr>
            <w:tcW w:type="dxa" w:w="2045"/>
          </w:tcPr>
          <w:p>
            <w:r>
              <w:t>0.576</w:t>
            </w:r>
          </w:p>
        </w:tc>
        <w:tc>
          <w:tcPr>
            <w:tcW w:type="dxa" w:w="2045"/>
          </w:tcPr>
          <w:p>
            <w:r>
              <w:t>2101</w:t>
            </w:r>
          </w:p>
        </w:tc>
      </w:tr>
      <w:tr>
        <w:tc>
          <w:tcPr>
            <w:tcW w:type="dxa" w:w="2045"/>
          </w:tcPr>
          <w:p>
            <w:r>
              <w:t>juillet</w:t>
            </w:r>
          </w:p>
        </w:tc>
        <w:tc>
          <w:tcPr>
            <w:tcW w:type="dxa" w:w="2045"/>
          </w:tcPr>
          <w:p>
            <w:r>
              <w:t>67</w:t>
            </w:r>
          </w:p>
        </w:tc>
        <w:tc>
          <w:tcPr>
            <w:tcW w:type="dxa" w:w="2045"/>
          </w:tcPr>
          <w:p>
            <w:r>
              <w:t>3678.58</w:t>
            </w:r>
          </w:p>
        </w:tc>
        <w:tc>
          <w:tcPr>
            <w:tcW w:type="dxa" w:w="2045"/>
          </w:tcPr>
          <w:p>
            <w:r>
              <w:t>1.235</w:t>
            </w:r>
          </w:p>
        </w:tc>
        <w:tc>
          <w:tcPr>
            <w:tcW w:type="dxa" w:w="2045"/>
          </w:tcPr>
          <w:p>
            <w:r>
              <w:t>4543</w:t>
            </w:r>
          </w:p>
        </w:tc>
      </w:tr>
      <w:tr>
        <w:tc>
          <w:tcPr>
            <w:tcW w:type="dxa" w:w="2045"/>
          </w:tcPr>
          <w:p>
            <w:r>
              <w:t>août</w:t>
            </w:r>
          </w:p>
        </w:tc>
        <w:tc>
          <w:tcPr>
            <w:tcW w:type="dxa" w:w="2045"/>
          </w:tcPr>
          <w:p>
            <w:r>
              <w:t>68</w:t>
            </w:r>
          </w:p>
        </w:tc>
        <w:tc>
          <w:tcPr>
            <w:tcW w:type="dxa" w:w="2045"/>
          </w:tcPr>
          <w:p>
            <w:r>
              <w:t>3706.68</w:t>
            </w:r>
          </w:p>
        </w:tc>
        <w:tc>
          <w:tcPr>
            <w:tcW w:type="dxa" w:w="2045"/>
          </w:tcPr>
          <w:p>
            <w:r>
              <w:t>2.565</w:t>
            </w:r>
          </w:p>
        </w:tc>
        <w:tc>
          <w:tcPr>
            <w:tcW w:type="dxa" w:w="2045"/>
          </w:tcPr>
          <w:p>
            <w:r>
              <w:t>9508</w:t>
            </w:r>
          </w:p>
        </w:tc>
      </w:tr>
      <w:tr>
        <w:tc>
          <w:tcPr>
            <w:tcW w:type="dxa" w:w="2045"/>
          </w:tcPr>
          <w:p>
            <w:r>
              <w:t>septembre</w:t>
            </w:r>
          </w:p>
        </w:tc>
        <w:tc>
          <w:tcPr>
            <w:tcW w:type="dxa" w:w="2045"/>
          </w:tcPr>
          <w:p>
            <w:r>
              <w:t>69</w:t>
            </w:r>
          </w:p>
        </w:tc>
        <w:tc>
          <w:tcPr>
            <w:tcW w:type="dxa" w:w="2045"/>
          </w:tcPr>
          <w:p>
            <w:r>
              <w:t>3734.78</w:t>
            </w:r>
          </w:p>
        </w:tc>
        <w:tc>
          <w:tcPr>
            <w:tcW w:type="dxa" w:w="2045"/>
          </w:tcPr>
          <w:p>
            <w:r>
              <w:t>2.309</w:t>
            </w:r>
          </w:p>
        </w:tc>
        <w:tc>
          <w:tcPr>
            <w:tcW w:type="dxa" w:w="2045"/>
          </w:tcPr>
          <w:p>
            <w:r>
              <w:t>8623</w:t>
            </w:r>
          </w:p>
        </w:tc>
      </w:tr>
      <w:tr>
        <w:tc>
          <w:tcPr>
            <w:tcW w:type="dxa" w:w="2045"/>
          </w:tcPr>
          <w:p>
            <w:r>
              <w:t>octobre</w:t>
            </w:r>
          </w:p>
        </w:tc>
        <w:tc>
          <w:tcPr>
            <w:tcW w:type="dxa" w:w="2045"/>
          </w:tcPr>
          <w:p>
            <w:r>
              <w:t>70</w:t>
            </w:r>
          </w:p>
        </w:tc>
        <w:tc>
          <w:tcPr>
            <w:tcW w:type="dxa" w:w="2045"/>
          </w:tcPr>
          <w:p>
            <w:r>
              <w:t>3762.88</w:t>
            </w:r>
          </w:p>
        </w:tc>
        <w:tc>
          <w:tcPr>
            <w:tcW w:type="dxa" w:w="2045"/>
          </w:tcPr>
          <w:p>
            <w:r>
              <w:t>1.096</w:t>
            </w:r>
          </w:p>
        </w:tc>
        <w:tc>
          <w:tcPr>
            <w:tcW w:type="dxa" w:w="2045"/>
          </w:tcPr>
          <w:p>
            <w:r>
              <w:t>4123</w:t>
            </w:r>
          </w:p>
        </w:tc>
      </w:tr>
      <w:tr>
        <w:tc>
          <w:tcPr>
            <w:tcW w:type="dxa" w:w="2045"/>
          </w:tcPr>
          <w:p>
            <w:r>
              <w:t>novembre</w:t>
            </w:r>
          </w:p>
        </w:tc>
        <w:tc>
          <w:tcPr>
            <w:tcW w:type="dxa" w:w="2045"/>
          </w:tcPr>
          <w:p>
            <w:r>
              <w:t>71</w:t>
            </w:r>
          </w:p>
        </w:tc>
        <w:tc>
          <w:tcPr>
            <w:tcW w:type="dxa" w:w="2045"/>
          </w:tcPr>
          <w:p>
            <w:r>
              <w:t>3790.98</w:t>
            </w:r>
          </w:p>
        </w:tc>
        <w:tc>
          <w:tcPr>
            <w:tcW w:type="dxa" w:w="2045"/>
          </w:tcPr>
          <w:p>
            <w:r>
              <w:t>0.596</w:t>
            </w:r>
          </w:p>
        </w:tc>
        <w:tc>
          <w:tcPr>
            <w:tcW w:type="dxa" w:w="2045"/>
          </w:tcPr>
          <w:p>
            <w:r>
              <w:t>2258</w:t>
            </w:r>
          </w:p>
        </w:tc>
      </w:tr>
      <w:tr>
        <w:tc>
          <w:tcPr>
            <w:tcW w:type="dxa" w:w="2045"/>
          </w:tcPr>
          <w:p>
            <w:r>
              <w:t>décembre</w:t>
            </w:r>
          </w:p>
        </w:tc>
        <w:tc>
          <w:tcPr>
            <w:tcW w:type="dxa" w:w="2045"/>
          </w:tcPr>
          <w:p>
            <w:r>
              <w:t>72</w:t>
            </w:r>
          </w:p>
        </w:tc>
        <w:tc>
          <w:tcPr>
            <w:tcW w:type="dxa" w:w="2045"/>
          </w:tcPr>
          <w:p>
            <w:r>
              <w:t>3819.08</w:t>
            </w:r>
          </w:p>
        </w:tc>
        <w:tc>
          <w:tcPr>
            <w:tcW w:type="dxa" w:w="2045"/>
          </w:tcPr>
          <w:p>
            <w:r>
              <w:t>0.529</w:t>
            </w:r>
          </w:p>
        </w:tc>
        <w:tc>
          <w:tcPr>
            <w:tcW w:type="dxa" w:w="2045"/>
          </w:tcPr>
          <w:p>
            <w:r>
              <w:t>2020</w:t>
            </w:r>
          </w:p>
        </w:tc>
      </w:tr>
    </w:tbl>
    <w:p>
      <w:r>
        <w:t>Total prévisionnel 2026 : 44220 kMAD.</w:t>
      </w:r>
    </w:p>
    <w:p>
      <w:pPr>
        <w:pStyle w:val="Heading1"/>
      </w:pPr>
      <w:r>
        <w:t>6. Graphique historique vs prévisions</w:t>
      </w:r>
    </w:p>
    <w:p>
      <w:r>
        <w:t>Le graphique distingue la série historique observée et les prévisions 2026 par un trait pointillé.</w:t>
      </w:r>
    </w:p>
    <w:p>
      <w:r>
        <w:drawing>
          <wp:inline xmlns:a="http://schemas.openxmlformats.org/drawingml/2006/main" xmlns:pic="http://schemas.openxmlformats.org/drawingml/2006/picture">
            <wp:extent cx="5943600" cy="3241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que_historique_previs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Observations atypiques</w:t>
      </w:r>
    </w:p>
    <w:p>
      <w:r>
        <w:t>La détection est basée sur la désaisonnalisation des ventes, puis sur le calcul des résidus par rapport à la tendance. Les valeurs les plus éloignées sont repérées à l'aide du Z-score.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Année</w:t>
            </w:r>
          </w:p>
        </w:tc>
        <w:tc>
          <w:tcPr>
            <w:tcW w:type="dxa" w:w="2556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Mois</w:t>
            </w:r>
          </w:p>
        </w:tc>
        <w:tc>
          <w:tcPr>
            <w:tcW w:type="dxa" w:w="2556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Ventes kMAD</w:t>
            </w:r>
          </w:p>
        </w:tc>
        <w:tc>
          <w:tcPr>
            <w:tcW w:type="dxa" w:w="2556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Z-score</w:t>
            </w:r>
          </w:p>
        </w:tc>
      </w:tr>
      <w:tr>
        <w:tc>
          <w:tcPr>
            <w:tcW w:type="dxa" w:w="2556"/>
          </w:tcPr>
          <w:p>
            <w:r>
              <w:t>2023</w:t>
            </w:r>
          </w:p>
        </w:tc>
        <w:tc>
          <w:tcPr>
            <w:tcW w:type="dxa" w:w="2556"/>
          </w:tcPr>
          <w:p>
            <w:r>
              <w:t>octobre</w:t>
            </w:r>
          </w:p>
        </w:tc>
        <w:tc>
          <w:tcPr>
            <w:tcW w:type="dxa" w:w="2556"/>
          </w:tcPr>
          <w:p>
            <w:r>
              <w:t>2325</w:t>
            </w:r>
          </w:p>
        </w:tc>
        <w:tc>
          <w:tcPr>
            <w:tcW w:type="dxa" w:w="2556"/>
          </w:tcPr>
          <w:p>
            <w:r>
              <w:t>-3.36</w:t>
            </w:r>
          </w:p>
        </w:tc>
      </w:tr>
      <w:tr>
        <w:tc>
          <w:tcPr>
            <w:tcW w:type="dxa" w:w="2556"/>
          </w:tcPr>
          <w:p>
            <w:r>
              <w:t>2024</w:t>
            </w:r>
          </w:p>
        </w:tc>
        <w:tc>
          <w:tcPr>
            <w:tcW w:type="dxa" w:w="2556"/>
          </w:tcPr>
          <w:p>
            <w:r>
              <w:t>août</w:t>
            </w:r>
          </w:p>
        </w:tc>
        <w:tc>
          <w:tcPr>
            <w:tcW w:type="dxa" w:w="2556"/>
          </w:tcPr>
          <w:p>
            <w:r>
              <w:t>8923</w:t>
            </w:r>
          </w:p>
        </w:tc>
        <w:tc>
          <w:tcPr>
            <w:tcW w:type="dxa" w:w="2556"/>
          </w:tcPr>
          <w:p>
            <w:r>
              <w:t>2.39</w:t>
            </w:r>
          </w:p>
        </w:tc>
      </w:tr>
    </w:tbl>
    <w:p>
      <w:r>
        <w:t>Remarque : selon le seuil |Z-score| &gt;= 2, août 2025 ressort également comme point à surveiller. Le prototype affiche donc les observations dépassant ce seuil ainsi que le top 2 des valeurs les plus atypiques.</w:t>
      </w:r>
    </w:p>
    <w:p>
      <w:pPr>
        <w:pStyle w:val="Heading1"/>
      </w:pPr>
      <w:r>
        <w:t>8. Structure des fichiers fournis</w:t>
      </w:r>
    </w:p>
    <w:p>
      <w:pPr>
        <w:pStyle w:val="ListBullet"/>
      </w:pPr>
      <w:r>
        <w:t>app.py : application Streamlit complète</w:t>
      </w:r>
    </w:p>
    <w:p>
      <w:pPr>
        <w:pStyle w:val="ListBullet"/>
      </w:pPr>
      <w:r>
        <w:t>requirements.txt : dépendances Python</w:t>
      </w:r>
    </w:p>
    <w:p>
      <w:pPr>
        <w:pStyle w:val="ListBullet"/>
      </w:pPr>
      <w:r>
        <w:t>README.md : installation, lancement et explication</w:t>
      </w:r>
    </w:p>
    <w:p>
      <w:pPr>
        <w:pStyle w:val="ListBullet"/>
      </w:pPr>
      <w:r>
        <w:t>papetis_resultats_previsions.xlsx : résultats chiffrés</w:t>
      </w:r>
    </w:p>
    <w:p>
      <w:pPr>
        <w:pStyle w:val="ListBullet"/>
      </w:pPr>
      <w:r>
        <w:t>graphique_historique_previsions.png : graphique final</w:t>
      </w:r>
    </w:p>
    <w:p>
      <w:pPr>
        <w:pStyle w:val="ListBullet"/>
      </w:pPr>
      <w:r>
        <w:t>papetis_ventes_historiques.xlsx : jeu de données fourni</w:t>
      </w:r>
    </w:p>
    <w:p>
      <w:pPr>
        <w:pStyle w:val="Heading1"/>
      </w:pPr>
      <w:r>
        <w:t>9. Conclusion</w:t>
      </w:r>
    </w:p>
    <w:p>
      <w:r>
        <w:t>Le prototype couvre le MVP demandé : import Excel, calcul de tendance par deux méthodes, coefficients saisonniers multiplicatifs, prévisions 12 mois, visualisation historique/prévisions, export des résultats et détection des observations atypiques.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