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after="0" w:before="0"/>
        <w:jc w:val="center"/>
      </w:pPr>
      <w:r>
        <w:rPr>
          <w:rFonts w:ascii="Calibri" w:cs="Calibri" w:eastAsia="Calibri" w:hAnsi="Calibri"/>
          <w:color w:val="FFFFFF"/>
          <w:sz w:val="80"/>
          <w:szCs w:val="80"/>
        </w:rPr>
        <w:t xml:space="preserve"> </w:t>
      </w:r>
    </w:p>
    <w:p>
      <w:pPr>
        <w:shd w:fill="1B3A6B" w:val="clear"/>
        <w:spacing w:after="0" w:before="0"/>
        <w:jc w:val="center"/>
      </w:pPr>
      <w:r>
        <w:rPr>
          <w:rFonts w:ascii="Calibri" w:cs="Calibri" w:eastAsia="Calibri" w:hAnsi="Calibri"/>
          <w:color w:val="FFFFFF"/>
          <w:sz w:val="80"/>
          <w:szCs w:val="80"/>
        </w:rPr>
        <w:t xml:space="preserve"> </w:t>
      </w:r>
    </w:p>
    <w:p>
      <w:pPr>
        <w:shd w:fill="1B3A6B" w:val="clear"/>
        <w:spacing w:after="0" w:before="0"/>
        <w:jc w:val="center"/>
      </w:pPr>
      <w:r>
        <w:rPr>
          <w:rFonts w:ascii="Calibri" w:cs="Calibri" w:eastAsia="Calibri" w:hAnsi="Calibri"/>
          <w:b/>
          <w:bCs/>
          <w:color w:val="FFFFFF"/>
          <w:sz w:val="56"/>
          <w:szCs w:val="56"/>
        </w:rPr>
        <w:t xml:space="preserve">BANKING DASHBOARD</w:t>
      </w:r>
    </w:p>
    <w:p>
      <w:pPr>
        <w:shd w:fill="1B3A6B" w:val="clear"/>
        <w:spacing w:after="0" w:before="0"/>
        <w:jc w:val="center"/>
      </w:pPr>
      <w:r>
        <w:rPr>
          <w:rFonts w:ascii="Calibri" w:cs="Calibri" w:eastAsia="Calibri" w:hAnsi="Calibri"/>
          <w:color w:val="A8C4E8"/>
          <w:sz w:val="32"/>
          <w:szCs w:val="32"/>
        </w:rPr>
        <w:t xml:space="preserve">Strategic Analysis Report</w:t>
      </w:r>
    </w:p>
    <w:p>
      <w:pPr>
        <w:shd w:fill="1B3A6B" w:val="clear"/>
        <w:spacing w:after="0" w:before="0"/>
        <w:jc w:val="center"/>
      </w:pPr>
      <w:r>
        <w:rPr>
          <w:rFonts w:ascii="Calibri" w:cs="Calibri" w:eastAsia="Calibri" w:hAnsi="Calibri"/>
          <w:color w:val="FFFFFF"/>
          <w:sz w:val="40"/>
          <w:szCs w:val="40"/>
        </w:rPr>
        <w:t xml:space="preserve"> </w:t>
      </w:r>
    </w:p>
    <w:p>
      <w:pPr>
        <w:shd w:fill="1B3A6B" w:val="clear"/>
        <w:spacing w:after="0" w:before="0"/>
        <w:jc w:val="center"/>
      </w:pPr>
      <w:r>
        <w:rPr>
          <w:rFonts w:ascii="Calibri" w:cs="Calibri" w:eastAsia="Calibri" w:hAnsi="Calibri"/>
          <w:color w:val="3A6EA8"/>
          <w:sz w:val="20"/>
          <w:szCs w:val="20"/>
        </w:rPr>
        <w:t xml:space="preserve">─────────────────────────────────────────────</w:t>
      </w:r>
    </w:p>
    <w:p>
      <w:pPr>
        <w:shd w:fill="1B3A6B" w:val="clear"/>
        <w:spacing w:after="0" w:before="0"/>
        <w:jc w:val="center"/>
      </w:pPr>
      <w:r>
        <w:rPr>
          <w:rFonts w:ascii="Calibri" w:cs="Calibri" w:eastAsia="Calibri" w:hAnsi="Calibri"/>
          <w:color w:val="FFFFFF"/>
          <w:sz w:val="24"/>
          <w:szCs w:val="24"/>
        </w:rPr>
        <w:t xml:space="preserve"> </w:t>
      </w:r>
    </w:p>
    <w:p>
      <w:pPr>
        <w:shd w:fill="1B3A6B" w:val="clear"/>
        <w:spacing w:after="0" w:before="0"/>
        <w:jc w:val="center"/>
      </w:pPr>
      <w:r>
        <w:rPr>
          <w:rFonts w:ascii="Calibri" w:cs="Calibri" w:eastAsia="Calibri" w:hAnsi="Calibri"/>
          <w:color w:val="C8DCED"/>
          <w:sz w:val="22"/>
          <w:szCs w:val="22"/>
        </w:rPr>
        <w:t xml:space="preserve">Portfolio Overview: 3,000 Clients  |  1995 – 2021</w:t>
      </w:r>
    </w:p>
    <w:p>
      <w:pPr>
        <w:shd w:fill="1B3A6B" w:val="clear"/>
        <w:spacing w:after="0" w:before="0"/>
        <w:jc w:val="center"/>
      </w:pPr>
      <w:r>
        <w:rPr>
          <w:rFonts w:ascii="Calibri" w:cs="Calibri" w:eastAsia="Calibri" w:hAnsi="Calibri"/>
          <w:color w:val="A8C4E8"/>
          <w:sz w:val="20"/>
          <w:szCs w:val="20"/>
        </w:rPr>
        <w:t xml:space="preserve">Total Loans: $4.4bn  |  Total Deposits: $3.8bn  |  Total Fees: $963M</w:t>
      </w:r>
    </w:p>
    <w:p>
      <w:pPr>
        <w:shd w:fill="1B3A6B" w:val="clear"/>
        <w:spacing w:after="0" w:before="0"/>
        <w:jc w:val="center"/>
      </w:pPr>
      <w:r>
        <w:rPr>
          <w:rFonts w:ascii="Calibri" w:cs="Calibri" w:eastAsia="Calibri" w:hAnsi="Calibri"/>
          <w:color w:val="FFFFFF"/>
          <w:sz w:val="24"/>
          <w:szCs w:val="24"/>
        </w:rPr>
        <w:t xml:space="preserve"> </w:t>
      </w:r>
    </w:p>
    <w:p>
      <w:pPr>
        <w:shd w:fill="1B3A6B" w:val="clear"/>
        <w:spacing w:after="0" w:before="0"/>
        <w:jc w:val="center"/>
      </w:pPr>
      <w:r>
        <w:rPr>
          <w:rFonts w:ascii="Calibri" w:cs="Calibri" w:eastAsia="Calibri" w:hAnsi="Calibri"/>
          <w:color w:val="3A6EA8"/>
          <w:sz w:val="20"/>
          <w:szCs w:val="20"/>
        </w:rPr>
        <w:t xml:space="preserve">─────────────────────────────────────────────</w:t>
      </w:r>
    </w:p>
    <w:p>
      <w:pPr>
        <w:shd w:fill="1B3A6B" w:val="clear"/>
        <w:spacing w:after="0" w:before="0"/>
        <w:jc w:val="center"/>
      </w:pPr>
      <w:r>
        <w:rPr>
          <w:rFonts w:ascii="Calibri" w:cs="Calibri" w:eastAsia="Calibri" w:hAnsi="Calibri"/>
          <w:color w:val="FFFFFF"/>
          <w:sz w:val="32"/>
          <w:szCs w:val="32"/>
        </w:rPr>
        <w:t xml:space="preserve"> </w:t>
      </w:r>
    </w:p>
    <w:p>
      <w:pPr>
        <w:shd w:fill="1B3A6B" w:val="clear"/>
        <w:spacing w:after="0" w:before="0"/>
        <w:jc w:val="center"/>
      </w:pPr>
      <w:r>
        <w:rPr>
          <w:rFonts w:ascii="Calibri" w:cs="Calibri" w:eastAsia="Calibri" w:hAnsi="Calibri"/>
          <w:color w:val="A8C4E8"/>
          <w:sz w:val="20"/>
          <w:szCs w:val="20"/>
        </w:rPr>
        <w:t xml:space="preserve">Prepared by: Data Analytics Division</w:t>
      </w:r>
    </w:p>
    <w:p>
      <w:pPr>
        <w:shd w:fill="1B3A6B" w:val="clear"/>
        <w:spacing w:after="0" w:before="0"/>
        <w:jc w:val="center"/>
      </w:pPr>
      <w:r>
        <w:rPr>
          <w:rFonts w:ascii="Calibri" w:cs="Calibri" w:eastAsia="Calibri" w:hAnsi="Calibri"/>
          <w:color w:val="A8C4E8"/>
          <w:sz w:val="20"/>
          <w:szCs w:val="20"/>
        </w:rPr>
        <w:t xml:space="preserve">Classification: Confidential</w:t>
      </w:r>
    </w:p>
    <w:p>
      <w:pPr>
        <w:shd w:fill="1B3A6B" w:val="clear"/>
        <w:spacing w:after="0" w:before="0"/>
        <w:jc w:val="center"/>
      </w:pPr>
      <w:r>
        <w:rPr>
          <w:rFonts w:ascii="Calibri" w:cs="Calibri" w:eastAsia="Calibri" w:hAnsi="Calibri"/>
          <w:color w:val="A8C4E8"/>
          <w:sz w:val="20"/>
          <w:szCs w:val="20"/>
        </w:rPr>
        <w:t xml:space="preserve">Date: April 2026</w:t>
      </w:r>
    </w:p>
    <w:p>
      <w:pPr>
        <w:shd w:fill="1B3A6B" w:val="clear"/>
        <w:spacing w:after="0" w:before="0"/>
        <w:jc w:val="center"/>
      </w:pPr>
      <w:r>
        <w:rPr>
          <w:rFonts w:ascii="Calibri" w:cs="Calibri" w:eastAsia="Calibri" w:hAnsi="Calibri"/>
          <w:color w:val="FFFFFF"/>
          <w:sz w:val="80"/>
          <w:szCs w:val="80"/>
        </w:rPr>
        <w:t xml:space="preserve"> </w:t>
      </w:r>
    </w:p>
    <w:p>
      <w:pPr>
        <w:shd w:fill="1B3A6B" w:val="clear"/>
        <w:spacing w:after="0" w:before="0"/>
        <w:jc w:val="center"/>
      </w:pPr>
      <w:r>
        <w:rPr>
          <w:rFonts w:ascii="Calibri" w:cs="Calibri" w:eastAsia="Calibri" w:hAnsi="Calibri"/>
          <w:color w:val="FFFFFF"/>
          <w:sz w:val="80"/>
          <w:szCs w:val="80"/>
        </w:rPr>
        <w:t xml:space="preserve"> </w:t>
      </w:r>
    </w:p>
    <w:p>
      <w:r>
        <w:br w:type="page"/>
      </w:r>
    </w:p>
    <w:p>
      <w:pPr>
        <w:pStyle w:val="Heading1"/>
        <w:shd w:fill="1B3A6B" w:val="clear"/>
        <w:spacing w:after="80" w:before="0"/>
        <w:ind w:left="180" w:right="180"/>
      </w:pPr>
      <w:r>
        <w:rPr>
          <w:rFonts w:ascii="Calibri" w:cs="Calibri" w:eastAsia="Calibri" w:hAnsi="Calibri"/>
          <w:b/>
          <w:bCs/>
          <w:color w:val="FFFFFF"/>
          <w:sz w:val="28"/>
          <w:szCs w:val="28"/>
        </w:rPr>
        <w:t xml:space="preserve">Executive Summary</w:t>
      </w:r>
    </w:p>
    <w:p>
      <w:pPr>
        <w:spacing w:after="0" w:before="0"/>
      </w:pPr>
      <w:r>
        <w:t xml:space="preserve"/>
      </w:r>
    </w:p>
    <w:p>
      <w:pPr>
        <w:spacing w:after="60" w:before="40"/>
      </w:pPr>
      <w:r>
        <w:rPr>
          <w:rFonts w:ascii="Calibri" w:cs="Calibri" w:eastAsia="Calibri" w:hAnsi="Calibri"/>
          <w:color w:val="3A3A3A"/>
          <w:sz w:val="20"/>
          <w:szCs w:val="20"/>
        </w:rPr>
        <w:t xml:space="preserve">This report presents a comprehensive analysis of a banking portfolio comprising 3,000 clients spanning 27 years (1995–2021). The analysis covers loan structures, deposit behaviour, fee distribution, loyalty segmentation, gender-based patterns, and foreign currency utilisation. Key findings reveal significant opportunities in loyalty programme optimisation, cross-selling, and targeted foreign currency campaigns, alongside concentration risks that require strategic diversification.</w:t>
      </w:r>
    </w:p>
    <w:p>
      <w:pPr>
        <w:spacing w:after="0" w:before="0"/>
      </w:pPr>
      <w:r>
        <w:t xml:space="preserve"/>
      </w:r>
    </w:p>
    <w:p>
      <w:pPr>
        <w:spacing w:after="60" w:before="40"/>
      </w:pPr>
      <w:r>
        <w:rPr>
          <w:rFonts w:ascii="Calibri" w:cs="Calibri" w:eastAsia="Calibri" w:hAnsi="Calibri"/>
          <w:color w:val="3A3A3A"/>
          <w:sz w:val="20"/>
          <w:szCs w:val="20"/>
        </w:rPr>
        <w:t xml:space="preserve">The analysis was conducted through a series of filtered dashboard reviews, enabling granular comparisons across nationality, gender, loyalty tier, and banking relationship type. All findings are supported by quantitative data extracted directly from the dashboard.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0"/>
              <w:left w:type="dxa" w:w="60"/>
              <w:bottom w:type="dxa" w:w="0"/>
              <w:right w:type="dxa" w:w="60"/>
            </w:tcMar>
          </w:tcPr>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c>
                <w:tcPr>
                  <w:tcW w:type="dxa" w:w="440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Calibri" w:cs="Calibri" w:eastAsia="Calibri" w:hAnsi="Calibri"/>
                      <w:color w:val="666666"/>
                      <w:sz w:val="16"/>
                      <w:szCs w:val="16"/>
                    </w:rPr>
                    <w:t xml:space="preserve">Total Clients</w:t>
                  </w:r>
                </w:p>
                <w:p>
                  <w:r>
                    <w:rPr>
                      <w:rFonts w:ascii="Calibri" w:cs="Calibri" w:eastAsia="Calibri" w:hAnsi="Calibri"/>
                      <w:b/>
                      <w:bCs/>
                      <w:color w:val="1B3A6B"/>
                      <w:sz w:val="28"/>
                      <w:szCs w:val="28"/>
                    </w:rPr>
                    <w:t xml:space="preserve">3,000</w:t>
                  </w:r>
                </w:p>
                <w:p>
                  <w:r>
                    <w:rPr>
                      <w:rFonts w:ascii="Calibri" w:cs="Calibri" w:eastAsia="Calibri" w:hAnsi="Calibri"/>
                      <w:color w:val="666666"/>
                      <w:sz w:val="16"/>
                      <w:szCs w:val="16"/>
                    </w:rPr>
                    <w:t xml:space="preserve">1,512 Female  |  1,488 Male</w:t>
                  </w:r>
                </w:p>
              </w:tc>
            </w:tr>
          </w:tbl>
          <w:p/>
        </w:tc>
        <w:tc>
          <w:tcPr>
            <w:tcW w:type="dxa" w:w="3120"/>
            <w:tcBorders>
              <w:top w:val="none" w:color="FFFFFF" w:sz="0"/>
              <w:left w:val="none" w:color="FFFFFF" w:sz="0"/>
              <w:bottom w:val="none" w:color="FFFFFF" w:sz="0"/>
              <w:right w:val="none" w:color="FFFFFF" w:sz="0"/>
            </w:tcBorders>
            <w:tcMar>
              <w:top w:type="dxa" w:w="0"/>
              <w:left w:type="dxa" w:w="60"/>
              <w:bottom w:type="dxa" w:w="0"/>
              <w:right w:type="dxa" w:w="60"/>
            </w:tcMar>
          </w:tcPr>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c>
                <w:tcPr>
                  <w:tcW w:type="dxa" w:w="440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Calibri" w:cs="Calibri" w:eastAsia="Calibri" w:hAnsi="Calibri"/>
                      <w:color w:val="666666"/>
                      <w:sz w:val="16"/>
                      <w:szCs w:val="16"/>
                    </w:rPr>
                    <w:t xml:space="preserve">Total Loans</w:t>
                  </w:r>
                </w:p>
                <w:p>
                  <w:r>
                    <w:rPr>
                      <w:rFonts w:ascii="Calibri" w:cs="Calibri" w:eastAsia="Calibri" w:hAnsi="Calibri"/>
                      <w:b/>
                      <w:bCs/>
                      <w:color w:val="1B3A6B"/>
                      <w:sz w:val="28"/>
                      <w:szCs w:val="28"/>
                    </w:rPr>
                    <w:t xml:space="preserve">$4.4bn</w:t>
                  </w:r>
                </w:p>
                <w:p>
                  <w:r>
                    <w:rPr>
                      <w:rFonts w:ascii="Calibri" w:cs="Calibri" w:eastAsia="Calibri" w:hAnsi="Calibri"/>
                      <w:color w:val="666666"/>
                      <w:sz w:val="16"/>
                      <w:szCs w:val="16"/>
                    </w:rPr>
                    <w:t xml:space="preserve">Avg. $591K per client</w:t>
                  </w:r>
                </w:p>
              </w:tc>
            </w:tr>
          </w:tbl>
          <w:p/>
        </w:tc>
        <w:tc>
          <w:tcPr>
            <w:tcW w:type="dxa" w:w="3120"/>
            <w:tcBorders>
              <w:top w:val="none" w:color="FFFFFF" w:sz="0"/>
              <w:left w:val="none" w:color="FFFFFF" w:sz="0"/>
              <w:bottom w:val="none" w:color="FFFFFF" w:sz="0"/>
              <w:right w:val="none" w:color="FFFFFF" w:sz="0"/>
            </w:tcBorders>
            <w:tcMar>
              <w:top w:type="dxa" w:w="0"/>
              <w:left w:type="dxa" w:w="60"/>
              <w:bottom w:type="dxa" w:w="0"/>
              <w:right w:type="dxa" w:w="60"/>
            </w:tcMar>
          </w:tcPr>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c>
                <w:tcPr>
                  <w:tcW w:type="dxa" w:w="440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Calibri" w:cs="Calibri" w:eastAsia="Calibri" w:hAnsi="Calibri"/>
                      <w:color w:val="666666"/>
                      <w:sz w:val="16"/>
                      <w:szCs w:val="16"/>
                    </w:rPr>
                    <w:t xml:space="preserve">Total Deposits</w:t>
                  </w:r>
                </w:p>
                <w:p>
                  <w:r>
                    <w:rPr>
                      <w:rFonts w:ascii="Calibri" w:cs="Calibri" w:eastAsia="Calibri" w:hAnsi="Calibri"/>
                      <w:b/>
                      <w:bCs/>
                      <w:color w:val="1B3A6B"/>
                      <w:sz w:val="28"/>
                      <w:szCs w:val="28"/>
                    </w:rPr>
                    <w:t xml:space="preserve">$3.8bn</w:t>
                  </w:r>
                </w:p>
                <w:p>
                  <w:r>
                    <w:rPr>
                      <w:rFonts w:ascii="Calibri" w:cs="Calibri" w:eastAsia="Calibri" w:hAnsi="Calibri"/>
                      <w:color w:val="666666"/>
                      <w:sz w:val="16"/>
                      <w:szCs w:val="16"/>
                    </w:rPr>
                    <w:t xml:space="preserve">Avg. $672K per client</w:t>
                  </w:r>
                </w:p>
              </w:tc>
            </w:tr>
          </w:tbl>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0"/>
              <w:left w:type="dxa" w:w="60"/>
              <w:bottom w:type="dxa" w:w="0"/>
              <w:right w:type="dxa" w:w="60"/>
            </w:tcMar>
          </w:tcPr>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c>
                <w:tcPr>
                  <w:tcW w:type="dxa" w:w="440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Calibri" w:cs="Calibri" w:eastAsia="Calibri" w:hAnsi="Calibri"/>
                      <w:color w:val="666666"/>
                      <w:sz w:val="16"/>
                      <w:szCs w:val="16"/>
                    </w:rPr>
                    <w:t xml:space="preserve">Total Fees</w:t>
                  </w:r>
                </w:p>
                <w:p>
                  <w:r>
                    <w:rPr>
                      <w:rFonts w:ascii="Calibri" w:cs="Calibri" w:eastAsia="Calibri" w:hAnsi="Calibri"/>
                      <w:b/>
                      <w:bCs/>
                      <w:color w:val="1B3A6B"/>
                      <w:sz w:val="28"/>
                      <w:szCs w:val="28"/>
                    </w:rPr>
                    <w:t xml:space="preserve">$963M</w:t>
                  </w:r>
                </w:p>
                <w:p>
                  <w:r>
                    <w:rPr>
                      <w:rFonts w:ascii="Calibri" w:cs="Calibri" w:eastAsia="Calibri" w:hAnsi="Calibri"/>
                      <w:color w:val="666666"/>
                      <w:sz w:val="16"/>
                      <w:szCs w:val="16"/>
                    </w:rPr>
                    <w:t xml:space="preserve">High 49%  |  Mid 32%  |  Low 19%</w:t>
                  </w:r>
                </w:p>
              </w:tc>
            </w:tr>
          </w:tbl>
          <w:p/>
        </w:tc>
        <w:tc>
          <w:tcPr>
            <w:tcW w:type="dxa" w:w="3120"/>
            <w:tcBorders>
              <w:top w:val="none" w:color="FFFFFF" w:sz="0"/>
              <w:left w:val="none" w:color="FFFFFF" w:sz="0"/>
              <w:bottom w:val="none" w:color="FFFFFF" w:sz="0"/>
              <w:right w:val="none" w:color="FFFFFF" w:sz="0"/>
            </w:tcBorders>
            <w:tcMar>
              <w:top w:type="dxa" w:w="0"/>
              <w:left w:type="dxa" w:w="60"/>
              <w:bottom w:type="dxa" w:w="0"/>
              <w:right w:type="dxa" w:w="60"/>
            </w:tcMar>
          </w:tcPr>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c>
                <w:tcPr>
                  <w:tcW w:type="dxa" w:w="440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Calibri" w:cs="Calibri" w:eastAsia="Calibri" w:hAnsi="Calibri"/>
                      <w:color w:val="666666"/>
                      <w:sz w:val="16"/>
                      <w:szCs w:val="16"/>
                    </w:rPr>
                    <w:t xml:space="preserve">Business Lending</w:t>
                  </w:r>
                </w:p>
                <w:p>
                  <w:r>
                    <w:rPr>
                      <w:rFonts w:ascii="Calibri" w:cs="Calibri" w:eastAsia="Calibri" w:hAnsi="Calibri"/>
                      <w:b/>
                      <w:bCs/>
                      <w:color w:val="1B3A6B"/>
                      <w:sz w:val="28"/>
                      <w:szCs w:val="28"/>
                    </w:rPr>
                    <w:t xml:space="preserve">$2.6bn</w:t>
                  </w:r>
                </w:p>
                <w:p>
                  <w:r>
                    <w:rPr>
                      <w:rFonts w:ascii="Calibri" w:cs="Calibri" w:eastAsia="Calibri" w:hAnsi="Calibri"/>
                      <w:color w:val="666666"/>
                      <w:sz w:val="16"/>
                      <w:szCs w:val="16"/>
                    </w:rPr>
                    <w:t xml:space="preserve">59% of total loan book</w:t>
                  </w:r>
                </w:p>
              </w:tc>
            </w:tr>
          </w:tbl>
          <w:p/>
        </w:tc>
        <w:tc>
          <w:tcPr>
            <w:tcW w:type="dxa" w:w="3120"/>
            <w:tcBorders>
              <w:top w:val="none" w:color="FFFFFF" w:sz="0"/>
              <w:left w:val="none" w:color="FFFFFF" w:sz="0"/>
              <w:bottom w:val="none" w:color="FFFFFF" w:sz="0"/>
              <w:right w:val="none" w:color="FFFFFF" w:sz="0"/>
            </w:tcBorders>
            <w:tcMar>
              <w:top w:type="dxa" w:w="0"/>
              <w:left w:type="dxa" w:w="60"/>
              <w:bottom w:type="dxa" w:w="0"/>
              <w:right w:type="dxa" w:w="60"/>
            </w:tcMar>
          </w:tcPr>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c>
                <w:tcPr>
                  <w:tcW w:type="dxa" w:w="440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Calibri" w:cs="Calibri" w:eastAsia="Calibri" w:hAnsi="Calibri"/>
                      <w:color w:val="666666"/>
                      <w:sz w:val="16"/>
                      <w:szCs w:val="16"/>
                    </w:rPr>
                    <w:t xml:space="preserve">Credit Cards</w:t>
                  </w:r>
                </w:p>
                <w:p>
                  <w:r>
                    <w:rPr>
                      <w:rFonts w:ascii="Calibri" w:cs="Calibri" w:eastAsia="Calibri" w:hAnsi="Calibri"/>
                      <w:b/>
                      <w:bCs/>
                      <w:color w:val="1B3A6B"/>
                      <w:sz w:val="28"/>
                      <w:szCs w:val="28"/>
                    </w:rPr>
                    <w:t xml:space="preserve">$9.5M</w:t>
                  </w:r>
                </w:p>
                <w:p>
                  <w:r>
                    <w:rPr>
                      <w:rFonts w:ascii="Calibri" w:cs="Calibri" w:eastAsia="Calibri" w:hAnsi="Calibri"/>
                      <w:color w:val="666666"/>
                      <w:sz w:val="16"/>
                      <w:szCs w:val="16"/>
                    </w:rPr>
                    <w:t xml:space="preserve">64% hold only one card</w:t>
                  </w:r>
                </w:p>
              </w:tc>
            </w:tr>
          </w:tbl>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0"/>
              <w:left w:type="dxa" w:w="60"/>
              <w:bottom w:type="dxa" w:w="0"/>
              <w:right w:type="dxa" w:w="60"/>
            </w:tcMar>
          </w:tcPr>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c>
                <w:tcPr>
                  <w:tcW w:type="dxa" w:w="440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Calibri" w:cs="Calibri" w:eastAsia="Calibri" w:hAnsi="Calibri"/>
                      <w:color w:val="666666"/>
                      <w:sz w:val="16"/>
                      <w:szCs w:val="16"/>
                    </w:rPr>
                    <w:t xml:space="preserve">Jade Loyalty (Lowest)</w:t>
                  </w:r>
                </w:p>
                <w:p>
                  <w:r>
                    <w:rPr>
                      <w:rFonts w:ascii="Calibri" w:cs="Calibri" w:eastAsia="Calibri" w:hAnsi="Calibri"/>
                      <w:b/>
                      <w:bCs/>
                      <w:color w:val="1B3A6B"/>
                      <w:sz w:val="28"/>
                      <w:szCs w:val="28"/>
                    </w:rPr>
                    <w:t xml:space="preserve">64%</w:t>
                  </w:r>
                </w:p>
                <w:p>
                  <w:r>
                    <w:rPr>
                      <w:rFonts w:ascii="Calibri" w:cs="Calibri" w:eastAsia="Calibri" w:hAnsi="Calibri"/>
                      <w:color w:val="666666"/>
                      <w:sz w:val="16"/>
                      <w:szCs w:val="16"/>
                    </w:rPr>
                    <w:t xml:space="preserve">1,331 of 3,000 clients</w:t>
                  </w:r>
                </w:p>
              </w:tc>
            </w:tr>
          </w:tbl>
          <w:p/>
        </w:tc>
        <w:tc>
          <w:tcPr>
            <w:tcW w:type="dxa" w:w="3120"/>
            <w:tcBorders>
              <w:top w:val="none" w:color="FFFFFF" w:sz="0"/>
              <w:left w:val="none" w:color="FFFFFF" w:sz="0"/>
              <w:bottom w:val="none" w:color="FFFFFF" w:sz="0"/>
              <w:right w:val="none" w:color="FFFFFF" w:sz="0"/>
            </w:tcBorders>
            <w:tcMar>
              <w:top w:type="dxa" w:w="0"/>
              <w:left w:type="dxa" w:w="60"/>
              <w:bottom w:type="dxa" w:w="0"/>
              <w:right w:type="dxa" w:w="60"/>
            </w:tcMar>
          </w:tcPr>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c>
                <w:tcPr>
                  <w:tcW w:type="dxa" w:w="440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Calibri" w:cs="Calibri" w:eastAsia="Calibri" w:hAnsi="Calibri"/>
                      <w:color w:val="666666"/>
                      <w:sz w:val="16"/>
                      <w:szCs w:val="16"/>
                    </w:rPr>
                    <w:t xml:space="preserve">Platinum Loyalty (Highest)</w:t>
                  </w:r>
                </w:p>
                <w:p>
                  <w:r>
                    <w:rPr>
                      <w:rFonts w:ascii="Calibri" w:cs="Calibri" w:eastAsia="Calibri" w:hAnsi="Calibri"/>
                      <w:b/>
                      <w:bCs/>
                      <w:color w:val="1B3A6B"/>
                      <w:sz w:val="28"/>
                      <w:szCs w:val="28"/>
                    </w:rPr>
                    <w:t xml:space="preserve">10.6%</w:t>
                  </w:r>
                </w:p>
                <w:p>
                  <w:r>
                    <w:rPr>
                      <w:rFonts w:ascii="Calibri" w:cs="Calibri" w:eastAsia="Calibri" w:hAnsi="Calibri"/>
                      <w:color w:val="666666"/>
                      <w:sz w:val="16"/>
                      <w:szCs w:val="16"/>
                    </w:rPr>
                    <w:t xml:space="preserve">Avg. deposit $1.15M/client</w:t>
                  </w:r>
                </w:p>
              </w:tc>
            </w:tr>
          </w:tbl>
          <w:p/>
        </w:tc>
        <w:tc>
          <w:tcPr>
            <w:tcW w:type="dxa" w:w="3120"/>
            <w:tcBorders>
              <w:top w:val="none" w:color="FFFFFF" w:sz="0"/>
              <w:left w:val="none" w:color="FFFFFF" w:sz="0"/>
              <w:bottom w:val="none" w:color="FFFFFF" w:sz="0"/>
              <w:right w:val="none" w:color="FFFFFF" w:sz="0"/>
            </w:tcBorders>
            <w:tcMar>
              <w:top w:type="dxa" w:w="0"/>
              <w:left w:type="dxa" w:w="60"/>
              <w:bottom w:type="dxa" w:w="0"/>
              <w:right w:type="dxa" w:w="60"/>
            </w:tcMar>
          </w:tcPr>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c>
                <w:tcPr>
                  <w:tcW w:type="dxa" w:w="440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Calibri" w:cs="Calibri" w:eastAsia="Calibri" w:hAnsi="Calibri"/>
                      <w:color w:val="666666"/>
                      <w:sz w:val="16"/>
                      <w:szCs w:val="16"/>
                    </w:rPr>
                    <w:t xml:space="preserve">Foreign Currency</w:t>
                  </w:r>
                </w:p>
                <w:p>
                  <w:r>
                    <w:rPr>
                      <w:rFonts w:ascii="Calibri" w:cs="Calibri" w:eastAsia="Calibri" w:hAnsi="Calibri"/>
                      <w:b/>
                      <w:bCs/>
                      <w:color w:val="1B3A6B"/>
                      <w:sz w:val="28"/>
                      <w:szCs w:val="28"/>
                    </w:rPr>
                    <w:t xml:space="preserve">$89.7M</w:t>
                  </w:r>
                </w:p>
                <w:p>
                  <w:r>
                    <w:rPr>
                      <w:rFonts w:ascii="Calibri" w:cs="Calibri" w:eastAsia="Calibri" w:hAnsi="Calibri"/>
                      <w:color w:val="666666"/>
                      <w:sz w:val="16"/>
                      <w:szCs w:val="16"/>
                    </w:rPr>
                    <w:t xml:space="preserve">Only 2.4% of total deposits</w:t>
                  </w:r>
                </w:p>
              </w:tc>
            </w:tr>
          </w:tbl>
          <w:p/>
        </w:tc>
      </w:tr>
    </w:tbl>
    <w:p>
      <w:r>
        <w:br w:type="page"/>
      </w:r>
    </w:p>
    <w:p>
      <w:pPr>
        <w:pStyle w:val="Heading1"/>
        <w:shd w:fill="1B3A6B" w:val="clear"/>
        <w:spacing w:after="80" w:before="0"/>
        <w:ind w:left="180" w:right="180"/>
      </w:pPr>
      <w:r>
        <w:rPr>
          <w:rFonts w:ascii="Calibri" w:cs="Calibri" w:eastAsia="Calibri" w:hAnsi="Calibri"/>
          <w:b/>
          <w:bCs/>
          <w:color w:val="FFFFFF"/>
          <w:sz w:val="28"/>
          <w:szCs w:val="28"/>
        </w:rPr>
        <w:t xml:space="preserve">1.  Portfolio Overview</w:t>
      </w:r>
    </w:p>
    <w:p>
      <w:pPr>
        <w:spacing w:after="0" w:before="0"/>
      </w:pPr>
      <w:r>
        <w:t xml:space="preserve"/>
      </w:r>
    </w:p>
    <w:p>
      <w:pPr>
        <w:pStyle w:val="Heading2"/>
        <w:pBdr>
          <w:bottom w:val="single" w:color="4472C4" w:sz="8" w:space="1"/>
        </w:pBdr>
        <w:spacing w:after="80" w:before="280"/>
      </w:pPr>
      <w:r>
        <w:rPr>
          <w:rFonts w:ascii="Calibri" w:cs="Calibri" w:eastAsia="Calibri" w:hAnsi="Calibri"/>
          <w:b/>
          <w:bCs/>
          <w:color w:val="1B3A6B"/>
          <w:sz w:val="24"/>
          <w:szCs w:val="24"/>
        </w:rPr>
        <w:t xml:space="preserve">1.1  Client Demographics</w:t>
      </w:r>
    </w:p>
    <w:p>
      <w:pPr>
        <w:spacing w:after="60" w:before="40"/>
      </w:pPr>
      <w:r>
        <w:rPr>
          <w:rFonts w:ascii="Calibri" w:cs="Calibri" w:eastAsia="Calibri" w:hAnsi="Calibri"/>
          <w:color w:val="3A3A3A"/>
          <w:sz w:val="20"/>
          <w:szCs w:val="20"/>
        </w:rPr>
        <w:t xml:space="preserve">The portfolio consists of 3,000 clients with a mean age of 51 years (range: 17–85). Gender distribution is near-equal — 1,512 female (50.4%) and 1,488 male (49.6%). Nationality breakdown is heavily skewed toward European clients, who represent 43.6% of the portfolio, followed by Asian (25.1%), American (16.9%), Australian (8.5%), and African (5.9%) clients.</w:t>
      </w:r>
    </w:p>
    <w:p>
      <w:pPr>
        <w:spacing w:after="0" w:before="0"/>
      </w:pPr>
      <w:r>
        <w:t xml:space="preserve"/>
      </w:r>
    </w:p>
    <w:p>
      <w:pPr>
        <w:pStyle w:val="Heading2"/>
        <w:pBdr>
          <w:bottom w:val="single" w:color="4472C4" w:sz="8" w:space="1"/>
        </w:pBdr>
        <w:spacing w:after="80" w:before="280"/>
      </w:pPr>
      <w:r>
        <w:rPr>
          <w:rFonts w:ascii="Calibri" w:cs="Calibri" w:eastAsia="Calibri" w:hAnsi="Calibri"/>
          <w:b/>
          <w:bCs/>
          <w:color w:val="1B3A6B"/>
          <w:sz w:val="24"/>
          <w:szCs w:val="24"/>
        </w:rPr>
        <w:t xml:space="preserve">1.2  Financial Profile</w:t>
      </w:r>
    </w:p>
    <w:p>
      <w:pPr>
        <w:spacing w:after="60" w:before="40"/>
      </w:pPr>
      <w:r>
        <w:rPr>
          <w:rFonts w:ascii="Calibri" w:cs="Calibri" w:eastAsia="Calibri" w:hAnsi="Calibri"/>
          <w:color w:val="3A3A3A"/>
          <w:sz w:val="20"/>
          <w:szCs w:val="20"/>
        </w:rPr>
        <w:t xml:space="preserve">The portfolio carries a healthy deposit-to-loan ratio, with total deposits ($3.8bn) exceeding total loans ($4.4bn) only marginally when viewed against the loan book composition. Business Lending dominates at $2.6bn (59% of total loans), while Credit Cards represent a disproportionately small share at $9.5M — indicating a significant cross-selling gap.</w:t>
      </w:r>
    </w:p>
    <w:p>
      <w:pPr>
        <w:spacing w:after="60" w:before="40"/>
      </w:pPr>
      <w:r>
        <w:rPr>
          <w:rFonts w:ascii="Calibri" w:cs="Calibri" w:eastAsia="Calibri" w:hAnsi="Calibri"/>
          <w:color w:val="3A3A3A"/>
          <w:sz w:val="20"/>
          <w:szCs w:val="20"/>
        </w:rPr>
        <w:t xml:space="preserve">Foreign Currency deposits stand at $89.7M, representing only 2.4% of total deposits. This figure is notably low across all client segments and nationalities, suggesting that FX products are materially under-marketed across the entire portfolio.</w:t>
      </w:r>
    </w:p>
    <w:p>
      <w:r>
        <w:br w:type="page"/>
      </w:r>
    </w:p>
    <w:p>
      <w:pPr>
        <w:pStyle w:val="Heading1"/>
        <w:shd w:fill="1B3A6B" w:val="clear"/>
        <w:spacing w:after="80" w:before="0"/>
        <w:ind w:left="180" w:right="180"/>
      </w:pPr>
      <w:r>
        <w:rPr>
          <w:rFonts w:ascii="Calibri" w:cs="Calibri" w:eastAsia="Calibri" w:hAnsi="Calibri"/>
          <w:b/>
          <w:bCs/>
          <w:color w:val="FFFFFF"/>
          <w:sz w:val="28"/>
          <w:szCs w:val="28"/>
        </w:rPr>
        <w:t xml:space="preserve">2.  Key Findings</w:t>
      </w:r>
    </w:p>
    <w:p>
      <w:pPr>
        <w:pStyle w:val="Heading2"/>
        <w:pBdr>
          <w:bottom w:val="single" w:color="4472C4" w:sz="8" w:space="1"/>
        </w:pBdr>
        <w:spacing w:after="80" w:before="280"/>
      </w:pPr>
      <w:r>
        <w:rPr>
          <w:rFonts w:ascii="Calibri" w:cs="Calibri" w:eastAsia="Calibri" w:hAnsi="Calibri"/>
          <w:b/>
          <w:bCs/>
          <w:color w:val="1B3A6B"/>
          <w:sz w:val="24"/>
          <w:szCs w:val="24"/>
        </w:rPr>
        <w:t xml:space="preserve">2.1  Loyalty Segmentation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DDBD8" w:val="clear"/>
            <w:tcMar>
              <w:top w:type="dxa" w:w="80"/>
              <w:left w:type="dxa" w:w="100"/>
              <w:bottom w:type="dxa" w:w="80"/>
              <w:right w:type="dxa" w:w="100"/>
            </w:tcMar>
            <w:vAlign w:val="center"/>
          </w:tcPr>
          <w:p>
            <w:pPr>
              <w:jc w:val="center"/>
            </w:pPr>
            <w:r>
              <w:rPr>
                <w:rFonts w:ascii="Calibri" w:cs="Calibri" w:eastAsia="Calibri" w:hAnsi="Calibri"/>
                <w:b/>
                <w:bCs/>
                <w:color w:val="C00000"/>
                <w:sz w:val="17"/>
                <w:szCs w:val="17"/>
              </w:rPr>
              <w:t xml:space="preserve">RISK</w:t>
            </w:r>
          </w:p>
        </w:tc>
        <w:tc>
          <w:tcPr>
            <w:tcW w:type="dxa" w:w="7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color w:val="3A3A3A"/>
                <w:sz w:val="20"/>
                <w:szCs w:val="20"/>
              </w:rPr>
              <w:t xml:space="preserve">64% of the client base (1,331 clients) sits at the lowest loyalty tier — Jade. Platinum clients represent only 10.6% (317 clients). This inverted loyalty pyramid indicates that the current loyalty programme is failing to migrate clients upward, resulting in elevated churn risk and high customer acquisition costs relative to lifetime value.</w:t>
            </w:r>
          </w:p>
        </w:tc>
      </w:tr>
      <w:tr>
        <w:tc>
          <w:tcPr>
            <w:tcW w:type="dxa" w:w="144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pPr>
              <w:jc w:val="center"/>
            </w:pPr>
            <w:r>
              <w:rPr>
                <w:rFonts w:ascii="Calibri" w:cs="Calibri" w:eastAsia="Calibri" w:hAnsi="Calibri"/>
                <w:b/>
                <w:bCs/>
                <w:color w:val="375623"/>
                <w:sz w:val="17"/>
                <w:szCs w:val="17"/>
              </w:rPr>
              <w:t xml:space="preserve">OPPORTUNITY</w:t>
            </w:r>
          </w:p>
        </w:tc>
        <w:tc>
          <w:tcPr>
            <w:tcW w:type="dxa" w:w="7920"/>
            <w:tcBorders>
              <w:top w:val="single" w:color="CCCCCC" w:sz="1"/>
              <w:left w:val="single" w:color="CCCCCC" w:sz="1"/>
              <w:bottom w:val="single" w:color="CCCCCC" w:sz="1"/>
              <w:right w:val="single" w:color="CCCCCC" w:sz="1"/>
            </w:tcBorders>
            <w:shd w:fill="F7F7F7" w:val="clear"/>
            <w:tcMar>
              <w:top w:type="dxa" w:w="80"/>
              <w:left w:type="dxa" w:w="160"/>
              <w:bottom w:type="dxa" w:w="80"/>
              <w:right w:type="dxa" w:w="120"/>
            </w:tcMar>
          </w:tcPr>
          <w:p>
            <w:r>
              <w:rPr>
                <w:rFonts w:ascii="Calibri" w:cs="Calibri" w:eastAsia="Calibri" w:hAnsi="Calibri"/>
                <w:color w:val="3A3A3A"/>
                <w:sz w:val="20"/>
                <w:szCs w:val="20"/>
              </w:rPr>
              <w:t xml:space="preserve">A single Platinum client generates an average deposit of approximately </w:t>
            </w:r>
            <w:r>
              <w:rPr>
                <w:rFonts w:ascii="Calibri" w:cs="Calibri" w:eastAsia="Calibri" w:hAnsi="Calibri"/>
                <w:b/>
                <w:bCs/>
                <w:color w:val="3A3A3A"/>
                <w:sz w:val="20"/>
                <w:szCs w:val="20"/>
              </w:rPr>
              <w:t xml:space="preserve">$1.15M</w:t>
            </w:r>
            <w:r>
              <w:rPr>
                <w:rFonts w:ascii="Calibri" w:cs="Calibri" w:eastAsia="Calibri" w:hAnsi="Calibri"/>
                <w:color w:val="3A3A3A"/>
                <w:sz w:val="20"/>
                <w:szCs w:val="20"/>
              </w:rPr>
              <w:t xml:space="preserve"> — equivalent to five average clients ($224K). Targeted investment in upgrading even a modest share of Jade clients to Silver would yield a disproportionate increase in deposit volumes and fee income.</w:t>
            </w:r>
          </w:p>
        </w:tc>
      </w:tr>
      <w:tr>
        <w:tc>
          <w:tcPr>
            <w:tcW w:type="dxa" w:w="1440"/>
            <w:tcBorders>
              <w:top w:val="single" w:color="CCCCCC" w:sz="1"/>
              <w:left w:val="single" w:color="CCCCCC" w:sz="1"/>
              <w:bottom w:val="single" w:color="CCCCCC" w:sz="1"/>
              <w:right w:val="single" w:color="CCCCCC" w:sz="1"/>
            </w:tcBorders>
            <w:shd w:fill="D6E8F7" w:val="clear"/>
            <w:tcMar>
              <w:top w:type="dxa" w:w="80"/>
              <w:left w:type="dxa" w:w="100"/>
              <w:bottom w:type="dxa" w:w="80"/>
              <w:right w:type="dxa" w:w="100"/>
            </w:tcMar>
            <w:vAlign w:val="center"/>
          </w:tcPr>
          <w:p>
            <w:pPr>
              <w:jc w:val="center"/>
            </w:pPr>
            <w:r>
              <w:rPr>
                <w:rFonts w:ascii="Calibri" w:cs="Calibri" w:eastAsia="Calibri" w:hAnsi="Calibri"/>
                <w:b/>
                <w:bCs/>
                <w:color w:val="1B3A6B"/>
                <w:sz w:val="17"/>
                <w:szCs w:val="17"/>
              </w:rPr>
              <w:t xml:space="preserve">INSIGHT</w:t>
            </w:r>
          </w:p>
        </w:tc>
        <w:tc>
          <w:tcPr>
            <w:tcW w:type="dxa" w:w="7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color w:val="3A3A3A"/>
                <w:sz w:val="20"/>
                <w:szCs w:val="20"/>
              </w:rPr>
              <w:t xml:space="preserve">Clients with the largest loan portfolios — notably Asian and African nationalities — remain predominantly classified at Jade level. This disconnect between financial engagement and loyalty recognition represents a structural flaw in the current loyalty framework.</w:t>
            </w:r>
          </w:p>
        </w:tc>
      </w:tr>
    </w:tbl>
    <w:p>
      <w:pPr>
        <w:spacing w:after="0" w:before="0"/>
      </w:pPr>
      <w:r>
        <w:t xml:space="preserve"/>
      </w:r>
    </w:p>
    <w:p>
      <w:pPr>
        <w:pStyle w:val="Heading2"/>
        <w:pBdr>
          <w:bottom w:val="single" w:color="4472C4" w:sz="8" w:space="1"/>
        </w:pBdr>
        <w:spacing w:after="80" w:before="280"/>
      </w:pPr>
      <w:r>
        <w:rPr>
          <w:rFonts w:ascii="Calibri" w:cs="Calibri" w:eastAsia="Calibri" w:hAnsi="Calibri"/>
          <w:b/>
          <w:bCs/>
          <w:color w:val="1B3A6B"/>
          <w:sz w:val="24"/>
          <w:szCs w:val="24"/>
        </w:rPr>
        <w:t xml:space="preserve">2.2  Nationality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center"/>
          </w:tcPr>
          <w:p>
            <w:pPr>
              <w:jc w:val="center"/>
            </w:pPr>
            <w:r>
              <w:rPr>
                <w:rFonts w:ascii="Calibri" w:cs="Calibri" w:eastAsia="Calibri" w:hAnsi="Calibri"/>
                <w:b/>
                <w:bCs/>
                <w:color w:val="C55A11"/>
                <w:sz w:val="17"/>
                <w:szCs w:val="17"/>
              </w:rPr>
              <w:t xml:space="preserve">WARNING</w:t>
            </w:r>
          </w:p>
        </w:tc>
        <w:tc>
          <w:tcPr>
            <w:tcW w:type="dxa" w:w="7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color w:val="3A3A3A"/>
                <w:sz w:val="20"/>
                <w:szCs w:val="20"/>
              </w:rPr>
              <w:t xml:space="preserve">European clients account for 43.6% of the portfolio and dominate both loan and deposit volumes. This level of concentration in a single nationality group constitutes a portfolio-level risk. Any adverse economic, regulatory, or geopolitical developments affecting this cohort would have an outsized impact on overall performance.</w:t>
            </w:r>
          </w:p>
        </w:tc>
      </w:tr>
      <w:tr>
        <w:tc>
          <w:tcPr>
            <w:tcW w:type="dxa" w:w="1440"/>
            <w:tcBorders>
              <w:top w:val="single" w:color="CCCCCC" w:sz="1"/>
              <w:left w:val="single" w:color="CCCCCC" w:sz="1"/>
              <w:bottom w:val="single" w:color="CCCCCC" w:sz="1"/>
              <w:right w:val="single" w:color="CCCCCC" w:sz="1"/>
            </w:tcBorders>
            <w:shd w:fill="F4E8FB" w:val="clear"/>
            <w:tcMar>
              <w:top w:type="dxa" w:w="80"/>
              <w:left w:type="dxa" w:w="100"/>
              <w:bottom w:type="dxa" w:w="80"/>
              <w:right w:type="dxa" w:w="100"/>
            </w:tcMar>
            <w:vAlign w:val="center"/>
          </w:tcPr>
          <w:p>
            <w:pPr>
              <w:jc w:val="center"/>
            </w:pPr>
            <w:r>
              <w:rPr>
                <w:rFonts w:ascii="Calibri" w:cs="Calibri" w:eastAsia="Calibri" w:hAnsi="Calibri"/>
                <w:b/>
                <w:bCs/>
                <w:color w:val="7030A0"/>
                <w:sz w:val="17"/>
                <w:szCs w:val="17"/>
              </w:rPr>
              <w:t xml:space="preserve">ANOMALY</w:t>
            </w:r>
          </w:p>
        </w:tc>
        <w:tc>
          <w:tcPr>
            <w:tcW w:type="dxa" w:w="7920"/>
            <w:tcBorders>
              <w:top w:val="single" w:color="CCCCCC" w:sz="1"/>
              <w:left w:val="single" w:color="CCCCCC" w:sz="1"/>
              <w:bottom w:val="single" w:color="CCCCCC" w:sz="1"/>
              <w:right w:val="single" w:color="CCCCCC" w:sz="1"/>
            </w:tcBorders>
            <w:shd w:fill="F7F7F7" w:val="clear"/>
            <w:tcMar>
              <w:top w:type="dxa" w:w="80"/>
              <w:left w:type="dxa" w:w="160"/>
              <w:bottom w:type="dxa" w:w="80"/>
              <w:right w:type="dxa" w:w="120"/>
            </w:tcMar>
          </w:tcPr>
          <w:p>
            <w:r>
              <w:rPr>
                <w:rFonts w:ascii="Calibri" w:cs="Calibri" w:eastAsia="Calibri" w:hAnsi="Calibri"/>
                <w:color w:val="3A3A3A"/>
                <w:sz w:val="20"/>
                <w:szCs w:val="20"/>
              </w:rPr>
              <w:t xml:space="preserve">Asian clients (25.1% of portfolio, 754 clients) generate a total loan book of approximately </w:t>
            </w:r>
            <w:r>
              <w:rPr>
                <w:rFonts w:ascii="Calibri" w:cs="Calibri" w:eastAsia="Calibri" w:hAnsi="Calibri"/>
                <w:b/>
                <w:bCs/>
                <w:color w:val="3A3A3A"/>
                <w:sz w:val="20"/>
                <w:szCs w:val="20"/>
              </w:rPr>
              <w:t xml:space="preserve">$1.9bn</w:t>
            </w:r>
            <w:r>
              <w:rPr>
                <w:rFonts w:ascii="Calibri" w:cs="Calibri" w:eastAsia="Calibri" w:hAnsi="Calibri"/>
                <w:color w:val="3A3A3A"/>
                <w:sz w:val="20"/>
                <w:szCs w:val="20"/>
              </w:rPr>
              <w:t xml:space="preserve"> — comparable to the European segment's contribution despite having roughly half the client count. The average loan per Asian client significantly exceeds the portfolio mean, making this cohort the highest-value segment by individual contribution.</w:t>
            </w:r>
          </w:p>
        </w:tc>
      </w:tr>
      <w:tr>
        <w:tc>
          <w:tcPr>
            <w:tcW w:type="dxa" w:w="144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pPr>
              <w:jc w:val="center"/>
            </w:pPr>
            <w:r>
              <w:rPr>
                <w:rFonts w:ascii="Calibri" w:cs="Calibri" w:eastAsia="Calibri" w:hAnsi="Calibri"/>
                <w:b/>
                <w:bCs/>
                <w:color w:val="375623"/>
                <w:sz w:val="17"/>
                <w:szCs w:val="17"/>
              </w:rPr>
              <w:t xml:space="preserve">OPPORTUNITY</w:t>
            </w:r>
          </w:p>
        </w:tc>
        <w:tc>
          <w:tcPr>
            <w:tcW w:type="dxa" w:w="7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color w:val="3A3A3A"/>
                <w:sz w:val="20"/>
                <w:szCs w:val="20"/>
              </w:rPr>
              <w:t xml:space="preserve">African clients (5.9% of portfolio, 176 clients) carry an average Business Lending balance of approximately </w:t>
            </w:r>
            <w:r>
              <w:rPr>
                <w:rFonts w:ascii="Calibri" w:cs="Calibri" w:eastAsia="Calibri" w:hAnsi="Calibri"/>
                <w:b/>
                <w:bCs/>
                <w:color w:val="3A3A3A"/>
                <w:sz w:val="20"/>
                <w:szCs w:val="20"/>
              </w:rPr>
              <w:t xml:space="preserve">$2.4M per client</w:t>
            </w:r>
            <w:r>
              <w:rPr>
                <w:rFonts w:ascii="Calibri" w:cs="Calibri" w:eastAsia="Calibri" w:hAnsi="Calibri"/>
                <w:color w:val="3A3A3A"/>
                <w:sz w:val="20"/>
                <w:szCs w:val="20"/>
              </w:rPr>
              <w:t xml:space="preserve"> — the highest in the portfolio. Despite this, they remain largely unrecognised within the loyalty framework. Assigning dedicated Relationship Managers to this segment would be highly cost-effective relative to potential revenue uplift.</w:t>
            </w:r>
          </w:p>
        </w:tc>
      </w:tr>
    </w:tbl>
    <w:p>
      <w:pPr>
        <w:spacing w:after="0" w:before="0"/>
      </w:pPr>
      <w:r>
        <w:t xml:space="preserve"/>
      </w:r>
    </w:p>
    <w:p>
      <w:pPr>
        <w:pStyle w:val="Heading2"/>
        <w:pBdr>
          <w:bottom w:val="single" w:color="4472C4" w:sz="8" w:space="1"/>
        </w:pBdr>
        <w:spacing w:after="80" w:before="280"/>
      </w:pPr>
      <w:r>
        <w:rPr>
          <w:rFonts w:ascii="Calibri" w:cs="Calibri" w:eastAsia="Calibri" w:hAnsi="Calibri"/>
          <w:b/>
          <w:bCs/>
          <w:color w:val="1B3A6B"/>
          <w:sz w:val="24"/>
          <w:szCs w:val="24"/>
        </w:rPr>
        <w:t xml:space="preserve">2.3  Gender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6E8F7" w:val="clear"/>
            <w:tcMar>
              <w:top w:type="dxa" w:w="80"/>
              <w:left w:type="dxa" w:w="100"/>
              <w:bottom w:type="dxa" w:w="80"/>
              <w:right w:type="dxa" w:w="100"/>
            </w:tcMar>
            <w:vAlign w:val="center"/>
          </w:tcPr>
          <w:p>
            <w:pPr>
              <w:jc w:val="center"/>
            </w:pPr>
            <w:r>
              <w:rPr>
                <w:rFonts w:ascii="Calibri" w:cs="Calibri" w:eastAsia="Calibri" w:hAnsi="Calibri"/>
                <w:b/>
                <w:bCs/>
                <w:color w:val="1B3A6B"/>
                <w:sz w:val="17"/>
                <w:szCs w:val="17"/>
              </w:rPr>
              <w:t xml:space="preserve">INSIGHT</w:t>
            </w:r>
          </w:p>
        </w:tc>
        <w:tc>
          <w:tcPr>
            <w:tcW w:type="dxa" w:w="7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color w:val="3A3A3A"/>
                <w:sz w:val="20"/>
                <w:szCs w:val="20"/>
              </w:rPr>
              <w:t xml:space="preserve">Total loan volumes are identical across genders at </w:t>
            </w:r>
            <w:r>
              <w:rPr>
                <w:rFonts w:ascii="Calibri" w:cs="Calibri" w:eastAsia="Calibri" w:hAnsi="Calibri"/>
                <w:b/>
                <w:bCs/>
                <w:color w:val="3A3A3A"/>
                <w:sz w:val="20"/>
                <w:szCs w:val="20"/>
              </w:rPr>
              <w:t xml:space="preserve">$2.19bn each</w:t>
            </w:r>
            <w:r>
              <w:rPr>
                <w:rFonts w:ascii="Calibri" w:cs="Calibri" w:eastAsia="Calibri" w:hAnsi="Calibri"/>
                <w:color w:val="3A3A3A"/>
                <w:sz w:val="20"/>
                <w:szCs w:val="20"/>
              </w:rPr>
              <w:t xml:space="preserve">, despite a marginal difference in client count (1,512 female vs. 1,488 male). Fee structures are uniformly applied — no gender-based pricing differential was identified. The fee gap ($488M female vs. $475M male) is attributable solely to marginally higher deposit volumes among female clients.</w:t>
            </w:r>
          </w:p>
        </w:tc>
      </w:tr>
      <w:tr>
        <w:tc>
          <w:tcPr>
            <w:tcW w:type="dxa" w:w="144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vAlign w:val="center"/>
          </w:tcPr>
          <w:p>
            <w:pPr>
              <w:jc w:val="center"/>
            </w:pPr>
            <w:r>
              <w:rPr>
                <w:rFonts w:ascii="Calibri" w:cs="Calibri" w:eastAsia="Calibri" w:hAnsi="Calibri"/>
                <w:b/>
                <w:bCs/>
                <w:color w:val="666666"/>
                <w:sz w:val="17"/>
                <w:szCs w:val="17"/>
              </w:rPr>
              <w:t xml:space="preserve">RESOLVED</w:t>
            </w:r>
          </w:p>
        </w:tc>
        <w:tc>
          <w:tcPr>
            <w:tcW w:type="dxa" w:w="7920"/>
            <w:tcBorders>
              <w:top w:val="single" w:color="CCCCCC" w:sz="1"/>
              <w:left w:val="single" w:color="CCCCCC" w:sz="1"/>
              <w:bottom w:val="single" w:color="CCCCCC" w:sz="1"/>
              <w:right w:val="single" w:color="CCCCCC" w:sz="1"/>
            </w:tcBorders>
            <w:shd w:fill="F7F7F7" w:val="clear"/>
            <w:tcMar>
              <w:top w:type="dxa" w:w="80"/>
              <w:left w:type="dxa" w:w="160"/>
              <w:bottom w:type="dxa" w:w="80"/>
              <w:right w:type="dxa" w:w="120"/>
            </w:tcMar>
          </w:tcPr>
          <w:p>
            <w:r>
              <w:rPr>
                <w:rFonts w:ascii="Calibri" w:cs="Calibri" w:eastAsia="Calibri" w:hAnsi="Calibri"/>
                <w:color w:val="3A3A3A"/>
                <w:sz w:val="20"/>
                <w:szCs w:val="20"/>
              </w:rPr>
              <w:t xml:space="preserve">A previously observed anomaly — Jade male clients appearing to pay higher fees than Jade female clients — has been investigated and resolved. The difference originates from higher Business Lending volumes among Jade males ($591M vs. $577M), which attract proportionally higher fees. No systemic pricing discrepancy exists.</w:t>
            </w:r>
          </w:p>
        </w:tc>
      </w:tr>
      <w:tr>
        <w:tc>
          <w:tcPr>
            <w:tcW w:type="dxa" w:w="144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pPr>
              <w:jc w:val="center"/>
            </w:pPr>
            <w:r>
              <w:rPr>
                <w:rFonts w:ascii="Calibri" w:cs="Calibri" w:eastAsia="Calibri" w:hAnsi="Calibri"/>
                <w:b/>
                <w:bCs/>
                <w:color w:val="375623"/>
                <w:sz w:val="17"/>
                <w:szCs w:val="17"/>
              </w:rPr>
              <w:t xml:space="preserve">OPPORTUNITY</w:t>
            </w:r>
          </w:p>
        </w:tc>
        <w:tc>
          <w:tcPr>
            <w:tcW w:type="dxa" w:w="7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color w:val="3A3A3A"/>
                <w:sz w:val="20"/>
                <w:szCs w:val="20"/>
              </w:rPr>
              <w:t xml:space="preserve">Female clients demonstrate lower Credit Card utilisation than male clients despite equivalent loan volumes. A targeted Credit Card acquisition campaign with rewards aligned to female spending patterns (e.g., education, healthcare, grocery) presents a direct and measurable cross-selling opportunity.</w:t>
            </w:r>
          </w:p>
        </w:tc>
      </w:tr>
      <w:tr>
        <w:tc>
          <w:tcPr>
            <w:tcW w:type="dxa" w:w="1440"/>
            <w:tcBorders>
              <w:top w:val="single" w:color="CCCCCC" w:sz="1"/>
              <w:left w:val="single" w:color="CCCCCC" w:sz="1"/>
              <w:bottom w:val="single" w:color="CCCCCC" w:sz="1"/>
              <w:right w:val="single" w:color="CCCCCC" w:sz="1"/>
            </w:tcBorders>
            <w:shd w:fill="D6E8F7" w:val="clear"/>
            <w:tcMar>
              <w:top w:type="dxa" w:w="80"/>
              <w:left w:type="dxa" w:w="100"/>
              <w:bottom w:type="dxa" w:w="80"/>
              <w:right w:type="dxa" w:w="100"/>
            </w:tcMar>
            <w:vAlign w:val="center"/>
          </w:tcPr>
          <w:p>
            <w:pPr>
              <w:jc w:val="center"/>
            </w:pPr>
            <w:r>
              <w:rPr>
                <w:rFonts w:ascii="Calibri" w:cs="Calibri" w:eastAsia="Calibri" w:hAnsi="Calibri"/>
                <w:b/>
                <w:bCs/>
                <w:color w:val="1B3A6B"/>
                <w:sz w:val="17"/>
                <w:szCs w:val="17"/>
              </w:rPr>
              <w:t xml:space="preserve">INSIGHT</w:t>
            </w:r>
          </w:p>
        </w:tc>
        <w:tc>
          <w:tcPr>
            <w:tcW w:type="dxa" w:w="7920"/>
            <w:tcBorders>
              <w:top w:val="single" w:color="CCCCCC" w:sz="1"/>
              <w:left w:val="single" w:color="CCCCCC" w:sz="1"/>
              <w:bottom w:val="single" w:color="CCCCCC" w:sz="1"/>
              <w:right w:val="single" w:color="CCCCCC" w:sz="1"/>
            </w:tcBorders>
            <w:shd w:fill="F7F7F7" w:val="clear"/>
            <w:tcMar>
              <w:top w:type="dxa" w:w="80"/>
              <w:left w:type="dxa" w:w="160"/>
              <w:bottom w:type="dxa" w:w="80"/>
              <w:right w:type="dxa" w:w="120"/>
            </w:tcMar>
          </w:tcPr>
          <w:p>
            <w:r>
              <w:rPr>
                <w:rFonts w:ascii="Calibri" w:cs="Calibri" w:eastAsia="Calibri" w:hAnsi="Calibri"/>
                <w:color w:val="3A3A3A"/>
                <w:sz w:val="20"/>
                <w:szCs w:val="20"/>
              </w:rPr>
              <w:t xml:space="preserve">Across both genders, Checking Account balances consistently exceed Saving Account balances (approx. $488M vs. $346M for females; $475M vs. $353M for males). This liquidity preference, sustained across all segments and loyalty tiers, signals an unmet demand for flexible high-yield savings products.</w:t>
            </w:r>
          </w:p>
        </w:tc>
      </w:tr>
    </w:tbl>
    <w:p>
      <w:pPr>
        <w:spacing w:after="0" w:before="0"/>
      </w:pPr>
      <w:r>
        <w:t xml:space="preserve"/>
      </w:r>
    </w:p>
    <w:p>
      <w:pPr>
        <w:pStyle w:val="Heading2"/>
        <w:pBdr>
          <w:bottom w:val="single" w:color="4472C4" w:sz="8" w:space="1"/>
        </w:pBdr>
        <w:spacing w:after="80" w:before="280"/>
      </w:pPr>
      <w:r>
        <w:rPr>
          <w:rFonts w:ascii="Calibri" w:cs="Calibri" w:eastAsia="Calibri" w:hAnsi="Calibri"/>
          <w:b/>
          <w:bCs/>
          <w:color w:val="1B3A6B"/>
          <w:sz w:val="24"/>
          <w:szCs w:val="24"/>
        </w:rPr>
        <w:t xml:space="preserve">2.4  Fee Structure &amp; Product 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center"/>
          </w:tcPr>
          <w:p>
            <w:pPr>
              <w:jc w:val="center"/>
            </w:pPr>
            <w:r>
              <w:rPr>
                <w:rFonts w:ascii="Calibri" w:cs="Calibri" w:eastAsia="Calibri" w:hAnsi="Calibri"/>
                <w:b/>
                <w:bCs/>
                <w:color w:val="C55A11"/>
                <w:sz w:val="17"/>
                <w:szCs w:val="17"/>
              </w:rPr>
              <w:t xml:space="preserve">WARNING</w:t>
            </w:r>
          </w:p>
        </w:tc>
        <w:tc>
          <w:tcPr>
            <w:tcW w:type="dxa" w:w="7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color w:val="3A3A3A"/>
                <w:sz w:val="20"/>
                <w:szCs w:val="20"/>
              </w:rPr>
              <w:t xml:space="preserve">49.2% of clients are classified under the High Fee structure, while only 18.7% fall under Low Fee. This skewed distribution may not be problematic in isolation; however, when overlaid with the fact that 64% of clients are at the Jade loyalty tier, it raises the concern that the lowest-loyalty clients are disproportionately subject to the highest fee burden — a combination that amplifies attrition risk.</w:t>
            </w:r>
          </w:p>
        </w:tc>
      </w:tr>
      <w:tr>
        <w:tc>
          <w:tcPr>
            <w:tcW w:type="dxa" w:w="1440"/>
            <w:tcBorders>
              <w:top w:val="single" w:color="CCCCCC" w:sz="1"/>
              <w:left w:val="single" w:color="CCCCCC" w:sz="1"/>
              <w:bottom w:val="single" w:color="CCCCCC" w:sz="1"/>
              <w:right w:val="single" w:color="CCCCCC" w:sz="1"/>
            </w:tcBorders>
            <w:shd w:fill="FDDBD8" w:val="clear"/>
            <w:tcMar>
              <w:top w:type="dxa" w:w="80"/>
              <w:left w:type="dxa" w:w="100"/>
              <w:bottom w:type="dxa" w:w="80"/>
              <w:right w:type="dxa" w:w="100"/>
            </w:tcMar>
            <w:vAlign w:val="center"/>
          </w:tcPr>
          <w:p>
            <w:pPr>
              <w:jc w:val="center"/>
            </w:pPr>
            <w:r>
              <w:rPr>
                <w:rFonts w:ascii="Calibri" w:cs="Calibri" w:eastAsia="Calibri" w:hAnsi="Calibri"/>
                <w:b/>
                <w:bCs/>
                <w:color w:val="C00000"/>
                <w:sz w:val="17"/>
                <w:szCs w:val="17"/>
              </w:rPr>
              <w:t xml:space="preserve">RISK</w:t>
            </w:r>
          </w:p>
        </w:tc>
        <w:tc>
          <w:tcPr>
            <w:tcW w:type="dxa" w:w="7920"/>
            <w:tcBorders>
              <w:top w:val="single" w:color="CCCCCC" w:sz="1"/>
              <w:left w:val="single" w:color="CCCCCC" w:sz="1"/>
              <w:bottom w:val="single" w:color="CCCCCC" w:sz="1"/>
              <w:right w:val="single" w:color="CCCCCC" w:sz="1"/>
            </w:tcBorders>
            <w:shd w:fill="F7F7F7" w:val="clear"/>
            <w:tcMar>
              <w:top w:type="dxa" w:w="80"/>
              <w:left w:type="dxa" w:w="160"/>
              <w:bottom w:type="dxa" w:w="80"/>
              <w:right w:type="dxa" w:w="120"/>
            </w:tcMar>
          </w:tcPr>
          <w:p>
            <w:r>
              <w:rPr>
                <w:rFonts w:ascii="Calibri" w:cs="Calibri" w:eastAsia="Calibri" w:hAnsi="Calibri"/>
                <w:color w:val="3A3A3A"/>
                <w:sz w:val="20"/>
                <w:szCs w:val="20"/>
              </w:rPr>
              <w:t xml:space="preserve">Credit Card revenue totals only </w:t>
            </w:r>
            <w:r>
              <w:rPr>
                <w:rFonts w:ascii="Calibri" w:cs="Calibri" w:eastAsia="Calibri" w:hAnsi="Calibri"/>
                <w:b/>
                <w:bCs/>
                <w:color w:val="3A3A3A"/>
                <w:sz w:val="20"/>
                <w:szCs w:val="20"/>
              </w:rPr>
              <w:t xml:space="preserve">$9.5M</w:t>
            </w:r>
            <w:r>
              <w:rPr>
                <w:rFonts w:ascii="Calibri" w:cs="Calibri" w:eastAsia="Calibri" w:hAnsi="Calibri"/>
                <w:color w:val="3A3A3A"/>
                <w:sz w:val="20"/>
                <w:szCs w:val="20"/>
              </w:rPr>
              <w:t xml:space="preserve"> against a loan book of $4.4bn. The ratio of credit card utilisation to total lending is critically low. Asian clients illustrate this most starkly: $4.3M in Credit Card balances against $1.9bn in loans. This represents one of the most significant missed revenue opportunities in the portfolio.</w:t>
            </w:r>
          </w:p>
        </w:tc>
      </w:tr>
      <w:tr>
        <w:tc>
          <w:tcPr>
            <w:tcW w:type="dxa" w:w="1440"/>
            <w:tcBorders>
              <w:top w:val="single" w:color="CCCCCC" w:sz="1"/>
              <w:left w:val="single" w:color="CCCCCC" w:sz="1"/>
              <w:bottom w:val="single" w:color="CCCCCC" w:sz="1"/>
              <w:right w:val="single" w:color="CCCCCC" w:sz="1"/>
            </w:tcBorders>
            <w:shd w:fill="D6E8F7" w:val="clear"/>
            <w:tcMar>
              <w:top w:type="dxa" w:w="80"/>
              <w:left w:type="dxa" w:w="100"/>
              <w:bottom w:type="dxa" w:w="80"/>
              <w:right w:type="dxa" w:w="100"/>
            </w:tcMar>
            <w:vAlign w:val="center"/>
          </w:tcPr>
          <w:p>
            <w:pPr>
              <w:jc w:val="center"/>
            </w:pPr>
            <w:r>
              <w:rPr>
                <w:rFonts w:ascii="Calibri" w:cs="Calibri" w:eastAsia="Calibri" w:hAnsi="Calibri"/>
                <w:b/>
                <w:bCs/>
                <w:color w:val="1B3A6B"/>
                <w:sz w:val="17"/>
                <w:szCs w:val="17"/>
              </w:rPr>
              <w:t xml:space="preserve">INSIGHT</w:t>
            </w:r>
          </w:p>
        </w:tc>
        <w:tc>
          <w:tcPr>
            <w:tcW w:type="dxa" w:w="7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color w:val="3A3A3A"/>
                <w:sz w:val="20"/>
                <w:szCs w:val="20"/>
              </w:rPr>
              <w:t xml:space="preserve">Private Bank clients, while among the smallest sub-segments by count, account for the highest loan volumes by banking relationship type ($0.81bn). This segment consistently over-indexes on financial engagement and is the primary candidate for Wealth Management and structured product offerings.</w:t>
            </w:r>
          </w:p>
        </w:tc>
      </w:tr>
    </w:tbl>
    <w:p>
      <w:pPr>
        <w:spacing w:after="0" w:before="0"/>
      </w:pPr>
      <w:r>
        <w:t xml:space="preserve"/>
      </w:r>
    </w:p>
    <w:p>
      <w:pPr>
        <w:pStyle w:val="Heading2"/>
        <w:pBdr>
          <w:bottom w:val="single" w:color="4472C4" w:sz="8" w:space="1"/>
        </w:pBdr>
        <w:spacing w:after="80" w:before="280"/>
      </w:pPr>
      <w:r>
        <w:rPr>
          <w:rFonts w:ascii="Calibri" w:cs="Calibri" w:eastAsia="Calibri" w:hAnsi="Calibri"/>
          <w:b/>
          <w:bCs/>
          <w:color w:val="1B3A6B"/>
          <w:sz w:val="24"/>
          <w:szCs w:val="24"/>
        </w:rPr>
        <w:t xml:space="preserve">2.5  Platinum Client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4E8FB" w:val="clear"/>
            <w:tcMar>
              <w:top w:type="dxa" w:w="80"/>
              <w:left w:type="dxa" w:w="100"/>
              <w:bottom w:type="dxa" w:w="80"/>
              <w:right w:type="dxa" w:w="100"/>
            </w:tcMar>
            <w:vAlign w:val="center"/>
          </w:tcPr>
          <w:p>
            <w:pPr>
              <w:jc w:val="center"/>
            </w:pPr>
            <w:r>
              <w:rPr>
                <w:rFonts w:ascii="Calibri" w:cs="Calibri" w:eastAsia="Calibri" w:hAnsi="Calibri"/>
                <w:b/>
                <w:bCs/>
                <w:color w:val="7030A0"/>
                <w:sz w:val="17"/>
                <w:szCs w:val="17"/>
              </w:rPr>
              <w:t xml:space="preserve">ANOMALY</w:t>
            </w:r>
          </w:p>
        </w:tc>
        <w:tc>
          <w:tcPr>
            <w:tcW w:type="dxa" w:w="7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color w:val="3A3A3A"/>
                <w:sz w:val="20"/>
                <w:szCs w:val="20"/>
              </w:rPr>
              <w:t xml:space="preserve">Platinum clients hold Checking Account balances ($94.1M) exceeding Saving Account balances ($68.4M). For the bank's highest-value segment, this preference for liquidity over yield is counterintuitive and points directly to a product gap. The absence of compelling Money Market or structured deposit products appears to be leaving significant interest income unrealised.</w:t>
            </w:r>
          </w:p>
        </w:tc>
      </w:tr>
      <w:tr>
        <w:tc>
          <w:tcPr>
            <w:tcW w:type="dxa" w:w="144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center"/>
          </w:tcPr>
          <w:p>
            <w:pPr>
              <w:jc w:val="center"/>
            </w:pPr>
            <w:r>
              <w:rPr>
                <w:rFonts w:ascii="Calibri" w:cs="Calibri" w:eastAsia="Calibri" w:hAnsi="Calibri"/>
                <w:b/>
                <w:bCs/>
                <w:color w:val="C55A11"/>
                <w:sz w:val="17"/>
                <w:szCs w:val="17"/>
              </w:rPr>
              <w:t xml:space="preserve">WARNING</w:t>
            </w:r>
          </w:p>
        </w:tc>
        <w:tc>
          <w:tcPr>
            <w:tcW w:type="dxa" w:w="7920"/>
            <w:tcBorders>
              <w:top w:val="single" w:color="CCCCCC" w:sz="1"/>
              <w:left w:val="single" w:color="CCCCCC" w:sz="1"/>
              <w:bottom w:val="single" w:color="CCCCCC" w:sz="1"/>
              <w:right w:val="single" w:color="CCCCCC" w:sz="1"/>
            </w:tcBorders>
            <w:shd w:fill="F7F7F7" w:val="clear"/>
            <w:tcMar>
              <w:top w:type="dxa" w:w="80"/>
              <w:left w:type="dxa" w:w="160"/>
              <w:bottom w:type="dxa" w:w="80"/>
              <w:right w:type="dxa" w:w="120"/>
            </w:tcMar>
          </w:tcPr>
          <w:p>
            <w:r>
              <w:rPr>
                <w:rFonts w:ascii="Calibri" w:cs="Calibri" w:eastAsia="Calibri" w:hAnsi="Calibri"/>
                <w:color w:val="3A3A3A"/>
                <w:sz w:val="20"/>
                <w:szCs w:val="20"/>
              </w:rPr>
              <w:t xml:space="preserve">Foreign Currency utilisation among Platinum clients stands at only </w:t>
            </w:r>
            <w:r>
              <w:rPr>
                <w:rFonts w:ascii="Calibri" w:cs="Calibri" w:eastAsia="Calibri" w:hAnsi="Calibri"/>
                <w:b/>
                <w:bCs/>
                <w:color w:val="3A3A3A"/>
                <w:sz w:val="20"/>
                <w:szCs w:val="20"/>
              </w:rPr>
              <w:t xml:space="preserve">$9.4M</w:t>
            </w:r>
            <w:r>
              <w:rPr>
                <w:rFonts w:ascii="Calibri" w:cs="Calibri" w:eastAsia="Calibri" w:hAnsi="Calibri"/>
                <w:color w:val="3A3A3A"/>
                <w:sz w:val="20"/>
                <w:szCs w:val="20"/>
              </w:rPr>
              <w:t xml:space="preserve"> — representing 10.5% of the portfolio-wide FX total ($89.7M). Given that Platinum clients represent the bank's wealthiest cohort, this level of FX engagement is disproportionately low and suggests that FX products are not being actively positioned as part of the Platinum service proposition.</w:t>
            </w:r>
          </w:p>
        </w:tc>
      </w:tr>
      <w:tr>
        <w:tc>
          <w:tcPr>
            <w:tcW w:type="dxa" w:w="144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pPr>
              <w:jc w:val="center"/>
            </w:pPr>
            <w:r>
              <w:rPr>
                <w:rFonts w:ascii="Calibri" w:cs="Calibri" w:eastAsia="Calibri" w:hAnsi="Calibri"/>
                <w:b/>
                <w:bCs/>
                <w:color w:val="375623"/>
                <w:sz w:val="17"/>
                <w:szCs w:val="17"/>
              </w:rPr>
              <w:t xml:space="preserve">OPPORTUNITY</w:t>
            </w:r>
          </w:p>
        </w:tc>
        <w:tc>
          <w:tcPr>
            <w:tcW w:type="dxa" w:w="7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color w:val="3A3A3A"/>
                <w:sz w:val="20"/>
                <w:szCs w:val="20"/>
              </w:rPr>
              <w:t xml:space="preserve">The average deposit per Platinum client is approximately $1.15M versus $224K for the general portfolio. The return on investment for enhanced Platinum servicing — including dedicated advisors, Wealth Management products, and FX structuring — is substantially higher than for any other tier.</w:t>
            </w:r>
          </w:p>
        </w:tc>
      </w:tr>
    </w:tbl>
    <w:p>
      <w:r>
        <w:br w:type="page"/>
      </w:r>
    </w:p>
    <w:p>
      <w:pPr>
        <w:pStyle w:val="Heading1"/>
        <w:shd w:fill="1B3A6B" w:val="clear"/>
        <w:spacing w:after="80" w:before="0"/>
        <w:ind w:left="180" w:right="180"/>
      </w:pPr>
      <w:r>
        <w:rPr>
          <w:rFonts w:ascii="Calibri" w:cs="Calibri" w:eastAsia="Calibri" w:hAnsi="Calibri"/>
          <w:b/>
          <w:bCs/>
          <w:color w:val="FFFFFF"/>
          <w:sz w:val="28"/>
          <w:szCs w:val="28"/>
        </w:rPr>
        <w:t xml:space="preserve">3.  Foreign Currency — Deep Dive Analysis</w:t>
      </w:r>
    </w:p>
    <w:p>
      <w:pPr>
        <w:spacing w:after="0" w:before="0"/>
      </w:pPr>
      <w:r>
        <w:t xml:space="preserve"/>
      </w:r>
    </w:p>
    <w:p>
      <w:pPr>
        <w:spacing w:after="60" w:before="40"/>
      </w:pPr>
      <w:r>
        <w:rPr>
          <w:rFonts w:ascii="Calibri" w:cs="Calibri" w:eastAsia="Calibri" w:hAnsi="Calibri"/>
          <w:color w:val="3A3A3A"/>
          <w:sz w:val="20"/>
          <w:szCs w:val="20"/>
        </w:rPr>
        <w:t xml:space="preserve">Foreign Currency deposits ($89.7M) represent only 2.4% of total deposits — a figure that is uniformly low across all nationalities, loyalty tiers, and gender segments. The following analysis focuses specifically on Jade-tier clients, the largest segment, to identify where targeted FX campaigns would yield the greatest return.</w:t>
      </w:r>
    </w:p>
    <w:p>
      <w:pPr>
        <w:spacing w:after="0" w:before="0"/>
      </w:pPr>
      <w:r>
        <w:t xml:space="preserve"/>
      </w:r>
    </w:p>
    <w:p>
      <w:pPr>
        <w:pStyle w:val="Heading2"/>
        <w:pBdr>
          <w:bottom w:val="single" w:color="4472C4" w:sz="8" w:space="1"/>
        </w:pBdr>
        <w:spacing w:after="80" w:before="280"/>
      </w:pPr>
      <w:r>
        <w:rPr>
          <w:rFonts w:ascii="Calibri" w:cs="Calibri" w:eastAsia="Calibri" w:hAnsi="Calibri"/>
          <w:b/>
          <w:bCs/>
          <w:color w:val="1B3A6B"/>
          <w:sz w:val="24"/>
          <w:szCs w:val="24"/>
        </w:rPr>
        <w:t xml:space="preserve">3.1  FX Utilisation by Nationality — Jade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1000"/>
        <w:gridCol w:w="1200"/>
        <w:gridCol w:w="2200"/>
        <w:gridCol w:w="256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Calibri" w:cs="Calibri" w:eastAsia="Calibri" w:hAnsi="Calibri"/>
                <w:b/>
                <w:bCs/>
                <w:color w:val="FFFFFF"/>
                <w:sz w:val="17"/>
                <w:szCs w:val="17"/>
              </w:rPr>
              <w:t xml:space="preserve">Nationality</w:t>
            </w:r>
          </w:p>
        </w:tc>
        <w:tc>
          <w:tcPr>
            <w:tcW w:type="dxa" w:w="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Calibri" w:cs="Calibri" w:eastAsia="Calibri" w:hAnsi="Calibri"/>
                <w:b/>
                <w:bCs/>
                <w:color w:val="FFFFFF"/>
                <w:sz w:val="17"/>
                <w:szCs w:val="17"/>
              </w:rPr>
              <w:t xml:space="preserve">Clients</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Calibri" w:cs="Calibri" w:eastAsia="Calibri" w:hAnsi="Calibri"/>
                <w:b/>
                <w:bCs/>
                <w:color w:val="FFFFFF"/>
                <w:sz w:val="17"/>
                <w:szCs w:val="17"/>
              </w:rPr>
              <w:t xml:space="preserve">FX Total</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Calibri" w:cs="Calibri" w:eastAsia="Calibri" w:hAnsi="Calibri"/>
                <w:b/>
                <w:bCs/>
                <w:color w:val="FFFFFF"/>
                <w:sz w:val="17"/>
                <w:szCs w:val="17"/>
              </w:rPr>
              <w:t xml:space="preserve">Avg FX/Client</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Calibri" w:cs="Calibri" w:eastAsia="Calibri" w:hAnsi="Calibri"/>
                <w:b/>
                <w:bCs/>
                <w:color w:val="FFFFFF"/>
                <w:sz w:val="17"/>
                <w:szCs w:val="17"/>
              </w:rPr>
              <w:t xml:space="preserve">Recommended Currencies</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Calibri" w:cs="Calibri" w:eastAsia="Calibri" w:hAnsi="Calibri"/>
                <w:b/>
                <w:bCs/>
                <w:color w:val="FFFFFF"/>
                <w:sz w:val="17"/>
                <w:szCs w:val="17"/>
              </w:rPr>
              <w:t xml:space="preserve">Campaign Message</w:t>
            </w:r>
          </w:p>
        </w:tc>
      </w:tr>
      <w:tr>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alibri" w:cs="Calibri" w:eastAsia="Calibri" w:hAnsi="Calibri"/>
                <w:b/>
                <w:bCs/>
                <w:color w:val="1B3A6B"/>
                <w:sz w:val="20"/>
                <w:szCs w:val="20"/>
              </w:rPr>
              <w:t xml:space="preserve">African</w:t>
            </w:r>
          </w:p>
        </w:tc>
        <w:tc>
          <w:tcPr>
            <w:tcW w:type="dxa" w:w="800"/>
            <w:tcBorders>
              <w:top w:val="single" w:color="CCCCCC" w:sz="1"/>
              <w:left w:val="single" w:color="CCCCCC" w:sz="1"/>
              <w:bottom w:val="single" w:color="CCCCCC" w:sz="1"/>
              <w:right w:val="single" w:color="CCCCCC" w:sz="1"/>
            </w:tcBorders>
            <w:shd w:fill="D6E8F7" w:val="clear"/>
            <w:tcMar>
              <w:top w:type="dxa" w:w="80"/>
              <w:left w:type="dxa" w:w="80"/>
              <w:bottom w:type="dxa" w:w="80"/>
              <w:right w:type="dxa" w:w="80"/>
            </w:tcMar>
          </w:tcPr>
          <w:p>
            <w:pPr>
              <w:jc w:val="center"/>
            </w:pPr>
            <w:r>
              <w:rPr>
                <w:rFonts w:ascii="Calibri" w:cs="Calibri" w:eastAsia="Calibri" w:hAnsi="Calibri"/>
                <w:color w:val="3A3A3A"/>
                <w:sz w:val="20"/>
                <w:szCs w:val="20"/>
              </w:rPr>
              <w:t xml:space="preserve">176</w:t>
            </w:r>
          </w:p>
        </w:tc>
        <w:tc>
          <w:tcPr>
            <w:tcW w:type="dxa" w:w="1000"/>
            <w:tcBorders>
              <w:top w:val="single" w:color="CCCCCC" w:sz="1"/>
              <w:left w:val="single" w:color="CCCCCC" w:sz="1"/>
              <w:bottom w:val="single" w:color="CCCCCC" w:sz="1"/>
              <w:right w:val="single" w:color="CCCCCC" w:sz="1"/>
            </w:tcBorders>
            <w:shd w:fill="D6E8F7" w:val="clear"/>
            <w:tcMar>
              <w:top w:type="dxa" w:w="80"/>
              <w:left w:type="dxa" w:w="80"/>
              <w:bottom w:type="dxa" w:w="80"/>
              <w:right w:type="dxa" w:w="80"/>
            </w:tcMar>
          </w:tcPr>
          <w:p>
            <w:pPr>
              <w:jc w:val="center"/>
            </w:pPr>
            <w:r>
              <w:rPr>
                <w:rFonts w:ascii="Calibri" w:cs="Calibri" w:eastAsia="Calibri" w:hAnsi="Calibri"/>
                <w:color w:val="3A3A3A"/>
                <w:sz w:val="20"/>
                <w:szCs w:val="20"/>
              </w:rPr>
              <w:t xml:space="preserve">$2.7M</w:t>
            </w:r>
          </w:p>
        </w:tc>
        <w:tc>
          <w:tcPr>
            <w:tcW w:type="dxa" w:w="1200"/>
            <w:tcBorders>
              <w:top w:val="single" w:color="CCCCCC" w:sz="1"/>
              <w:left w:val="single" w:color="CCCCCC" w:sz="1"/>
              <w:bottom w:val="single" w:color="CCCCCC" w:sz="1"/>
              <w:right w:val="single" w:color="CCCCCC" w:sz="1"/>
            </w:tcBorders>
            <w:shd w:fill="D6E8F7" w:val="clear"/>
            <w:tcMar>
              <w:top w:type="dxa" w:w="80"/>
              <w:left w:type="dxa" w:w="80"/>
              <w:bottom w:type="dxa" w:w="80"/>
              <w:right w:type="dxa" w:w="80"/>
            </w:tcMar>
          </w:tcPr>
          <w:p>
            <w:pPr>
              <w:jc w:val="center"/>
            </w:pPr>
            <w:r>
              <w:rPr>
                <w:rFonts w:ascii="Calibri" w:cs="Calibri" w:eastAsia="Calibri" w:hAnsi="Calibri"/>
                <w:b/>
                <w:bCs/>
                <w:color w:val="C00000"/>
                <w:sz w:val="20"/>
                <w:szCs w:val="20"/>
              </w:rPr>
              <w:t xml:space="preserve">$15.3K</w:t>
            </w:r>
          </w:p>
        </w:tc>
        <w:tc>
          <w:tcPr>
            <w:tcW w:type="dxa" w:w="22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alibri" w:cs="Calibri" w:eastAsia="Calibri" w:hAnsi="Calibri"/>
                <w:color w:val="2E5FA3"/>
                <w:sz w:val="20"/>
                <w:szCs w:val="20"/>
              </w:rPr>
              <w:t xml:space="preserve">USD, EUR</w:t>
            </w:r>
          </w:p>
        </w:tc>
        <w:tc>
          <w:tcPr>
            <w:tcW w:type="dxa" w:w="25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alibri" w:cs="Calibri" w:eastAsia="Calibri" w:hAnsi="Calibri"/>
                <w:color w:val="666666"/>
                <w:sz w:val="20"/>
                <w:szCs w:val="20"/>
              </w:rPr>
              <w:t xml:space="preserve">Convert Business Lending proceeds to stable currencies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Asian</w:t>
            </w:r>
          </w:p>
        </w:tc>
        <w:tc>
          <w:tcPr>
            <w:tcW w:type="dxa" w:w="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Calibri" w:cs="Calibri" w:eastAsia="Calibri" w:hAnsi="Calibri"/>
                <w:color w:val="3A3A3A"/>
                <w:sz w:val="20"/>
                <w:szCs w:val="20"/>
              </w:rPr>
              <w:t xml:space="preserve">754</w:t>
            </w:r>
          </w:p>
        </w:tc>
        <w:tc>
          <w:tcPr>
            <w:tcW w:type="dxa" w:w="1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Calibri" w:cs="Calibri" w:eastAsia="Calibri" w:hAnsi="Calibri"/>
                <w:color w:val="3A3A3A"/>
                <w:sz w:val="20"/>
                <w:szCs w:val="20"/>
              </w:rPr>
              <w:t xml:space="preserve">$10.0M</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Calibri" w:cs="Calibri" w:eastAsia="Calibri" w:hAnsi="Calibri"/>
                <w:b/>
                <w:bCs/>
                <w:color w:val="1B3A6B"/>
                <w:sz w:val="20"/>
                <w:szCs w:val="20"/>
              </w:rPr>
              <w:t xml:space="preserve">$13.2K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E5FA3"/>
                <w:sz w:val="20"/>
                <w:szCs w:val="20"/>
              </w:rPr>
              <w:t xml:space="preserve">USD, JPY, CNY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666666"/>
                <w:sz w:val="20"/>
                <w:szCs w:val="20"/>
              </w:rPr>
              <w:t xml:space="preserve">Diversify into Asian market currencies</w:t>
            </w:r>
          </w:p>
        </w:tc>
      </w:tr>
      <w:tr>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alibri" w:cs="Calibri" w:eastAsia="Calibri" w:hAnsi="Calibri"/>
                <w:b/>
                <w:bCs/>
                <w:color w:val="1B3A6B"/>
                <w:sz w:val="20"/>
                <w:szCs w:val="20"/>
              </w:rPr>
              <w:t xml:space="preserve">American</w:t>
            </w:r>
          </w:p>
        </w:tc>
        <w:tc>
          <w:tcPr>
            <w:tcW w:type="dxa" w:w="800"/>
            <w:tcBorders>
              <w:top w:val="single" w:color="CCCCCC" w:sz="1"/>
              <w:left w:val="single" w:color="CCCCCC" w:sz="1"/>
              <w:bottom w:val="single" w:color="CCCCCC" w:sz="1"/>
              <w:right w:val="single" w:color="CCCCCC" w:sz="1"/>
            </w:tcBorders>
            <w:shd w:fill="D6E8F7" w:val="clear"/>
            <w:tcMar>
              <w:top w:type="dxa" w:w="80"/>
              <w:left w:type="dxa" w:w="80"/>
              <w:bottom w:type="dxa" w:w="80"/>
              <w:right w:type="dxa" w:w="80"/>
            </w:tcMar>
          </w:tcPr>
          <w:p>
            <w:pPr>
              <w:jc w:val="center"/>
            </w:pPr>
            <w:r>
              <w:rPr>
                <w:rFonts w:ascii="Calibri" w:cs="Calibri" w:eastAsia="Calibri" w:hAnsi="Calibri"/>
                <w:color w:val="3A3A3A"/>
                <w:sz w:val="20"/>
                <w:szCs w:val="20"/>
              </w:rPr>
              <w:t xml:space="preserve">507</w:t>
            </w:r>
          </w:p>
        </w:tc>
        <w:tc>
          <w:tcPr>
            <w:tcW w:type="dxa" w:w="1000"/>
            <w:tcBorders>
              <w:top w:val="single" w:color="CCCCCC" w:sz="1"/>
              <w:left w:val="single" w:color="CCCCCC" w:sz="1"/>
              <w:bottom w:val="single" w:color="CCCCCC" w:sz="1"/>
              <w:right w:val="single" w:color="CCCCCC" w:sz="1"/>
            </w:tcBorders>
            <w:shd w:fill="D6E8F7" w:val="clear"/>
            <w:tcMar>
              <w:top w:type="dxa" w:w="80"/>
              <w:left w:type="dxa" w:w="80"/>
              <w:bottom w:type="dxa" w:w="80"/>
              <w:right w:type="dxa" w:w="80"/>
            </w:tcMar>
          </w:tcPr>
          <w:p>
            <w:pPr>
              <w:jc w:val="center"/>
            </w:pPr>
            <w:r>
              <w:rPr>
                <w:rFonts w:ascii="Calibri" w:cs="Calibri" w:eastAsia="Calibri" w:hAnsi="Calibri"/>
                <w:color w:val="3A3A3A"/>
                <w:sz w:val="20"/>
                <w:szCs w:val="20"/>
              </w:rPr>
              <w:t xml:space="preserve">$7.0M</w:t>
            </w:r>
          </w:p>
        </w:tc>
        <w:tc>
          <w:tcPr>
            <w:tcW w:type="dxa" w:w="1200"/>
            <w:tcBorders>
              <w:top w:val="single" w:color="CCCCCC" w:sz="1"/>
              <w:left w:val="single" w:color="CCCCCC" w:sz="1"/>
              <w:bottom w:val="single" w:color="CCCCCC" w:sz="1"/>
              <w:right w:val="single" w:color="CCCCCC" w:sz="1"/>
            </w:tcBorders>
            <w:shd w:fill="D6E8F7" w:val="clear"/>
            <w:tcMar>
              <w:top w:type="dxa" w:w="80"/>
              <w:left w:type="dxa" w:w="80"/>
              <w:bottom w:type="dxa" w:w="80"/>
              <w:right w:type="dxa" w:w="80"/>
            </w:tcMar>
          </w:tcPr>
          <w:p>
            <w:pPr>
              <w:jc w:val="center"/>
            </w:pPr>
            <w:r>
              <w:rPr>
                <w:rFonts w:ascii="Calibri" w:cs="Calibri" w:eastAsia="Calibri" w:hAnsi="Calibri"/>
                <w:b/>
                <w:bCs/>
                <w:color w:val="1B3A6B"/>
                <w:sz w:val="20"/>
                <w:szCs w:val="20"/>
              </w:rPr>
              <w:t xml:space="preserve">$13.8K</w:t>
            </w:r>
          </w:p>
        </w:tc>
        <w:tc>
          <w:tcPr>
            <w:tcW w:type="dxa" w:w="22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alibri" w:cs="Calibri" w:eastAsia="Calibri" w:hAnsi="Calibri"/>
                <w:color w:val="2E5FA3"/>
                <w:sz w:val="20"/>
                <w:szCs w:val="20"/>
              </w:rPr>
              <w:t xml:space="preserve">EUR, GBP</w:t>
            </w:r>
          </w:p>
        </w:tc>
        <w:tc>
          <w:tcPr>
            <w:tcW w:type="dxa" w:w="25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alibri" w:cs="Calibri" w:eastAsia="Calibri" w:hAnsi="Calibri"/>
                <w:color w:val="666666"/>
                <w:sz w:val="20"/>
                <w:szCs w:val="20"/>
              </w:rPr>
              <w:t xml:space="preserve">Simple diversification — convert Checking to EUR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B3A6B"/>
                <w:sz w:val="20"/>
                <w:szCs w:val="20"/>
              </w:rPr>
              <w:t xml:space="preserve">European</w:t>
            </w:r>
          </w:p>
        </w:tc>
        <w:tc>
          <w:tcPr>
            <w:tcW w:type="dxa" w:w="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Calibri" w:cs="Calibri" w:eastAsia="Calibri" w:hAnsi="Calibri"/>
                <w:color w:val="3A3A3A"/>
                <w:sz w:val="20"/>
                <w:szCs w:val="20"/>
              </w:rPr>
              <w:t xml:space="preserve">1,309</w:t>
            </w:r>
          </w:p>
        </w:tc>
        <w:tc>
          <w:tcPr>
            <w:tcW w:type="dxa" w:w="1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Calibri" w:cs="Calibri" w:eastAsia="Calibri" w:hAnsi="Calibri"/>
                <w:color w:val="3A3A3A"/>
                <w:sz w:val="20"/>
                <w:szCs w:val="20"/>
              </w:rPr>
              <w:t xml:space="preserve">$17.3M</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Calibri" w:cs="Calibri" w:eastAsia="Calibri" w:hAnsi="Calibri"/>
                <w:b/>
                <w:bCs/>
                <w:color w:val="1B3A6B"/>
                <w:sz w:val="20"/>
                <w:szCs w:val="20"/>
              </w:rPr>
              <w:t xml:space="preserve">$13.2K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E5FA3"/>
                <w:sz w:val="20"/>
                <w:szCs w:val="20"/>
              </w:rPr>
              <w:t xml:space="preserve">USD, CHF</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666666"/>
                <w:sz w:val="20"/>
                <w:szCs w:val="20"/>
              </w:rPr>
              <w:t xml:space="preserve">Increase utilisation per client — volume-based incentives</w:t>
            </w:r>
          </w:p>
        </w:tc>
      </w:tr>
      <w:tr>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alibri" w:cs="Calibri" w:eastAsia="Calibri" w:hAnsi="Calibri"/>
                <w:b/>
                <w:bCs/>
                <w:color w:val="1B3A6B"/>
                <w:sz w:val="20"/>
                <w:szCs w:val="20"/>
              </w:rPr>
              <w:t xml:space="preserve">Australian</w:t>
            </w:r>
          </w:p>
        </w:tc>
        <w:tc>
          <w:tcPr>
            <w:tcW w:type="dxa" w:w="800"/>
            <w:tcBorders>
              <w:top w:val="single" w:color="CCCCCC" w:sz="1"/>
              <w:left w:val="single" w:color="CCCCCC" w:sz="1"/>
              <w:bottom w:val="single" w:color="CCCCCC" w:sz="1"/>
              <w:right w:val="single" w:color="CCCCCC" w:sz="1"/>
            </w:tcBorders>
            <w:shd w:fill="D6E8F7" w:val="clear"/>
            <w:tcMar>
              <w:top w:type="dxa" w:w="80"/>
              <w:left w:type="dxa" w:w="80"/>
              <w:bottom w:type="dxa" w:w="80"/>
              <w:right w:type="dxa" w:w="80"/>
            </w:tcMar>
          </w:tcPr>
          <w:p>
            <w:pPr>
              <w:jc w:val="center"/>
            </w:pPr>
            <w:r>
              <w:rPr>
                <w:rFonts w:ascii="Calibri" w:cs="Calibri" w:eastAsia="Calibri" w:hAnsi="Calibri"/>
                <w:color w:val="3A3A3A"/>
                <w:sz w:val="20"/>
                <w:szCs w:val="20"/>
              </w:rPr>
              <w:t xml:space="preserve">254</w:t>
            </w:r>
          </w:p>
        </w:tc>
        <w:tc>
          <w:tcPr>
            <w:tcW w:type="dxa" w:w="1000"/>
            <w:tcBorders>
              <w:top w:val="single" w:color="CCCCCC" w:sz="1"/>
              <w:left w:val="single" w:color="CCCCCC" w:sz="1"/>
              <w:bottom w:val="single" w:color="CCCCCC" w:sz="1"/>
              <w:right w:val="single" w:color="CCCCCC" w:sz="1"/>
            </w:tcBorders>
            <w:shd w:fill="D6E8F7" w:val="clear"/>
            <w:tcMar>
              <w:top w:type="dxa" w:w="80"/>
              <w:left w:type="dxa" w:w="80"/>
              <w:bottom w:type="dxa" w:w="80"/>
              <w:right w:type="dxa" w:w="80"/>
            </w:tcMar>
          </w:tcPr>
          <w:p>
            <w:pPr>
              <w:jc w:val="center"/>
            </w:pPr>
            <w:r>
              <w:rPr>
                <w:rFonts w:ascii="Calibri" w:cs="Calibri" w:eastAsia="Calibri" w:hAnsi="Calibri"/>
                <w:color w:val="3A3A3A"/>
                <w:sz w:val="20"/>
                <w:szCs w:val="20"/>
              </w:rPr>
              <w:t xml:space="preserve">$2.8M</w:t>
            </w:r>
          </w:p>
        </w:tc>
        <w:tc>
          <w:tcPr>
            <w:tcW w:type="dxa" w:w="1200"/>
            <w:tcBorders>
              <w:top w:val="single" w:color="CCCCCC" w:sz="1"/>
              <w:left w:val="single" w:color="CCCCCC" w:sz="1"/>
              <w:bottom w:val="single" w:color="CCCCCC" w:sz="1"/>
              <w:right w:val="single" w:color="CCCCCC" w:sz="1"/>
            </w:tcBorders>
            <w:shd w:fill="D6E8F7" w:val="clear"/>
            <w:tcMar>
              <w:top w:type="dxa" w:w="80"/>
              <w:left w:type="dxa" w:w="80"/>
              <w:bottom w:type="dxa" w:w="80"/>
              <w:right w:type="dxa" w:w="80"/>
            </w:tcMar>
          </w:tcPr>
          <w:p>
            <w:pPr>
              <w:jc w:val="center"/>
            </w:pPr>
            <w:r>
              <w:rPr>
                <w:rFonts w:ascii="Calibri" w:cs="Calibri" w:eastAsia="Calibri" w:hAnsi="Calibri"/>
                <w:b/>
                <w:bCs/>
                <w:color w:val="1B3A6B"/>
                <w:sz w:val="20"/>
                <w:szCs w:val="20"/>
              </w:rPr>
              <w:t xml:space="preserve">$11.0K</w:t>
            </w:r>
          </w:p>
        </w:tc>
        <w:tc>
          <w:tcPr>
            <w:tcW w:type="dxa" w:w="22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alibri" w:cs="Calibri" w:eastAsia="Calibri" w:hAnsi="Calibri"/>
                <w:color w:val="2E5FA3"/>
                <w:sz w:val="20"/>
                <w:szCs w:val="20"/>
              </w:rPr>
              <w:t xml:space="preserve">AUD, USD</w:t>
            </w:r>
          </w:p>
        </w:tc>
        <w:tc>
          <w:tcPr>
            <w:tcW w:type="dxa" w:w="25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alibri" w:cs="Calibri" w:eastAsia="Calibri" w:hAnsi="Calibri"/>
                <w:color w:val="666666"/>
                <w:sz w:val="20"/>
                <w:szCs w:val="20"/>
              </w:rPr>
              <w:t xml:space="preserve">Low-friction entry — AUD/USD with zero conversion fee</w:t>
            </w:r>
          </w:p>
        </w:tc>
      </w:tr>
    </w:tbl>
    <w:p>
      <w:pPr>
        <w:spacing w:after="0" w:before="0"/>
      </w:pPr>
      <w:r>
        <w:t xml:space="preserve"/>
      </w:r>
    </w:p>
    <w:p>
      <w:pPr>
        <w:pStyle w:val="Heading2"/>
        <w:pBdr>
          <w:bottom w:val="single" w:color="4472C4" w:sz="8" w:space="1"/>
        </w:pBdr>
        <w:spacing w:after="80" w:before="280"/>
      </w:pPr>
      <w:r>
        <w:rPr>
          <w:rFonts w:ascii="Calibri" w:cs="Calibri" w:eastAsia="Calibri" w:hAnsi="Calibri"/>
          <w:b/>
          <w:bCs/>
          <w:color w:val="1B3A6B"/>
          <w:sz w:val="24"/>
          <w:szCs w:val="24"/>
        </w:rPr>
        <w:t xml:space="preserve">3.2  Key Observations</w:t>
      </w:r>
    </w:p>
    <w:p>
      <w:pPr>
        <w:pStyle w:val="ListParagraph"/>
        <w:numPr>
          <w:ilvl w:val="0"/>
          <w:numId w:val="2"/>
        </w:numPr>
        <w:spacing w:after="30" w:before="30"/>
      </w:pPr>
      <w:r>
        <w:rPr>
          <w:rFonts w:ascii="Calibri" w:cs="Calibri" w:eastAsia="Calibri" w:hAnsi="Calibri"/>
          <w:b w:val="false"/>
          <w:bCs w:val="false"/>
          <w:color w:val="3A3A3A"/>
          <w:sz w:val="20"/>
          <w:szCs w:val="20"/>
        </w:rPr>
        <w:t xml:space="preserve">African clients record the highest average FX usage per client ($15.3K) despite the lowest absolute total ($2.7M). Demand exists; the constraint is client volume, not propensity.</w:t>
      </w:r>
    </w:p>
    <w:p>
      <w:pPr>
        <w:pStyle w:val="ListParagraph"/>
        <w:numPr>
          <w:ilvl w:val="0"/>
          <w:numId w:val="2"/>
        </w:numPr>
        <w:spacing w:after="30" w:before="30"/>
      </w:pPr>
      <w:r>
        <w:rPr>
          <w:rFonts w:ascii="Calibri" w:cs="Calibri" w:eastAsia="Calibri" w:hAnsi="Calibri"/>
          <w:b w:val="false"/>
          <w:bCs w:val="false"/>
          <w:color w:val="3A3A3A"/>
          <w:sz w:val="20"/>
          <w:szCs w:val="20"/>
        </w:rPr>
        <w:t xml:space="preserve">European clients contribute the largest absolute FX volume ($17.3M) but their per-client average ($13.2K) is below that of African and American clients — indicating headroom for per-client growth.</w:t>
      </w:r>
    </w:p>
    <w:p>
      <w:pPr>
        <w:pStyle w:val="ListParagraph"/>
        <w:numPr>
          <w:ilvl w:val="0"/>
          <w:numId w:val="2"/>
        </w:numPr>
        <w:spacing w:after="30" w:before="30"/>
      </w:pPr>
      <w:r>
        <w:rPr>
          <w:rFonts w:ascii="Calibri" w:cs="Calibri" w:eastAsia="Calibri" w:hAnsi="Calibri"/>
          <w:b w:val="false"/>
          <w:bCs w:val="false"/>
          <w:color w:val="3A3A3A"/>
          <w:sz w:val="20"/>
          <w:szCs w:val="20"/>
        </w:rPr>
        <w:t xml:space="preserve">Australian clients record the lowest per-client FX average ($11.0K), suggesting the weakest FX engagement and the greatest opportunity for product education.</w:t>
      </w:r>
    </w:p>
    <w:p>
      <w:pPr>
        <w:pStyle w:val="ListParagraph"/>
        <w:numPr>
          <w:ilvl w:val="0"/>
          <w:numId w:val="2"/>
        </w:numPr>
        <w:spacing w:after="30" w:before="30"/>
      </w:pPr>
      <w:r>
        <w:rPr>
          <w:rFonts w:ascii="Calibri" w:cs="Calibri" w:eastAsia="Calibri" w:hAnsi="Calibri"/>
          <w:b w:val="false"/>
          <w:bCs w:val="false"/>
          <w:color w:val="3A3A3A"/>
          <w:sz w:val="20"/>
          <w:szCs w:val="20"/>
        </w:rPr>
        <w:t xml:space="preserve">Gender plays no meaningful role in FX utilisation. Jade male and female clients record near-identical FX deposits (~$20.5M vs. $19.3M). A single unified campaign is recommended over gender-segmented approaches.</w:t>
      </w:r>
    </w:p>
    <w:p>
      <w:pPr>
        <w:spacing w:after="0" w:before="0"/>
      </w:pPr>
      <w:r>
        <w:t xml:space="preserve"/>
      </w:r>
    </w:p>
    <w:p>
      <w:pPr>
        <w:pStyle w:val="Heading2"/>
        <w:pBdr>
          <w:bottom w:val="single" w:color="4472C4" w:sz="8" w:space="1"/>
        </w:pBdr>
        <w:spacing w:after="80" w:before="280"/>
      </w:pPr>
      <w:r>
        <w:rPr>
          <w:rFonts w:ascii="Calibri" w:cs="Calibri" w:eastAsia="Calibri" w:hAnsi="Calibri"/>
          <w:b/>
          <w:bCs/>
          <w:color w:val="1B3A6B"/>
          <w:sz w:val="24"/>
          <w:szCs w:val="24"/>
        </w:rPr>
        <w:t xml:space="preserve">3.3  Campaign Recommendation</w:t>
      </w:r>
    </w:p>
    <w:p>
      <w:pPr>
        <w:spacing w:after="60" w:before="40"/>
      </w:pPr>
      <w:r>
        <w:rPr>
          <w:rFonts w:ascii="Calibri" w:cs="Calibri" w:eastAsia="Calibri" w:hAnsi="Calibri"/>
          <w:color w:val="3A3A3A"/>
          <w:sz w:val="20"/>
          <w:szCs w:val="20"/>
        </w:rPr>
        <w:t xml:space="preserve">A unified FX campaign targeted at all Jade clients — irrespective of gender — is recommended as the most cost-efficient approach. Campaign entry points should be set at a low minimum conversion threshold ($500–$1,000) to reduce friction for first-time FX users. Where possible, FX adoption should be linked to loyalty tier upgrades (e.g., "Convert $1,000 to a foreign currency and advance from Jade to Silver") to simultaneously address the loyalty migration challenge.</w:t>
      </w:r>
    </w:p>
    <w:p>
      <w:r>
        <w:br w:type="page"/>
      </w:r>
    </w:p>
    <w:p>
      <w:pPr>
        <w:pStyle w:val="Heading1"/>
        <w:shd w:fill="1B3A6B" w:val="clear"/>
        <w:spacing w:after="80" w:before="0"/>
        <w:ind w:left="180" w:right="180"/>
      </w:pPr>
      <w:r>
        <w:rPr>
          <w:rFonts w:ascii="Calibri" w:cs="Calibri" w:eastAsia="Calibri" w:hAnsi="Calibri"/>
          <w:b/>
          <w:bCs/>
          <w:color w:val="FFFFFF"/>
          <w:sz w:val="28"/>
          <w:szCs w:val="28"/>
        </w:rPr>
        <w:t xml:space="preserve">4.  Strategic Recommendations</w:t>
      </w:r>
    </w:p>
    <w:p>
      <w:pPr>
        <w:spacing w:after="0" w:before="0"/>
      </w:pPr>
      <w:r>
        <w:t xml:space="preserve"/>
      </w:r>
    </w:p>
    <w:p>
      <w:pPr>
        <w:spacing w:after="60" w:before="40"/>
      </w:pPr>
      <w:r>
        <w:rPr>
          <w:rFonts w:ascii="Calibri" w:cs="Calibri" w:eastAsia="Calibri" w:hAnsi="Calibri"/>
          <w:color w:val="3A3A3A"/>
          <w:sz w:val="20"/>
          <w:szCs w:val="20"/>
        </w:rPr>
        <w:t xml:space="preserve">The following recommendations are derived from the full body of analysis conducted across all filtered views of the dashboard. They are ranked by priority and expected impact on revenue, client retention, and portfolio quality.</w:t>
      </w:r>
    </w:p>
    <w:p>
      <w:pPr>
        <w:spacing w:after="0" w:before="0"/>
      </w:pPr>
      <w: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4760"/>
        <w:gridCol w:w="1200"/>
        <w:gridCol w:w="2000"/>
      </w:tblGrid>
      <w:tr>
        <w:tc>
          <w:tcPr>
            <w:tcW w:type="dxa" w:w="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Recommendation</w:t>
            </w:r>
          </w:p>
        </w:tc>
        <w:tc>
          <w:tcPr>
            <w:tcW w:type="dxa" w:w="4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Rationale &amp; Detail</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Priority</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Target Segment</w:t>
            </w:r>
          </w:p>
        </w:tc>
      </w:tr>
      <w:tr>
        <w:tc>
          <w:tcPr>
            <w:tcW w:type="dxa" w:w="400"/>
            <w:tcBorders>
              <w:top w:val="single" w:color="CCCCCC" w:sz="1"/>
              <w:left w:val="single" w:color="CCCCCC" w:sz="1"/>
              <w:bottom w:val="single" w:color="CCCCCC" w:sz="1"/>
              <w:right w:val="single" w:color="CCCCCC" w:sz="1"/>
            </w:tcBorders>
            <w:shd w:fill="D6E8F7" w:val="clear"/>
            <w:tcMar>
              <w:top w:type="dxa" w:w="80"/>
              <w:left w:type="dxa" w:w="80"/>
              <w:bottom w:type="dxa" w:w="80"/>
              <w:right w:type="dxa" w:w="80"/>
            </w:tcMar>
            <w:vAlign w:val="center"/>
          </w:tcPr>
          <w:p>
            <w:pPr>
              <w:jc w:val="center"/>
            </w:pPr>
            <w:r>
              <w:rPr>
                <w:rFonts w:ascii="Calibri" w:cs="Calibri" w:eastAsia="Calibri" w:hAnsi="Calibri"/>
                <w:b/>
                <w:bCs/>
                <w:color w:val="1B3A6B"/>
                <w:sz w:val="20"/>
                <w:szCs w:val="20"/>
              </w:rPr>
              <w:t xml:space="preserve">1</w:t>
            </w:r>
          </w:p>
        </w:tc>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Calibri" w:cs="Calibri" w:eastAsia="Calibri" w:hAnsi="Calibri"/>
                <w:b/>
                <w:bCs/>
                <w:color w:val="1B3A6B"/>
                <w:sz w:val="20"/>
                <w:szCs w:val="20"/>
              </w:rPr>
              <w:t xml:space="preserve">Loyalty Upgrade Programme</w:t>
            </w:r>
          </w:p>
        </w:tc>
        <w:tc>
          <w:tcPr>
            <w:tcW w:type="dxa" w:w="47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alibri" w:cs="Calibri" w:eastAsia="Calibri" w:hAnsi="Calibri"/>
                <w:color w:val="3A3A3A"/>
                <w:sz w:val="20"/>
                <w:szCs w:val="20"/>
              </w:rPr>
              <w:t xml:space="preserve">Design a structured migration path from Jade to Silver using deposit volume and product breadth as upgrade criteria. Target: migrate 20% of Jade clients to Silver within 18 months.</w:t>
            </w:r>
          </w:p>
        </w:tc>
        <w:tc>
          <w:tcPr>
            <w:tcW w:type="dxa" w:w="1200"/>
            <w:tcBorders>
              <w:top w:val="single" w:color="CCCCCC" w:sz="1"/>
              <w:left w:val="single" w:color="CCCCCC" w:sz="1"/>
              <w:bottom w:val="single" w:color="CCCCCC" w:sz="1"/>
              <w:right w:val="single" w:color="CCCCCC" w:sz="1"/>
            </w:tcBorders>
            <w:shd w:fill="D6E8F7" w:val="clear"/>
            <w:tcMar>
              <w:top w:type="dxa" w:w="80"/>
              <w:left w:type="dxa" w:w="80"/>
              <w:bottom w:type="dxa" w:w="80"/>
              <w:right w:type="dxa" w:w="80"/>
            </w:tcMar>
            <w:vAlign w:val="center"/>
          </w:tcPr>
          <w:p>
            <w:pPr>
              <w:jc w:val="center"/>
            </w:pPr>
            <w:r>
              <w:rPr>
                <w:rFonts w:ascii="Calibri" w:cs="Calibri" w:eastAsia="Calibri" w:hAnsi="Calibri"/>
                <w:b/>
                <w:bCs/>
                <w:color w:val="C00000"/>
                <w:sz w:val="20"/>
                <w:szCs w:val="20"/>
              </w:rPr>
              <w:t xml:space="preserve">High</w:t>
            </w:r>
          </w:p>
        </w:tc>
        <w:tc>
          <w:tcPr>
            <w:tcW w:type="dxa" w:w="2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Calibri" w:cs="Calibri" w:eastAsia="Calibri" w:hAnsi="Calibri"/>
                <w:color w:val="666666"/>
                <w:sz w:val="20"/>
                <w:szCs w:val="20"/>
              </w:rPr>
              <w:t xml:space="preserve">All Jade (1,331 clients)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Calibri" w:cs="Calibri" w:eastAsia="Calibri" w:hAnsi="Calibri"/>
                <w:b/>
                <w:bCs/>
                <w:color w:val="1B3A6B"/>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B3A6B"/>
                <w:sz w:val="20"/>
                <w:szCs w:val="20"/>
              </w:rPr>
              <w:t xml:space="preserve">Asian Client Premium Card Campaign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A3A3A"/>
                <w:sz w:val="20"/>
                <w:szCs w:val="20"/>
              </w:rPr>
              <w:t xml:space="preserve">Asian clients carry an average loan of ~$2.5M yet hold minimal Credit Card balances ($4.3M total). A Premium Card linked to loan size with proportional rewards directly addresses this gap.</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Calibri" w:cs="Calibri" w:eastAsia="Calibri" w:hAnsi="Calibri"/>
                <w:b/>
                <w:bCs/>
                <w:color w:val="C00000"/>
                <w:sz w:val="20"/>
                <w:szCs w:val="20"/>
              </w:rPr>
              <w:t xml:space="preserve">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color w:val="666666"/>
                <w:sz w:val="20"/>
                <w:szCs w:val="20"/>
              </w:rPr>
              <w:t xml:space="preserve">Jade &amp; Silver — Asian</w:t>
            </w:r>
          </w:p>
        </w:tc>
      </w:tr>
      <w:tr>
        <w:tc>
          <w:tcPr>
            <w:tcW w:type="dxa" w:w="400"/>
            <w:tcBorders>
              <w:top w:val="single" w:color="CCCCCC" w:sz="1"/>
              <w:left w:val="single" w:color="CCCCCC" w:sz="1"/>
              <w:bottom w:val="single" w:color="CCCCCC" w:sz="1"/>
              <w:right w:val="single" w:color="CCCCCC" w:sz="1"/>
            </w:tcBorders>
            <w:shd w:fill="D6E8F7" w:val="clear"/>
            <w:tcMar>
              <w:top w:type="dxa" w:w="80"/>
              <w:left w:type="dxa" w:w="80"/>
              <w:bottom w:type="dxa" w:w="80"/>
              <w:right w:type="dxa" w:w="80"/>
            </w:tcMar>
            <w:vAlign w:val="center"/>
          </w:tcPr>
          <w:p>
            <w:pPr>
              <w:jc w:val="center"/>
            </w:pPr>
            <w:r>
              <w:rPr>
                <w:rFonts w:ascii="Calibri" w:cs="Calibri" w:eastAsia="Calibri" w:hAnsi="Calibri"/>
                <w:b/>
                <w:bCs/>
                <w:color w:val="1B3A6B"/>
                <w:sz w:val="20"/>
                <w:szCs w:val="20"/>
              </w:rPr>
              <w:t xml:space="preserve">3</w:t>
            </w:r>
          </w:p>
        </w:tc>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Calibri" w:cs="Calibri" w:eastAsia="Calibri" w:hAnsi="Calibri"/>
                <w:b/>
                <w:bCs/>
                <w:color w:val="1B3A6B"/>
                <w:sz w:val="20"/>
                <w:szCs w:val="20"/>
              </w:rPr>
              <w:t xml:space="preserve">Money Market &amp; FX Products for Platinum</w:t>
            </w:r>
          </w:p>
        </w:tc>
        <w:tc>
          <w:tcPr>
            <w:tcW w:type="dxa" w:w="47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alibri" w:cs="Calibri" w:eastAsia="Calibri" w:hAnsi="Calibri"/>
                <w:color w:val="3A3A3A"/>
                <w:sz w:val="20"/>
                <w:szCs w:val="20"/>
              </w:rPr>
              <w:t xml:space="preserve">Platinum clients prefer Checking over Saving (liquidity bias). Introduce High-Yield Savings and FX Structured Products to capture idle liquidity and raise yield for both client and bank.</w:t>
            </w:r>
          </w:p>
        </w:tc>
        <w:tc>
          <w:tcPr>
            <w:tcW w:type="dxa" w:w="1200"/>
            <w:tcBorders>
              <w:top w:val="single" w:color="CCCCCC" w:sz="1"/>
              <w:left w:val="single" w:color="CCCCCC" w:sz="1"/>
              <w:bottom w:val="single" w:color="CCCCCC" w:sz="1"/>
              <w:right w:val="single" w:color="CCCCCC" w:sz="1"/>
            </w:tcBorders>
            <w:shd w:fill="D6E8F7" w:val="clear"/>
            <w:tcMar>
              <w:top w:type="dxa" w:w="80"/>
              <w:left w:type="dxa" w:w="80"/>
              <w:bottom w:type="dxa" w:w="80"/>
              <w:right w:type="dxa" w:w="80"/>
            </w:tcMar>
            <w:vAlign w:val="center"/>
          </w:tcPr>
          <w:p>
            <w:pPr>
              <w:jc w:val="center"/>
            </w:pPr>
            <w:r>
              <w:rPr>
                <w:rFonts w:ascii="Calibri" w:cs="Calibri" w:eastAsia="Calibri" w:hAnsi="Calibri"/>
                <w:b/>
                <w:bCs/>
                <w:color w:val="C00000"/>
                <w:sz w:val="20"/>
                <w:szCs w:val="20"/>
              </w:rPr>
              <w:t xml:space="preserve">High</w:t>
            </w:r>
          </w:p>
        </w:tc>
        <w:tc>
          <w:tcPr>
            <w:tcW w:type="dxa" w:w="2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Calibri" w:cs="Calibri" w:eastAsia="Calibri" w:hAnsi="Calibri"/>
                <w:color w:val="666666"/>
                <w:sz w:val="20"/>
                <w:szCs w:val="20"/>
              </w:rPr>
              <w:t xml:space="preserve">Platinum (317 clients)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Calibri" w:cs="Calibri" w:eastAsia="Calibri" w:hAnsi="Calibri"/>
                <w:b/>
                <w:bCs/>
                <w:color w:val="1B3A6B"/>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B3A6B"/>
                <w:sz w:val="20"/>
                <w:szCs w:val="20"/>
              </w:rPr>
              <w:t xml:space="preserve">Female Client Credit Card Campaign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A3A3A"/>
                <w:sz w:val="20"/>
                <w:szCs w:val="20"/>
              </w:rPr>
              <w:t xml:space="preserve">Female clients underutilise Credit Cards relative to their loan volumes. A targeted card with daily-spend rewards (grocery, healthcare, education) is a direct and measurable revenue opportunity.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Calibri" w:cs="Calibri" w:eastAsia="Calibri" w:hAnsi="Calibri"/>
                <w:b/>
                <w:bCs/>
                <w:color w:val="C55A11"/>
                <w:sz w:val="20"/>
                <w:szCs w:val="20"/>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color w:val="666666"/>
                <w:sz w:val="20"/>
                <w:szCs w:val="20"/>
              </w:rPr>
              <w:t xml:space="preserve">All Female (1,512 clients)</w:t>
            </w:r>
          </w:p>
        </w:tc>
      </w:tr>
      <w:tr>
        <w:tc>
          <w:tcPr>
            <w:tcW w:type="dxa" w:w="400"/>
            <w:tcBorders>
              <w:top w:val="single" w:color="CCCCCC" w:sz="1"/>
              <w:left w:val="single" w:color="CCCCCC" w:sz="1"/>
              <w:bottom w:val="single" w:color="CCCCCC" w:sz="1"/>
              <w:right w:val="single" w:color="CCCCCC" w:sz="1"/>
            </w:tcBorders>
            <w:shd w:fill="D6E8F7" w:val="clear"/>
            <w:tcMar>
              <w:top w:type="dxa" w:w="80"/>
              <w:left w:type="dxa" w:w="80"/>
              <w:bottom w:type="dxa" w:w="80"/>
              <w:right w:type="dxa" w:w="80"/>
            </w:tcMar>
            <w:vAlign w:val="center"/>
          </w:tcPr>
          <w:p>
            <w:pPr>
              <w:jc w:val="center"/>
            </w:pPr>
            <w:r>
              <w:rPr>
                <w:rFonts w:ascii="Calibri" w:cs="Calibri" w:eastAsia="Calibri" w:hAnsi="Calibri"/>
                <w:b/>
                <w:bCs/>
                <w:color w:val="1B3A6B"/>
                <w:sz w:val="20"/>
                <w:szCs w:val="20"/>
              </w:rPr>
              <w:t xml:space="preserve">5</w:t>
            </w:r>
          </w:p>
        </w:tc>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Calibri" w:cs="Calibri" w:eastAsia="Calibri" w:hAnsi="Calibri"/>
                <w:b/>
                <w:bCs/>
                <w:color w:val="1B3A6B"/>
                <w:sz w:val="20"/>
                <w:szCs w:val="20"/>
              </w:rPr>
              <w:t xml:space="preserve">African &amp; American Relationship Management</w:t>
            </w:r>
          </w:p>
        </w:tc>
        <w:tc>
          <w:tcPr>
            <w:tcW w:type="dxa" w:w="47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alibri" w:cs="Calibri" w:eastAsia="Calibri" w:hAnsi="Calibri"/>
                <w:color w:val="3A3A3A"/>
                <w:sz w:val="20"/>
                <w:szCs w:val="20"/>
              </w:rPr>
              <w:t xml:space="preserve">African clients average $2.4M in Business Lending per client. Assign dedicated Relationship Managers to all African and American clients with balances above $1M to deepen engagement.</w:t>
            </w:r>
          </w:p>
        </w:tc>
        <w:tc>
          <w:tcPr>
            <w:tcW w:type="dxa" w:w="1200"/>
            <w:tcBorders>
              <w:top w:val="single" w:color="CCCCCC" w:sz="1"/>
              <w:left w:val="single" w:color="CCCCCC" w:sz="1"/>
              <w:bottom w:val="single" w:color="CCCCCC" w:sz="1"/>
              <w:right w:val="single" w:color="CCCCCC" w:sz="1"/>
            </w:tcBorders>
            <w:shd w:fill="D6E8F7" w:val="clear"/>
            <w:tcMar>
              <w:top w:type="dxa" w:w="80"/>
              <w:left w:type="dxa" w:w="80"/>
              <w:bottom w:type="dxa" w:w="80"/>
              <w:right w:type="dxa" w:w="80"/>
            </w:tcMar>
            <w:vAlign w:val="center"/>
          </w:tcPr>
          <w:p>
            <w:pPr>
              <w:jc w:val="center"/>
            </w:pPr>
            <w:r>
              <w:rPr>
                <w:rFonts w:ascii="Calibri" w:cs="Calibri" w:eastAsia="Calibri" w:hAnsi="Calibri"/>
                <w:b/>
                <w:bCs/>
                <w:color w:val="C55A11"/>
                <w:sz w:val="20"/>
                <w:szCs w:val="20"/>
              </w:rPr>
              <w:t xml:space="preserve">Medium</w:t>
            </w:r>
          </w:p>
        </w:tc>
        <w:tc>
          <w:tcPr>
            <w:tcW w:type="dxa" w:w="2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Calibri" w:cs="Calibri" w:eastAsia="Calibri" w:hAnsi="Calibri"/>
                <w:color w:val="666666"/>
                <w:sz w:val="20"/>
                <w:szCs w:val="20"/>
              </w:rPr>
              <w:t xml:space="preserve">African (176) &amp; American (507)</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Calibri" w:cs="Calibri" w:eastAsia="Calibri" w:hAnsi="Calibri"/>
                <w:b/>
                <w:bCs/>
                <w:color w:val="1B3A6B"/>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B3A6B"/>
                <w:sz w:val="20"/>
                <w:szCs w:val="20"/>
              </w:rPr>
              <w:t xml:space="preserve">Unified FX Campaign — Jade Tier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A3A3A"/>
                <w:sz w:val="20"/>
                <w:szCs w:val="20"/>
              </w:rPr>
              <w:t xml:space="preserve">A single gender-neutral FX campaign for Jade clients with a low entry threshold ($500) and a loyalty upgrade incentive. African and Asian sub-segments to be prioritised in the first phase.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Calibri" w:cs="Calibri" w:eastAsia="Calibri" w:hAnsi="Calibri"/>
                <w:b/>
                <w:bCs/>
                <w:color w:val="C55A11"/>
                <w:sz w:val="20"/>
                <w:szCs w:val="20"/>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color w:val="666666"/>
                <w:sz w:val="20"/>
                <w:szCs w:val="20"/>
              </w:rPr>
              <w:t xml:space="preserve">All Jade — all nationalities</w:t>
            </w:r>
          </w:p>
        </w:tc>
      </w:tr>
      <w:tr>
        <w:tc>
          <w:tcPr>
            <w:tcW w:type="dxa" w:w="400"/>
            <w:tcBorders>
              <w:top w:val="single" w:color="CCCCCC" w:sz="1"/>
              <w:left w:val="single" w:color="CCCCCC" w:sz="1"/>
              <w:bottom w:val="single" w:color="CCCCCC" w:sz="1"/>
              <w:right w:val="single" w:color="CCCCCC" w:sz="1"/>
            </w:tcBorders>
            <w:shd w:fill="D6E8F7" w:val="clear"/>
            <w:tcMar>
              <w:top w:type="dxa" w:w="80"/>
              <w:left w:type="dxa" w:w="80"/>
              <w:bottom w:type="dxa" w:w="80"/>
              <w:right w:type="dxa" w:w="80"/>
            </w:tcMar>
            <w:vAlign w:val="center"/>
          </w:tcPr>
          <w:p>
            <w:pPr>
              <w:jc w:val="center"/>
            </w:pPr>
            <w:r>
              <w:rPr>
                <w:rFonts w:ascii="Calibri" w:cs="Calibri" w:eastAsia="Calibri" w:hAnsi="Calibri"/>
                <w:b/>
                <w:bCs/>
                <w:color w:val="1B3A6B"/>
                <w:sz w:val="20"/>
                <w:szCs w:val="20"/>
              </w:rPr>
              <w:t xml:space="preserve">7</w:t>
            </w:r>
          </w:p>
        </w:tc>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Calibri" w:cs="Calibri" w:eastAsia="Calibri" w:hAnsi="Calibri"/>
                <w:b/>
                <w:bCs/>
                <w:color w:val="1B3A6B"/>
                <w:sz w:val="20"/>
                <w:szCs w:val="20"/>
              </w:rPr>
              <w:t xml:space="preserve">Private Bank Wealth Management</w:t>
            </w:r>
          </w:p>
        </w:tc>
        <w:tc>
          <w:tcPr>
            <w:tcW w:type="dxa" w:w="47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alibri" w:cs="Calibri" w:eastAsia="Calibri" w:hAnsi="Calibri"/>
                <w:color w:val="3A3A3A"/>
                <w:sz w:val="20"/>
                <w:szCs w:val="20"/>
              </w:rPr>
              <w:t xml:space="preserve">Private Bank clients generate the highest loan volumes by relationship type ($0.81bn). Expand Wealth Management, structured lending, and investment advisory services for this segment.</w:t>
            </w:r>
          </w:p>
        </w:tc>
        <w:tc>
          <w:tcPr>
            <w:tcW w:type="dxa" w:w="1200"/>
            <w:tcBorders>
              <w:top w:val="single" w:color="CCCCCC" w:sz="1"/>
              <w:left w:val="single" w:color="CCCCCC" w:sz="1"/>
              <w:bottom w:val="single" w:color="CCCCCC" w:sz="1"/>
              <w:right w:val="single" w:color="CCCCCC" w:sz="1"/>
            </w:tcBorders>
            <w:shd w:fill="D6E8F7" w:val="clear"/>
            <w:tcMar>
              <w:top w:type="dxa" w:w="80"/>
              <w:left w:type="dxa" w:w="80"/>
              <w:bottom w:type="dxa" w:w="80"/>
              <w:right w:type="dxa" w:w="80"/>
            </w:tcMar>
            <w:vAlign w:val="center"/>
          </w:tcPr>
          <w:p>
            <w:pPr>
              <w:jc w:val="center"/>
            </w:pPr>
            <w:r>
              <w:rPr>
                <w:rFonts w:ascii="Calibri" w:cs="Calibri" w:eastAsia="Calibri" w:hAnsi="Calibri"/>
                <w:b/>
                <w:bCs/>
                <w:color w:val="C55A11"/>
                <w:sz w:val="20"/>
                <w:szCs w:val="20"/>
              </w:rPr>
              <w:t xml:space="preserve">Medium</w:t>
            </w:r>
          </w:p>
        </w:tc>
        <w:tc>
          <w:tcPr>
            <w:tcW w:type="dxa" w:w="2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Calibri" w:cs="Calibri" w:eastAsia="Calibri" w:hAnsi="Calibri"/>
                <w:color w:val="666666"/>
                <w:sz w:val="20"/>
                <w:szCs w:val="20"/>
              </w:rPr>
              <w:t xml:space="preserve">Private Bank clients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Calibri" w:cs="Calibri" w:eastAsia="Calibri" w:hAnsi="Calibri"/>
                <w:b/>
                <w:bCs/>
                <w:color w:val="1B3A6B"/>
                <w:sz w:val="20"/>
                <w:szCs w:val="20"/>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B3A6B"/>
                <w:sz w:val="20"/>
                <w:szCs w:val="20"/>
              </w:rPr>
              <w:t xml:space="preserve">Fee Structure Review for Jade / High Fee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A3A3A"/>
                <w:sz w:val="20"/>
                <w:szCs w:val="20"/>
              </w:rPr>
              <w:t xml:space="preserve">Jade clients on a High Fee structure represent the highest attrition risk. Review whether the fee level is proportionate to the service received, and consider fee reductions as a loyalty upgrade incentive.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Calibri" w:cs="Calibri" w:eastAsia="Calibri" w:hAnsi="Calibri"/>
                <w:b/>
                <w:bCs/>
                <w:color w:val="C55A11"/>
                <w:sz w:val="20"/>
                <w:szCs w:val="20"/>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color w:val="666666"/>
                <w:sz w:val="20"/>
                <w:szCs w:val="20"/>
              </w:rPr>
              <w:t xml:space="preserve">Jade — High Fee clients</w:t>
            </w:r>
          </w:p>
        </w:tc>
      </w:tr>
      <w:tr>
        <w:tc>
          <w:tcPr>
            <w:tcW w:type="dxa" w:w="400"/>
            <w:tcBorders>
              <w:top w:val="single" w:color="CCCCCC" w:sz="1"/>
              <w:left w:val="single" w:color="CCCCCC" w:sz="1"/>
              <w:bottom w:val="single" w:color="CCCCCC" w:sz="1"/>
              <w:right w:val="single" w:color="CCCCCC" w:sz="1"/>
            </w:tcBorders>
            <w:shd w:fill="D6E8F7" w:val="clear"/>
            <w:tcMar>
              <w:top w:type="dxa" w:w="80"/>
              <w:left w:type="dxa" w:w="80"/>
              <w:bottom w:type="dxa" w:w="80"/>
              <w:right w:type="dxa" w:w="80"/>
            </w:tcMar>
            <w:vAlign w:val="center"/>
          </w:tcPr>
          <w:p>
            <w:pPr>
              <w:jc w:val="center"/>
            </w:pPr>
            <w:r>
              <w:rPr>
                <w:rFonts w:ascii="Calibri" w:cs="Calibri" w:eastAsia="Calibri" w:hAnsi="Calibri"/>
                <w:b/>
                <w:bCs/>
                <w:color w:val="1B3A6B"/>
                <w:sz w:val="20"/>
                <w:szCs w:val="20"/>
              </w:rPr>
              <w:t xml:space="preserve">9</w:t>
            </w:r>
          </w:p>
        </w:tc>
        <w:tc>
          <w:tcPr>
            <w:tcW w:type="dxa" w:w="28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Calibri" w:cs="Calibri" w:eastAsia="Calibri" w:hAnsi="Calibri"/>
                <w:b/>
                <w:bCs/>
                <w:color w:val="1B3A6B"/>
                <w:sz w:val="20"/>
                <w:szCs w:val="20"/>
              </w:rPr>
              <w:t xml:space="preserve">Geographic Diversification Strategy</w:t>
            </w:r>
          </w:p>
        </w:tc>
        <w:tc>
          <w:tcPr>
            <w:tcW w:type="dxa" w:w="47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alibri" w:cs="Calibri" w:eastAsia="Calibri" w:hAnsi="Calibri"/>
                <w:color w:val="3A3A3A"/>
                <w:sz w:val="20"/>
                <w:szCs w:val="20"/>
              </w:rPr>
              <w:t xml:space="preserve">European clients account for 43.6% of the portfolio — a concentration risk. Develop dedicated growth strategies for Australian (8.5%) and African (5.9%) segments to rebalance exposure.</w:t>
            </w:r>
          </w:p>
        </w:tc>
        <w:tc>
          <w:tcPr>
            <w:tcW w:type="dxa" w:w="1200"/>
            <w:tcBorders>
              <w:top w:val="single" w:color="CCCCCC" w:sz="1"/>
              <w:left w:val="single" w:color="CCCCCC" w:sz="1"/>
              <w:bottom w:val="single" w:color="CCCCCC" w:sz="1"/>
              <w:right w:val="single" w:color="CCCCCC" w:sz="1"/>
            </w:tcBorders>
            <w:shd w:fill="D6E8F7" w:val="clear"/>
            <w:tcMar>
              <w:top w:type="dxa" w:w="80"/>
              <w:left w:type="dxa" w:w="80"/>
              <w:bottom w:type="dxa" w:w="80"/>
              <w:right w:type="dxa" w:w="80"/>
            </w:tcMar>
            <w:vAlign w:val="center"/>
          </w:tcPr>
          <w:p>
            <w:pPr>
              <w:jc w:val="center"/>
            </w:pPr>
            <w:r>
              <w:rPr>
                <w:rFonts w:ascii="Calibri" w:cs="Calibri" w:eastAsia="Calibri" w:hAnsi="Calibri"/>
                <w:b/>
                <w:bCs/>
                <w:color w:val="375623"/>
                <w:sz w:val="20"/>
                <w:szCs w:val="20"/>
              </w:rPr>
              <w:t xml:space="preserve">Low</w:t>
            </w:r>
          </w:p>
        </w:tc>
        <w:tc>
          <w:tcPr>
            <w:tcW w:type="dxa" w:w="2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Calibri" w:cs="Calibri" w:eastAsia="Calibri" w:hAnsi="Calibri"/>
                <w:color w:val="666666"/>
                <w:sz w:val="20"/>
                <w:szCs w:val="20"/>
              </w:rPr>
              <w:t xml:space="preserve">Portfolio-wide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Calibri" w:cs="Calibri" w:eastAsia="Calibri" w:hAnsi="Calibri"/>
                <w:b/>
                <w:bCs/>
                <w:color w:val="1B3A6B"/>
                <w:sz w:val="20"/>
                <w:szCs w:val="20"/>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B3A6B"/>
                <w:sz w:val="20"/>
                <w:szCs w:val="20"/>
              </w:rPr>
              <w:t xml:space="preserve">High-Yield Savings Product — Portfolio-Wide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3A3A3A"/>
                <w:sz w:val="20"/>
                <w:szCs w:val="20"/>
              </w:rPr>
              <w:t xml:space="preserve">Checking balances exceed Saving balances across all segments and genders. A flexible High-Yield Savings product would convert idle liquidity into higher-margin deposits and improve client stickiness.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Calibri" w:cs="Calibri" w:eastAsia="Calibri" w:hAnsi="Calibri"/>
                <w:b/>
                <w:bCs/>
                <w:color w:val="375623"/>
                <w:sz w:val="20"/>
                <w:szCs w:val="20"/>
              </w:rPr>
              <w:t xml:space="preserve">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color w:val="666666"/>
                <w:sz w:val="20"/>
                <w:szCs w:val="20"/>
              </w:rPr>
              <w:t xml:space="preserve">All segments</w:t>
            </w:r>
          </w:p>
        </w:tc>
      </w:tr>
    </w:tbl>
    <w:p>
      <w:r>
        <w:br w:type="page"/>
      </w:r>
    </w:p>
    <w:p>
      <w:pPr>
        <w:pStyle w:val="Heading1"/>
        <w:shd w:fill="1B3A6B" w:val="clear"/>
        <w:spacing w:after="80" w:before="0"/>
        <w:ind w:left="180" w:right="180"/>
      </w:pPr>
      <w:r>
        <w:rPr>
          <w:rFonts w:ascii="Calibri" w:cs="Calibri" w:eastAsia="Calibri" w:hAnsi="Calibri"/>
          <w:b/>
          <w:bCs/>
          <w:color w:val="FFFFFF"/>
          <w:sz w:val="28"/>
          <w:szCs w:val="28"/>
        </w:rPr>
        <w:t xml:space="preserve">5.  Recommended Further Analysis</w:t>
      </w:r>
    </w:p>
    <w:p>
      <w:pPr>
        <w:spacing w:after="0" w:before="0"/>
      </w:pPr>
      <w:r>
        <w:t xml:space="preserve"/>
      </w:r>
    </w:p>
    <w:p>
      <w:pPr>
        <w:spacing w:after="60" w:before="40"/>
      </w:pPr>
      <w:r>
        <w:rPr>
          <w:rFonts w:ascii="Calibri" w:cs="Calibri" w:eastAsia="Calibri" w:hAnsi="Calibri"/>
          <w:color w:val="3A3A3A"/>
          <w:sz w:val="20"/>
          <w:szCs w:val="20"/>
        </w:rPr>
        <w:t xml:space="preserve">The following dashboard filters are recommended to validate and extend the findings of this report:</w:t>
      </w:r>
    </w:p>
    <w:p>
      <w:pPr>
        <w:spacing w:after="0" w:before="0"/>
      </w:pPr>
      <w:r>
        <w:t xml:space="preserve"/>
      </w:r>
    </w:p>
    <w:p>
      <w:pPr>
        <w:spacing w:after="60" w:before="180"/>
      </w:pPr>
      <w:r>
        <w:rPr>
          <w:rFonts w:ascii="Calibri" w:cs="Calibri" w:eastAsia="Calibri" w:hAnsi="Calibri"/>
          <w:b/>
          <w:bCs/>
          <w:color w:val="1B3A6B"/>
          <w:sz w:val="21"/>
          <w:szCs w:val="21"/>
        </w:rPr>
        <w:t xml:space="preserve">5.1  Pending Filter Views</w:t>
      </w:r>
    </w:p>
    <w:p>
      <w:pPr>
        <w:pStyle w:val="ListParagraph"/>
        <w:numPr>
          <w:ilvl w:val="0"/>
          <w:numId w:val="2"/>
        </w:numPr>
        <w:spacing w:after="30" w:before="30"/>
      </w:pPr>
      <w:r>
        <w:rPr>
          <w:rFonts w:ascii="Calibri" w:cs="Calibri" w:eastAsia="Calibri" w:hAnsi="Calibri"/>
          <w:b w:val="false"/>
          <w:bCs w:val="false"/>
          <w:color w:val="3A3A3A"/>
          <w:sz w:val="20"/>
          <w:szCs w:val="20"/>
        </w:rPr>
        <w:t xml:space="preserve">Loyalty = Platinum filtered on Loan Analysis — to determine whether Platinum clients are predominantly Bank Loan or Business Lending users, and to assess their fee tier distribution.</w:t>
      </w:r>
    </w:p>
    <w:p>
      <w:pPr>
        <w:pStyle w:val="ListParagraph"/>
        <w:numPr>
          <w:ilvl w:val="0"/>
          <w:numId w:val="2"/>
        </w:numPr>
        <w:spacing w:after="30" w:before="30"/>
      </w:pPr>
      <w:r>
        <w:rPr>
          <w:rFonts w:ascii="Calibri" w:cs="Calibri" w:eastAsia="Calibri" w:hAnsi="Calibri"/>
          <w:b w:val="false"/>
          <w:bCs w:val="false"/>
          <w:color w:val="3A3A3A"/>
          <w:sz w:val="20"/>
          <w:szCs w:val="20"/>
        </w:rPr>
        <w:t xml:space="preserve">Year range 2001–2005 filtered across all pages — to identify the period of fastest portfolio growth and the products that drove it.</w:t>
      </w:r>
    </w:p>
    <w:p>
      <w:pPr>
        <w:pStyle w:val="ListParagraph"/>
        <w:numPr>
          <w:ilvl w:val="0"/>
          <w:numId w:val="2"/>
        </w:numPr>
        <w:spacing w:after="30" w:before="30"/>
      </w:pPr>
      <w:r>
        <w:rPr>
          <w:rFonts w:ascii="Calibri" w:cs="Calibri" w:eastAsia="Calibri" w:hAnsi="Calibri"/>
          <w:b w:val="false"/>
          <w:bCs w:val="false"/>
          <w:color w:val="3A3A3A"/>
          <w:sz w:val="20"/>
          <w:szCs w:val="20"/>
        </w:rPr>
        <w:t xml:space="preserve">Risk Weighting compared across nationalities — to determine whether any nationality group carries a disproportionate credit risk concentration.</w:t>
      </w:r>
    </w:p>
    <w:p>
      <w:pPr>
        <w:pStyle w:val="ListParagraph"/>
        <w:numPr>
          <w:ilvl w:val="0"/>
          <w:numId w:val="2"/>
        </w:numPr>
        <w:spacing w:after="30" w:before="30"/>
      </w:pPr>
      <w:r>
        <w:rPr>
          <w:rFonts w:ascii="Calibri" w:cs="Calibri" w:eastAsia="Calibri" w:hAnsi="Calibri"/>
          <w:b w:val="false"/>
          <w:bCs w:val="false"/>
          <w:color w:val="3A3A3A"/>
          <w:sz w:val="20"/>
          <w:szCs w:val="20"/>
        </w:rPr>
        <w:t xml:space="preserve">Jade loyalty tier isolated on Loan Analysis (no gender filter) — to confirm the fee structure anomaly at the portfolio level.</w:t>
      </w:r>
    </w:p>
    <w:p>
      <w:pPr>
        <w:pStyle w:val="ListParagraph"/>
        <w:numPr>
          <w:ilvl w:val="0"/>
          <w:numId w:val="2"/>
        </w:numPr>
        <w:spacing w:after="30" w:before="30"/>
      </w:pPr>
      <w:r>
        <w:rPr>
          <w:rFonts w:ascii="Calibri" w:cs="Calibri" w:eastAsia="Calibri" w:hAnsi="Calibri"/>
          <w:b w:val="false"/>
          <w:bCs w:val="false"/>
          <w:color w:val="3A3A3A"/>
          <w:sz w:val="20"/>
          <w:szCs w:val="20"/>
        </w:rPr>
        <w:t xml:space="preserve">European clients filtered on Deposit Analysis — to understand the deposit composition of the largest nationality segment in detail.</w:t>
      </w:r>
    </w:p>
    <w:p>
      <w:pPr>
        <w:spacing w:after="0" w:before="0"/>
      </w:pPr>
      <w:r>
        <w:t xml:space="preserve"/>
      </w:r>
    </w:p>
    <w:p>
      <w:pPr>
        <w:spacing w:after="60" w:before="180"/>
      </w:pPr>
      <w:r>
        <w:rPr>
          <w:rFonts w:ascii="Calibri" w:cs="Calibri" w:eastAsia="Calibri" w:hAnsi="Calibri"/>
          <w:b/>
          <w:bCs/>
          <w:color w:val="1B3A6B"/>
          <w:sz w:val="21"/>
          <w:szCs w:val="21"/>
        </w:rPr>
        <w:t xml:space="preserve">5.2  Analytical Questions Requiring Additional Data</w:t>
      </w:r>
    </w:p>
    <w:p>
      <w:pPr>
        <w:pStyle w:val="ListParagraph"/>
        <w:numPr>
          <w:ilvl w:val="0"/>
          <w:numId w:val="2"/>
        </w:numPr>
        <w:spacing w:after="30" w:before="30"/>
      </w:pPr>
      <w:r>
        <w:rPr>
          <w:rFonts w:ascii="Calibri" w:cs="Calibri" w:eastAsia="Calibri" w:hAnsi="Calibri"/>
          <w:b w:val="false"/>
          <w:bCs w:val="false"/>
          <w:color w:val="3A3A3A"/>
          <w:sz w:val="20"/>
          <w:szCs w:val="20"/>
        </w:rPr>
        <w:t xml:space="preserve">What is the product tenure distribution within the Jade tier? Identifying long-tenure Jade clients who have never upgraded would sharpen the loyalty campaign targeting.</w:t>
      </w:r>
    </w:p>
    <w:p>
      <w:pPr>
        <w:pStyle w:val="ListParagraph"/>
        <w:numPr>
          <w:ilvl w:val="0"/>
          <w:numId w:val="2"/>
        </w:numPr>
        <w:spacing w:after="30" w:before="30"/>
      </w:pPr>
      <w:r>
        <w:rPr>
          <w:rFonts w:ascii="Calibri" w:cs="Calibri" w:eastAsia="Calibri" w:hAnsi="Calibri"/>
          <w:b w:val="false"/>
          <w:bCs w:val="false"/>
          <w:color w:val="3A3A3A"/>
          <w:sz w:val="20"/>
          <w:szCs w:val="20"/>
        </w:rPr>
        <w:t xml:space="preserve">Is there a correlation between Properties Owned and FX utilisation? Clients with multiple properties may have a natural FX hedging requirement.</w:t>
      </w:r>
    </w:p>
    <w:p>
      <w:pPr>
        <w:pStyle w:val="ListParagraph"/>
        <w:numPr>
          <w:ilvl w:val="0"/>
          <w:numId w:val="2"/>
        </w:numPr>
        <w:spacing w:after="30" w:before="30"/>
      </w:pPr>
      <w:r>
        <w:rPr>
          <w:rFonts w:ascii="Calibri" w:cs="Calibri" w:eastAsia="Calibri" w:hAnsi="Calibri"/>
          <w:b w:val="false"/>
          <w:bCs w:val="false"/>
          <w:color w:val="3A3A3A"/>
          <w:sz w:val="20"/>
          <w:szCs w:val="20"/>
        </w:rPr>
        <w:t xml:space="preserve">What is the attrition rate by loyalty tier? This data would quantify the financial impact of the Jade concentration risk.</w:t>
      </w:r>
    </w:p>
    <w:p>
      <w:pPr>
        <w:spacing w:after="0" w:before="0"/>
      </w:pPr>
      <w:r>
        <w:t xml:space="preserve"/>
      </w:r>
    </w:p>
    <w:p>
      <w:pPr>
        <w:pBdr>
          <w:bottom w:val="single" w:color="DDDDDD" w:sz="4" w:space="1"/>
        </w:pBdr>
        <w:spacing w:after="0" w:before="0"/>
      </w:pPr>
      <w:r>
        <w:t xml:space="preserve"/>
      </w:r>
    </w:p>
    <w:p>
      <w:pPr>
        <w:spacing w:after="0" w:before="0"/>
      </w:pPr>
      <w:r>
        <w:t xml:space="preserve"/>
      </w:r>
    </w:p>
    <w:p>
      <w:pPr>
        <w:spacing w:after="80" w:before="80"/>
        <w:jc w:val="center"/>
      </w:pPr>
      <w:r>
        <w:rPr>
          <w:rFonts w:ascii="Calibri" w:cs="Calibri" w:eastAsia="Calibri" w:hAnsi="Calibri"/>
          <w:i/>
          <w:iCs/>
          <w:color w:val="666666"/>
          <w:sz w:val="17"/>
          <w:szCs w:val="17"/>
        </w:rPr>
        <w:t xml:space="preserve">This report is intended for internal strategic use only. All figures are derived from dashboard data as at April 2026.</w:t>
      </w:r>
    </w:p>
    <w:p>
      <w:pPr>
        <w:spacing w:after="0" w:before="0"/>
        <w:jc w:val="center"/>
      </w:pPr>
      <w:r>
        <w:rPr>
          <w:rFonts w:ascii="Calibri" w:cs="Calibri" w:eastAsia="Calibri" w:hAnsi="Calibri"/>
          <w:i/>
          <w:iCs/>
          <w:color w:val="666666"/>
          <w:sz w:val="17"/>
          <w:szCs w:val="17"/>
        </w:rPr>
        <w:t xml:space="preserve">Banking Analytics Division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72C4" w:sz="4" w:space="1"/>
      </w:pBdr>
      <w:tabs>
        <w:tab w:val="right" w:pos="9026"/>
      </w:tabs>
      <w:spacing w:after="0" w:before="60"/>
    </w:pPr>
    <w:r>
      <w:rPr>
        <w:rFonts w:ascii="Calibri" w:cs="Calibri" w:eastAsia="Calibri" w:hAnsi="Calibri"/>
        <w:color w:val="666666"/>
        <w:sz w:val="16"/>
        <w:szCs w:val="16"/>
      </w:rPr>
      <w:t xml:space="preserve">For Internal Use Only</w:t>
    </w:r>
    <w:r>
      <w:rPr>
        <w:rFonts w:ascii="Calibri" w:cs="Calibri" w:eastAsia="Calibri" w:hAnsi="Calibri"/>
        <w:color w:val="666666"/>
        <w:sz w:val="16"/>
        <w:szCs w:val="16"/>
      </w:rPr>
      <w:t xml:space="preserve">	Page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4" w:space="1"/>
      </w:pBdr>
      <w:tabs>
        <w:tab w:val="right" w:pos="9026"/>
      </w:tabs>
      <w:spacing w:after="60" w:before="0"/>
    </w:pPr>
    <w:r>
      <w:rPr>
        <w:rFonts w:ascii="Calibri" w:cs="Calibri" w:eastAsia="Calibri" w:hAnsi="Calibri"/>
        <w:color w:val="666666"/>
        <w:sz w:val="16"/>
        <w:szCs w:val="16"/>
      </w:rPr>
      <w:t xml:space="preserve">Banking Dashboard — Strategic Analysis Report</w:t>
    </w:r>
    <w:r>
      <w:rPr>
        <w:rFonts w:ascii="Calibri" w:cs="Calibri" w:eastAsia="Calibri" w:hAnsi="Calibri"/>
        <w:color w:val="666666"/>
        <w:sz w:val="16"/>
        <w:szCs w:val="16"/>
      </w:rPr>
      <w:t xml:space="preserve">	Confidential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Calibri" w:cs="Calibri" w:eastAsia="Calibri" w:hAnsi="Calibri"/>
      <w:b/>
      <w:bCs/>
      <w:color w:val="FFFFFF"/>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2026-04-05T19:37:52.776Z</dcterms:created>
  <dcterms:modified xsi:type="dcterms:W3CDTF">2026-04-05T19:37:52.776Z</dcterms:modified>
</cp:coreProperties>
</file>

<file path=docProps/custom.xml><?xml version="1.0" encoding="utf-8"?>
<Properties xmlns="http://schemas.openxmlformats.org/officeDocument/2006/custom-properties" xmlns:vt="http://schemas.openxmlformats.org/officeDocument/2006/docPropsVTypes"/>
</file>