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3B77E" w14:textId="77777777" w:rsidR="005134A1" w:rsidRDefault="00000000">
      <w:r>
        <w:rPr>
          <w:noProof/>
        </w:rPr>
        <w:drawing>
          <wp:anchor distT="0" distB="0" distL="0" distR="0" simplePos="0" relativeHeight="251657216" behindDoc="1" locked="0" layoutInCell="1" allowOverlap="1" wp14:anchorId="06F60E42" wp14:editId="288DC00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32C0C" w14:textId="77777777" w:rsidR="005134A1" w:rsidRDefault="005134A1">
      <w:pPr>
        <w:spacing w:before="5000"/>
      </w:pPr>
    </w:p>
    <w:p w14:paraId="134DA8F2" w14:textId="139F4D0A" w:rsidR="005134A1" w:rsidRDefault="00DF63EB">
      <w:pPr>
        <w:ind w:left="1200" w:right="1200"/>
      </w:pPr>
      <w:r>
        <w:rPr>
          <w:rFonts w:hint="cs"/>
          <w:b/>
          <w:color w:val="FFFFFF"/>
          <w:sz w:val="80"/>
          <w:rtl/>
        </w:rPr>
        <w:t xml:space="preserve">     </w:t>
      </w:r>
      <w:r>
        <w:rPr>
          <w:b/>
          <w:color w:val="FFFFFF"/>
          <w:sz w:val="80"/>
        </w:rPr>
        <w:t>BANKING</w:t>
      </w:r>
    </w:p>
    <w:p w14:paraId="255704A3" w14:textId="2356E1DF" w:rsidR="005134A1" w:rsidRDefault="00DF63EB">
      <w:pPr>
        <w:spacing w:after="400"/>
        <w:ind w:left="1200" w:right="1200"/>
      </w:pPr>
      <w:r>
        <w:rPr>
          <w:rFonts w:hint="cs"/>
          <w:b/>
          <w:color w:val="FFFFFF"/>
          <w:sz w:val="80"/>
          <w:rtl/>
        </w:rPr>
        <w:t xml:space="preserve">     </w:t>
      </w:r>
      <w:r>
        <w:rPr>
          <w:b/>
          <w:color w:val="FFFFFF"/>
          <w:sz w:val="80"/>
        </w:rPr>
        <w:t>ANALYSIS REPORT</w:t>
      </w:r>
    </w:p>
    <w:p w14:paraId="1659A7F3" w14:textId="77777777" w:rsidR="005134A1" w:rsidRDefault="00000000">
      <w:pPr>
        <w:spacing w:after="3000"/>
        <w:ind w:left="1200" w:right="1200"/>
      </w:pPr>
      <w:r>
        <w:rPr>
          <w:color w:val="ED8936"/>
          <w:spacing w:val="30"/>
          <w:sz w:val="28"/>
        </w:rPr>
        <w:t>Comprehensive Insights &amp; Strategic Recommendations</w:t>
      </w:r>
    </w:p>
    <w:p w14:paraId="088CDABD" w14:textId="167D4D9B" w:rsidR="005134A1" w:rsidRPr="00DF63EB" w:rsidRDefault="00000000">
      <w:pPr>
        <w:spacing w:after="80"/>
        <w:ind w:left="1200"/>
        <w:rPr>
          <w:color w:val="A0AEC0"/>
        </w:rPr>
      </w:pPr>
      <w:r>
        <w:rPr>
          <w:color w:val="A0AEC0"/>
        </w:rPr>
        <w:t>Period: 1995-</w:t>
      </w:r>
      <w:r w:rsidR="00DF63EB" w:rsidRPr="00DF63EB">
        <w:rPr>
          <w:rFonts w:cs="Calibri"/>
          <w:color w:val="A0AEC0"/>
          <w:szCs w:val="22"/>
          <w:rtl/>
        </w:rPr>
        <w:t>2021</w:t>
      </w:r>
    </w:p>
    <w:p w14:paraId="1EB046C0" w14:textId="77777777" w:rsidR="005134A1" w:rsidRDefault="00000000">
      <w:pPr>
        <w:spacing w:after="80"/>
        <w:ind w:left="1200"/>
      </w:pPr>
      <w:r>
        <w:rPr>
          <w:color w:val="A0AEC0"/>
        </w:rPr>
        <w:t>Customer Base: 3,000 Clients</w:t>
      </w:r>
    </w:p>
    <w:p w14:paraId="6B96EF2A" w14:textId="77777777" w:rsidR="005134A1" w:rsidRDefault="00000000">
      <w:pPr>
        <w:ind w:left="1200"/>
      </w:pPr>
      <w:r>
        <w:rPr>
          <w:color w:val="718096"/>
          <w:sz w:val="20"/>
        </w:rPr>
        <w:t>Confidential - Internal Use Only</w:t>
      </w:r>
    </w:p>
    <w:p w14:paraId="18622009" w14:textId="77777777" w:rsidR="005134A1" w:rsidRDefault="005134A1">
      <w:pPr>
        <w:sectPr w:rsidR="005134A1">
          <w:pgSz w:w="11906" w:h="16838"/>
          <w:pgMar w:top="0" w:right="0" w:bottom="0" w:left="0" w:header="0" w:footer="0" w:gutter="0"/>
          <w:cols w:space="720"/>
        </w:sectPr>
      </w:pPr>
    </w:p>
    <w:p w14:paraId="0773C3D4" w14:textId="77777777" w:rsidR="005134A1" w:rsidRDefault="00000000">
      <w:pPr>
        <w:pStyle w:val="Heading1"/>
      </w:pPr>
      <w:bookmarkStart w:id="0" w:name="_Toc000"/>
      <w:bookmarkStart w:id="1" w:name="_Toc226309690"/>
      <w:r>
        <w:lastRenderedPageBreak/>
        <w:t>Table of Contents</w:t>
      </w:r>
      <w:bookmarkEnd w:id="0"/>
      <w:bookmarkEnd w:id="1"/>
    </w:p>
    <w:p w14:paraId="7F2C4539" w14:textId="77777777" w:rsidR="005134A1" w:rsidRDefault="00000000">
      <w:pPr>
        <w:spacing w:after="300"/>
      </w:pPr>
      <w:r>
        <w:rPr>
          <w:color w:val="718096"/>
          <w:sz w:val="18"/>
        </w:rPr>
        <w:t>Right-click the TOC and select "Update Field" to refresh page numbers</w:t>
      </w:r>
    </w:p>
    <w:p w14:paraId="60689829" w14:textId="5F379515" w:rsidR="00DF63EB" w:rsidRDefault="00000000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309690" w:history="1">
        <w:r w:rsidR="00DF63EB" w:rsidRPr="00C31E95">
          <w:rPr>
            <w:rStyle w:val="Hyperlink"/>
            <w:noProof/>
          </w:rPr>
          <w:t>Table of Contents</w:t>
        </w:r>
      </w:hyperlink>
    </w:p>
    <w:p w14:paraId="27A251DC" w14:textId="76298281" w:rsidR="00DF63EB" w:rsidRDefault="00DF63EB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6309691" w:history="1">
        <w:r w:rsidRPr="00C31E95">
          <w:rPr>
            <w:rStyle w:val="Hyperlink"/>
            <w:noProof/>
          </w:rPr>
          <w:t>1. Executive Summary</w:t>
        </w:r>
        <w:r>
          <w:rPr>
            <w:noProof/>
            <w:webHidden/>
          </w:rPr>
          <w:tab/>
        </w:r>
        <w:r>
          <w:rPr>
            <w:rFonts w:hint="cs"/>
            <w:noProof/>
            <w:webHidden/>
            <w:rtl/>
          </w:rPr>
          <w:t xml:space="preserve"> </w:t>
        </w:r>
        <w:r w:rsidR="00657BD2" w:rsidRPr="00657BD2">
          <w:rPr>
            <w:noProof/>
            <w:webHidden/>
            <w:color w:val="auto"/>
            <w:szCs w:val="22"/>
          </w:rPr>
          <w:t>3</w:t>
        </w:r>
      </w:hyperlink>
    </w:p>
    <w:p w14:paraId="6DF896AC" w14:textId="29E6A8FB" w:rsidR="00DF63EB" w:rsidRDefault="00DF63EB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6309694" w:history="1">
        <w:r w:rsidRPr="00C31E95">
          <w:rPr>
            <w:rStyle w:val="Hyperlink"/>
            <w:noProof/>
          </w:rPr>
          <w:t>2. Key Business Insights &amp; Strategic Implications</w:t>
        </w:r>
        <w:r>
          <w:rPr>
            <w:noProof/>
            <w:webHidden/>
          </w:rPr>
          <w:tab/>
        </w:r>
        <w:r w:rsidR="00657BD2" w:rsidRPr="00657BD2">
          <w:rPr>
            <w:rFonts w:cs="Calibri"/>
            <w:noProof/>
            <w:webHidden/>
            <w:color w:val="auto"/>
            <w:szCs w:val="22"/>
          </w:rPr>
          <w:t>4</w:t>
        </w:r>
      </w:hyperlink>
    </w:p>
    <w:p w14:paraId="698C5D6F" w14:textId="7D4C731B" w:rsidR="00DF63EB" w:rsidRPr="00DF63EB" w:rsidRDefault="00DF63EB" w:rsidP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695" w:history="1">
        <w:r w:rsidRPr="00C31E95">
          <w:rPr>
            <w:rStyle w:val="Hyperlink"/>
            <w:noProof/>
          </w:rPr>
          <w:t>2.1 Customer Concentration Risk (European Dominance)</w:t>
        </w:r>
        <w:r>
          <w:rPr>
            <w:noProof/>
            <w:webHidden/>
          </w:rPr>
          <w:tab/>
        </w:r>
        <w:r w:rsidR="00657BD2">
          <w:rPr>
            <w:rFonts w:cs="Calibri"/>
            <w:b/>
            <w:bCs/>
            <w:noProof/>
            <w:webHidden/>
            <w:color w:val="auto"/>
            <w:szCs w:val="22"/>
          </w:rPr>
          <w:t>4</w:t>
        </w:r>
      </w:hyperlink>
    </w:p>
    <w:p w14:paraId="48E96409" w14:textId="15531EAB" w:rsidR="00DF63EB" w:rsidRDefault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700" w:history="1">
        <w:r w:rsidRPr="00C31E95">
          <w:rPr>
            <w:rStyle w:val="Hyperlink"/>
            <w:noProof/>
          </w:rPr>
          <w:t>2.2 Ineffective Loyalty System (Jade Overconcentration)</w:t>
        </w:r>
        <w:r>
          <w:rPr>
            <w:noProof/>
            <w:webHidden/>
          </w:rPr>
          <w:tab/>
        </w:r>
        <w:r w:rsidR="00657BD2">
          <w:rPr>
            <w:rFonts w:cs="Calibri"/>
            <w:b/>
            <w:bCs/>
            <w:noProof/>
            <w:webHidden/>
            <w:color w:val="auto"/>
            <w:szCs w:val="22"/>
          </w:rPr>
          <w:t>5</w:t>
        </w:r>
      </w:hyperlink>
    </w:p>
    <w:p w14:paraId="56B44803" w14:textId="2562F8E9" w:rsidR="00DF63EB" w:rsidRDefault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704" w:history="1">
        <w:r w:rsidRPr="00C31E95">
          <w:rPr>
            <w:rStyle w:val="Hyperlink"/>
            <w:noProof/>
          </w:rPr>
          <w:t>2.3 Over-Reliance on High Fee Structure</w:t>
        </w:r>
        <w:r>
          <w:rPr>
            <w:noProof/>
            <w:webHidden/>
          </w:rPr>
          <w:tab/>
        </w:r>
        <w:r w:rsidR="00657BD2">
          <w:rPr>
            <w:rFonts w:cs="Calibri"/>
            <w:b/>
            <w:bCs/>
            <w:noProof/>
            <w:webHidden/>
            <w:color w:val="auto"/>
            <w:szCs w:val="22"/>
          </w:rPr>
          <w:t>6</w:t>
        </w:r>
      </w:hyperlink>
    </w:p>
    <w:p w14:paraId="7236888B" w14:textId="05899C4B" w:rsidR="00DF63EB" w:rsidRDefault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708" w:history="1">
        <w:r w:rsidRPr="00C31E95">
          <w:rPr>
            <w:rStyle w:val="Hyperlink"/>
            <w:noProof/>
          </w:rPr>
          <w:t>2.4 Underdeveloped Cross-Selling (Credit Cards)</w:t>
        </w:r>
        <w:r>
          <w:rPr>
            <w:noProof/>
            <w:webHidden/>
          </w:rPr>
          <w:tab/>
        </w:r>
        <w:r w:rsidR="00657BD2" w:rsidRPr="00657BD2">
          <w:rPr>
            <w:b/>
            <w:bCs/>
            <w:noProof/>
            <w:webHidden/>
            <w:color w:val="auto"/>
          </w:rPr>
          <w:t>7</w:t>
        </w:r>
      </w:hyperlink>
    </w:p>
    <w:p w14:paraId="7B1478E5" w14:textId="55563B04" w:rsidR="00DF63EB" w:rsidRDefault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711" w:history="1">
        <w:r w:rsidRPr="00C31E95">
          <w:rPr>
            <w:rStyle w:val="Hyperlink"/>
            <w:noProof/>
          </w:rPr>
          <w:t>2.5 High-Value Segments Underutilized (Asian &amp; African Clients)</w:t>
        </w:r>
        <w:r>
          <w:rPr>
            <w:noProof/>
            <w:webHidden/>
          </w:rPr>
          <w:tab/>
        </w:r>
        <w:r w:rsidR="00657BD2" w:rsidRPr="00657BD2">
          <w:rPr>
            <w:b/>
            <w:bCs/>
            <w:noProof/>
            <w:webHidden/>
            <w:color w:val="auto"/>
          </w:rPr>
          <w:t>8</w:t>
        </w:r>
      </w:hyperlink>
    </w:p>
    <w:p w14:paraId="1A07B022" w14:textId="1FC2CCBA" w:rsidR="00DF63EB" w:rsidRDefault="00DF63EB">
      <w:pPr>
        <w:pStyle w:val="TOC2"/>
        <w:rPr>
          <w:rFonts w:asciiTheme="minorHAnsi" w:eastAsiaTheme="minorEastAsia" w:hAnsiTheme="minorHAnsi"/>
          <w:noProof/>
          <w:color w:val="auto"/>
          <w:sz w:val="24"/>
        </w:rPr>
      </w:pPr>
      <w:hyperlink w:anchor="_Toc226309714" w:history="1">
        <w:r w:rsidRPr="00C31E95">
          <w:rPr>
            <w:rStyle w:val="Hyperlink"/>
            <w:noProof/>
          </w:rPr>
          <w:t>2.6 Private Banking: High Value, Low Focus</w:t>
        </w:r>
        <w:r>
          <w:rPr>
            <w:noProof/>
            <w:webHidden/>
          </w:rPr>
          <w:tab/>
        </w:r>
        <w:r w:rsidR="00657BD2" w:rsidRPr="00657BD2">
          <w:rPr>
            <w:b/>
            <w:bCs/>
            <w:noProof/>
            <w:webHidden/>
            <w:color w:val="auto"/>
          </w:rPr>
          <w:t>8</w:t>
        </w:r>
      </w:hyperlink>
    </w:p>
    <w:p w14:paraId="1EC986D1" w14:textId="0AC91A21" w:rsidR="00DF63EB" w:rsidRDefault="00DF63EB" w:rsidP="00657BD2">
      <w:pPr>
        <w:pStyle w:val="TOC1"/>
        <w:rPr>
          <w:rFonts w:asciiTheme="minorHAnsi" w:eastAsiaTheme="minorEastAsia" w:hAnsiTheme="minorHAnsi"/>
          <w:b w:val="0"/>
          <w:noProof/>
          <w:color w:val="auto"/>
          <w:sz w:val="24"/>
        </w:rPr>
      </w:pPr>
      <w:hyperlink w:anchor="_Toc226309717" w:history="1">
        <w:r w:rsidRPr="00C31E95">
          <w:rPr>
            <w:rStyle w:val="Hyperlink"/>
            <w:noProof/>
          </w:rPr>
          <w:t>3. Strategic Priorities (Top 3 Actions)</w:t>
        </w:r>
        <w:r>
          <w:rPr>
            <w:noProof/>
            <w:webHidden/>
          </w:rPr>
          <w:tab/>
        </w:r>
        <w:r w:rsidR="00657BD2">
          <w:rPr>
            <w:noProof/>
            <w:webHidden/>
          </w:rPr>
          <w:t>9</w:t>
        </w:r>
      </w:hyperlink>
    </w:p>
    <w:p w14:paraId="3445CB61" w14:textId="77777777" w:rsidR="005134A1" w:rsidRDefault="00000000">
      <w:r>
        <w:fldChar w:fldCharType="end"/>
      </w:r>
    </w:p>
    <w:p w14:paraId="74981EB4" w14:textId="77777777" w:rsidR="005134A1" w:rsidRDefault="005134A1">
      <w:pPr>
        <w:sectPr w:rsidR="005134A1">
          <w:pgSz w:w="11906" w:h="16838"/>
          <w:pgMar w:top="1800" w:right="1440" w:bottom="1440" w:left="1440" w:header="720" w:footer="720" w:gutter="0"/>
          <w:cols w:space="720"/>
        </w:sectPr>
      </w:pPr>
    </w:p>
    <w:p w14:paraId="0ADED0C3" w14:textId="77777777" w:rsidR="005134A1" w:rsidRDefault="00000000">
      <w:pPr>
        <w:pStyle w:val="Heading1"/>
      </w:pPr>
      <w:bookmarkStart w:id="2" w:name="_Toc001"/>
      <w:bookmarkStart w:id="3" w:name="_Toc226309691"/>
      <w:r>
        <w:lastRenderedPageBreak/>
        <w:t>1. Executive Summary</w:t>
      </w:r>
      <w:bookmarkEnd w:id="2"/>
      <w:bookmarkEnd w:id="3"/>
    </w:p>
    <w:p w14:paraId="20FB7593" w14:textId="4C4896DE" w:rsidR="005134A1" w:rsidRDefault="00000000">
      <w:r>
        <w:t>This analysis reveals that the bank operates with</w:t>
      </w:r>
      <w:r w:rsidR="00DF63EB">
        <w:rPr>
          <w:rFonts w:hint="cs"/>
          <w:rtl/>
        </w:rPr>
        <w:t xml:space="preserve"> </w:t>
      </w:r>
      <w:r>
        <w:rPr>
          <w:b/>
          <w:color w:val="38A169"/>
        </w:rPr>
        <w:t>strong revenue-generating segments</w:t>
      </w:r>
      <w:r w:rsidR="00DF63EB">
        <w:rPr>
          <w:rFonts w:hint="cs"/>
          <w:b/>
          <w:color w:val="38A169"/>
          <w:rtl/>
        </w:rPr>
        <w:t xml:space="preserve"> </w:t>
      </w:r>
      <w:r>
        <w:t>but</w:t>
      </w:r>
      <w:r w:rsidR="00DF63EB">
        <w:rPr>
          <w:rFonts w:hint="cs"/>
          <w:rtl/>
        </w:rPr>
        <w:t xml:space="preserve"> </w:t>
      </w:r>
      <w:r>
        <w:rPr>
          <w:b/>
          <w:color w:val="E53E3E"/>
        </w:rPr>
        <w:t>weak structural optimization</w:t>
      </w:r>
      <w:r>
        <w:t>.</w:t>
      </w:r>
    </w:p>
    <w:p w14:paraId="69DA4CBC" w14:textId="77777777" w:rsidR="005134A1" w:rsidRDefault="00000000">
      <w:pPr>
        <w:pStyle w:val="Heading3"/>
      </w:pPr>
      <w:bookmarkStart w:id="4" w:name="_Toc226309692"/>
      <w:r>
        <w:t>Strengths</w:t>
      </w:r>
      <w:bookmarkEnd w:id="4"/>
    </w:p>
    <w:p w14:paraId="76BEBB4F" w14:textId="77777777" w:rsidR="005134A1" w:rsidRDefault="00000000">
      <w:pPr>
        <w:numPr>
          <w:ilvl w:val="0"/>
          <w:numId w:val="2"/>
        </w:numPr>
      </w:pPr>
      <w:r>
        <w:t>Healthy deposit-to-loan balance</w:t>
      </w:r>
    </w:p>
    <w:p w14:paraId="0E24BEF0" w14:textId="77777777" w:rsidR="005134A1" w:rsidRDefault="00000000">
      <w:pPr>
        <w:numPr>
          <w:ilvl w:val="0"/>
          <w:numId w:val="2"/>
        </w:numPr>
      </w:pPr>
      <w:r>
        <w:t>High-value customer pockets (Asian, African, Private Banking)</w:t>
      </w:r>
    </w:p>
    <w:p w14:paraId="32BDACC5" w14:textId="77777777" w:rsidR="005134A1" w:rsidRDefault="00000000">
      <w:pPr>
        <w:pStyle w:val="Heading3"/>
      </w:pPr>
      <w:bookmarkStart w:id="5" w:name="_Toc226309693"/>
      <w:r>
        <w:t>Key Challenges</w:t>
      </w:r>
      <w:bookmarkEnd w:id="5"/>
    </w:p>
    <w:p w14:paraId="3199C228" w14:textId="77777777" w:rsidR="005134A1" w:rsidRDefault="00000000">
      <w:pPr>
        <w:numPr>
          <w:ilvl w:val="0"/>
          <w:numId w:val="2"/>
        </w:numPr>
      </w:pPr>
      <w:r>
        <w:t>Severe customer concentration risk</w:t>
      </w:r>
    </w:p>
    <w:p w14:paraId="72BA4208" w14:textId="77777777" w:rsidR="005134A1" w:rsidRDefault="00000000">
      <w:pPr>
        <w:numPr>
          <w:ilvl w:val="0"/>
          <w:numId w:val="2"/>
        </w:numPr>
      </w:pPr>
      <w:r>
        <w:t>Ineffective loyalty system</w:t>
      </w:r>
    </w:p>
    <w:p w14:paraId="6E843460" w14:textId="77777777" w:rsidR="005134A1" w:rsidRDefault="00000000">
      <w:pPr>
        <w:numPr>
          <w:ilvl w:val="0"/>
          <w:numId w:val="2"/>
        </w:numPr>
      </w:pPr>
      <w:r>
        <w:t>Underutilized cross-selling opportunities</w:t>
      </w:r>
    </w:p>
    <w:p w14:paraId="60DA304C" w14:textId="77777777" w:rsidR="005134A1" w:rsidRDefault="00000000">
      <w:pPr>
        <w:numPr>
          <w:ilvl w:val="0"/>
          <w:numId w:val="2"/>
        </w:numPr>
      </w:pPr>
      <w:r>
        <w:t>Over-reliance on fee-based revenue</w:t>
      </w:r>
    </w:p>
    <w:p w14:paraId="2D7BC354" w14:textId="77777777" w:rsidR="005134A1" w:rsidRDefault="00000000">
      <w:pPr>
        <w:pBdr>
          <w:left w:val="single" w:sz="24" w:space="10" w:color="ED8936"/>
        </w:pBdr>
        <w:shd w:val="clear" w:color="auto" w:fill="FFFAF0"/>
        <w:spacing w:before="240" w:after="240"/>
        <w:ind w:left="360" w:right="360"/>
      </w:pPr>
      <w:r>
        <w:rPr>
          <w:i/>
        </w:rPr>
        <w:t>The core issue is clear: The bank has customers, but it is not fully maximizing Customer Lifetime Value (CLV).</w:t>
      </w:r>
    </w:p>
    <w:p w14:paraId="000140B1" w14:textId="77777777" w:rsidR="005134A1" w:rsidRDefault="00000000">
      <w:r>
        <w:br w:type="page"/>
      </w:r>
    </w:p>
    <w:p w14:paraId="4B1B6B3D" w14:textId="77777777" w:rsidR="005134A1" w:rsidRDefault="00000000">
      <w:pPr>
        <w:pStyle w:val="Heading1"/>
      </w:pPr>
      <w:bookmarkStart w:id="6" w:name="_Toc002"/>
      <w:bookmarkStart w:id="7" w:name="_Toc226309694"/>
      <w:r>
        <w:lastRenderedPageBreak/>
        <w:t>2. Key Business Insights &amp; Strategic Implications</w:t>
      </w:r>
      <w:bookmarkEnd w:id="6"/>
      <w:bookmarkEnd w:id="7"/>
    </w:p>
    <w:p w14:paraId="75EDF20D" w14:textId="77777777" w:rsidR="005134A1" w:rsidRDefault="00000000">
      <w:pPr>
        <w:pStyle w:val="Heading2"/>
      </w:pPr>
      <w:bookmarkStart w:id="8" w:name="_Toc226309695"/>
      <w:r>
        <w:t>2.1 Customer Concentration Risk (European Dominance)</w:t>
      </w:r>
      <w:bookmarkEnd w:id="8"/>
    </w:p>
    <w:p w14:paraId="446BE431" w14:textId="77777777" w:rsidR="005134A1" w:rsidRDefault="00000000">
      <w:pPr>
        <w:pStyle w:val="Heading3"/>
      </w:pPr>
      <w:bookmarkStart w:id="9" w:name="_Toc226309696"/>
      <w:r>
        <w:t>Insight</w:t>
      </w:r>
      <w:bookmarkEnd w:id="9"/>
    </w:p>
    <w:p w14:paraId="7A1E1539" w14:textId="52BCF4B8" w:rsidR="005134A1" w:rsidRDefault="00000000">
      <w:r>
        <w:t>European clients represent</w:t>
      </w:r>
      <w:r w:rsidR="00DF63EB">
        <w:rPr>
          <w:rFonts w:hint="cs"/>
          <w:rtl/>
        </w:rPr>
        <w:t xml:space="preserve"> </w:t>
      </w:r>
      <w:r>
        <w:rPr>
          <w:b/>
        </w:rPr>
        <w:t>43.6% of the total customer base</w:t>
      </w:r>
      <w:r w:rsidR="00DF63EB">
        <w:rPr>
          <w:rFonts w:hint="cs"/>
          <w:b/>
          <w:rtl/>
        </w:rPr>
        <w:t xml:space="preserve"> </w:t>
      </w:r>
      <w:r>
        <w:t>and dominate both loans and deposits.</w:t>
      </w:r>
    </w:p>
    <w:p w14:paraId="6F211B59" w14:textId="77777777" w:rsidR="005134A1" w:rsidRDefault="00000000">
      <w:pPr>
        <w:pStyle w:val="Heading3"/>
      </w:pPr>
      <w:bookmarkStart w:id="10" w:name="_Toc226309697"/>
      <w:r>
        <w:t>Root Cause</w:t>
      </w:r>
      <w:bookmarkEnd w:id="10"/>
    </w:p>
    <w:p w14:paraId="6423180C" w14:textId="77777777" w:rsidR="005134A1" w:rsidRDefault="00000000">
      <w:pPr>
        <w:numPr>
          <w:ilvl w:val="0"/>
          <w:numId w:val="2"/>
        </w:numPr>
      </w:pPr>
      <w:r>
        <w:t>Historical market focus or geographic specialization</w:t>
      </w:r>
    </w:p>
    <w:p w14:paraId="315E61CC" w14:textId="77777777" w:rsidR="005134A1" w:rsidRDefault="00000000">
      <w:pPr>
        <w:numPr>
          <w:ilvl w:val="0"/>
          <w:numId w:val="2"/>
        </w:numPr>
      </w:pPr>
      <w:r>
        <w:t>Product-market fit skewed toward European clients</w:t>
      </w:r>
    </w:p>
    <w:p w14:paraId="0CDA95FF" w14:textId="77777777" w:rsidR="005134A1" w:rsidRDefault="00000000">
      <w:pPr>
        <w:pStyle w:val="Heading3"/>
      </w:pPr>
      <w:bookmarkStart w:id="11" w:name="_Toc226309698"/>
      <w:r>
        <w:t>Business Impact</w:t>
      </w:r>
      <w:bookmarkEnd w:id="11"/>
    </w:p>
    <w:p w14:paraId="38B904AB" w14:textId="77777777" w:rsidR="005134A1" w:rsidRDefault="00000000">
      <w:pPr>
        <w:numPr>
          <w:ilvl w:val="0"/>
          <w:numId w:val="2"/>
        </w:numPr>
      </w:pPr>
      <w:r>
        <w:t>High exposure to macroeconomic or regional risks</w:t>
      </w:r>
    </w:p>
    <w:p w14:paraId="2CF4F455" w14:textId="77777777" w:rsidR="005134A1" w:rsidRDefault="00000000">
      <w:pPr>
        <w:numPr>
          <w:ilvl w:val="0"/>
          <w:numId w:val="2"/>
        </w:numPr>
      </w:pPr>
      <w:r>
        <w:t>Limited scalability due to segment saturation</w:t>
      </w:r>
    </w:p>
    <w:p w14:paraId="4C4E1D0C" w14:textId="77777777" w:rsidR="005134A1" w:rsidRDefault="00000000">
      <w:pPr>
        <w:numPr>
          <w:ilvl w:val="0"/>
          <w:numId w:val="2"/>
        </w:numPr>
      </w:pPr>
      <w:r>
        <w:t>Reduced portfolio resilience</w:t>
      </w:r>
    </w:p>
    <w:p w14:paraId="6BBD29BA" w14:textId="77777777" w:rsidR="005134A1" w:rsidRDefault="00000000">
      <w:pPr>
        <w:pStyle w:val="Heading3"/>
      </w:pPr>
      <w:bookmarkStart w:id="12" w:name="_Toc226309699"/>
      <w:r>
        <w:t>Recommendation</w:t>
      </w:r>
      <w:bookmarkEnd w:id="12"/>
    </w:p>
    <w:p w14:paraId="52F6B2A4" w14:textId="77777777" w:rsidR="005134A1" w:rsidRDefault="00000000">
      <w:pPr>
        <w:numPr>
          <w:ilvl w:val="0"/>
          <w:numId w:val="2"/>
        </w:numPr>
      </w:pPr>
      <w:r>
        <w:t>Develop geo-specific growth strategies:</w:t>
      </w:r>
    </w:p>
    <w:p w14:paraId="5D3010F9" w14:textId="31DF422C" w:rsidR="005134A1" w:rsidRDefault="00000000">
      <w:pPr>
        <w:spacing w:before="40" w:after="40"/>
        <w:ind w:left="1080"/>
      </w:pPr>
      <w:r>
        <w:rPr>
          <w:color w:val="4A5568"/>
        </w:rPr>
        <w:t>◦ African: Business lending expansion</w:t>
      </w:r>
    </w:p>
    <w:p w14:paraId="180800AB" w14:textId="5CFA6800" w:rsidR="005134A1" w:rsidRDefault="00000000">
      <w:pPr>
        <w:spacing w:before="40" w:after="40"/>
        <w:ind w:left="1080"/>
      </w:pPr>
      <w:r>
        <w:rPr>
          <w:color w:val="4A5568"/>
        </w:rPr>
        <w:t>◦ Asian: Wealth &amp; premium banking</w:t>
      </w:r>
    </w:p>
    <w:p w14:paraId="060E5C4B" w14:textId="77777777" w:rsidR="005134A1" w:rsidRDefault="00000000">
      <w:pPr>
        <w:numPr>
          <w:ilvl w:val="0"/>
          <w:numId w:val="2"/>
        </w:numPr>
      </w:pPr>
      <w:r>
        <w:t>Introduce regional product customization</w:t>
      </w:r>
    </w:p>
    <w:p w14:paraId="6FF75740" w14:textId="23FD5325" w:rsidR="005134A1" w:rsidRDefault="00000000">
      <w:pPr>
        <w:numPr>
          <w:ilvl w:val="0"/>
          <w:numId w:val="2"/>
        </w:numPr>
      </w:pPr>
      <w:r>
        <w:t>Track KPI: Revenue diversification ratio (</w:t>
      </w:r>
      <w:proofErr w:type="gramStart"/>
      <w:r>
        <w:t>Non-European</w:t>
      </w:r>
      <w:proofErr w:type="gramEnd"/>
      <w:r>
        <w:t xml:space="preserve"> contribution)</w:t>
      </w:r>
    </w:p>
    <w:p w14:paraId="7EDB2051" w14:textId="77777777" w:rsidR="005134A1" w:rsidRDefault="00000000">
      <w:r>
        <w:br w:type="page"/>
      </w:r>
    </w:p>
    <w:p w14:paraId="3773BD2F" w14:textId="77777777" w:rsidR="005134A1" w:rsidRDefault="00000000">
      <w:pPr>
        <w:pStyle w:val="Heading2"/>
      </w:pPr>
      <w:bookmarkStart w:id="13" w:name="_Toc226309700"/>
      <w:r>
        <w:lastRenderedPageBreak/>
        <w:t>2.2 Ineffective Loyalty System (Jade Overconcentration)</w:t>
      </w:r>
      <w:bookmarkEnd w:id="13"/>
    </w:p>
    <w:p w14:paraId="6E2D945B" w14:textId="77777777" w:rsidR="005134A1" w:rsidRDefault="00000000">
      <w:pPr>
        <w:pStyle w:val="Heading3"/>
      </w:pPr>
      <w:bookmarkStart w:id="14" w:name="_Toc226309701"/>
      <w:r>
        <w:t>Insight</w:t>
      </w:r>
      <w:bookmarkEnd w:id="14"/>
    </w:p>
    <w:p w14:paraId="65A1508E" w14:textId="34A4D07E" w:rsidR="005134A1" w:rsidRDefault="00000000">
      <w:r>
        <w:rPr>
          <w:b/>
        </w:rPr>
        <w:t>64% of customers</w:t>
      </w:r>
      <w:r w:rsidR="00DF63EB">
        <w:rPr>
          <w:rFonts w:hint="cs"/>
          <w:b/>
          <w:rtl/>
        </w:rPr>
        <w:t xml:space="preserve"> </w:t>
      </w:r>
      <w:r>
        <w:t>fall under the lowest loyalty tier (Jade), while Platinum accounts for only ~10.6%.</w:t>
      </w:r>
    </w:p>
    <w:p w14:paraId="789C4E32" w14:textId="77777777" w:rsidR="005134A1" w:rsidRDefault="00000000">
      <w:pPr>
        <w:pStyle w:val="Heading3"/>
      </w:pPr>
      <w:bookmarkStart w:id="15" w:name="_Toc226309702"/>
      <w:r>
        <w:t>Root Cause</w:t>
      </w:r>
      <w:bookmarkEnd w:id="15"/>
    </w:p>
    <w:p w14:paraId="1F70C29C" w14:textId="77777777" w:rsidR="005134A1" w:rsidRDefault="00000000">
      <w:pPr>
        <w:numPr>
          <w:ilvl w:val="0"/>
          <w:numId w:val="2"/>
        </w:numPr>
      </w:pPr>
      <w:r>
        <w:t>Poorly designed upgrade criteria</w:t>
      </w:r>
    </w:p>
    <w:p w14:paraId="43E6AA9F" w14:textId="77777777" w:rsidR="005134A1" w:rsidRDefault="00000000">
      <w:pPr>
        <w:numPr>
          <w:ilvl w:val="0"/>
          <w:numId w:val="2"/>
        </w:numPr>
      </w:pPr>
      <w:r>
        <w:t>Lack of incentives and engagement mechanisms</w:t>
      </w:r>
    </w:p>
    <w:p w14:paraId="032C6856" w14:textId="77777777" w:rsidR="005134A1" w:rsidRDefault="00000000">
      <w:pPr>
        <w:numPr>
          <w:ilvl w:val="0"/>
          <w:numId w:val="2"/>
        </w:numPr>
      </w:pPr>
      <w:r>
        <w:t>No alignment between customer value and loyalty status</w:t>
      </w:r>
    </w:p>
    <w:p w14:paraId="59AB6529" w14:textId="77777777" w:rsidR="005134A1" w:rsidRDefault="00000000">
      <w:pPr>
        <w:pStyle w:val="Heading3"/>
      </w:pPr>
      <w:bookmarkStart w:id="16" w:name="_Toc226309703"/>
      <w:r>
        <w:t>Recommendation</w:t>
      </w:r>
      <w:bookmarkEnd w:id="16"/>
    </w:p>
    <w:p w14:paraId="1F54BF66" w14:textId="77777777" w:rsidR="005134A1" w:rsidRDefault="00000000">
      <w:pPr>
        <w:numPr>
          <w:ilvl w:val="0"/>
          <w:numId w:val="2"/>
        </w:numPr>
      </w:pPr>
      <w:r>
        <w:t>Redesign loyalty framework:</w:t>
      </w:r>
    </w:p>
    <w:p w14:paraId="113F6CF2" w14:textId="17D09AB1" w:rsidR="005134A1" w:rsidRDefault="00000000">
      <w:pPr>
        <w:spacing w:before="40" w:after="40"/>
        <w:ind w:left="1080"/>
      </w:pPr>
      <w:r>
        <w:rPr>
          <w:color w:val="4A5568"/>
        </w:rPr>
        <w:t>◦ Link tiers to total relationship value (deposits + loans)</w:t>
      </w:r>
    </w:p>
    <w:p w14:paraId="49433EEE" w14:textId="38CB3C30" w:rsidR="005134A1" w:rsidRDefault="00000000">
      <w:pPr>
        <w:spacing w:before="40" w:after="40"/>
        <w:ind w:left="1080"/>
      </w:pPr>
      <w:r>
        <w:rPr>
          <w:color w:val="4A5568"/>
        </w:rPr>
        <w:t>◦ Consider number of products and activity level</w:t>
      </w:r>
    </w:p>
    <w:p w14:paraId="33D20116" w14:textId="77777777" w:rsidR="005134A1" w:rsidRDefault="00000000">
      <w:pPr>
        <w:numPr>
          <w:ilvl w:val="0"/>
          <w:numId w:val="2"/>
        </w:numPr>
      </w:pPr>
      <w:r>
        <w:t>Introduce tier progression campaigns</w:t>
      </w:r>
    </w:p>
    <w:p w14:paraId="1A806D8E" w14:textId="77777777" w:rsidR="005134A1" w:rsidRDefault="00000000">
      <w:pPr>
        <w:numPr>
          <w:ilvl w:val="0"/>
          <w:numId w:val="2"/>
        </w:numPr>
      </w:pPr>
      <w:r>
        <w:t>Implement behavioral incentives (cashback, fee waivers)</w:t>
      </w:r>
    </w:p>
    <w:p w14:paraId="4BF79BC7" w14:textId="77777777" w:rsidR="005134A1" w:rsidRDefault="00000000">
      <w:r>
        <w:br w:type="page"/>
      </w:r>
    </w:p>
    <w:p w14:paraId="75200E29" w14:textId="77777777" w:rsidR="005134A1" w:rsidRDefault="00000000">
      <w:pPr>
        <w:pStyle w:val="Heading2"/>
      </w:pPr>
      <w:bookmarkStart w:id="17" w:name="_Toc226309704"/>
      <w:r>
        <w:lastRenderedPageBreak/>
        <w:t>2.3 Over-Reliance on High Fee Structure</w:t>
      </w:r>
      <w:bookmarkEnd w:id="17"/>
    </w:p>
    <w:p w14:paraId="69CC382C" w14:textId="77777777" w:rsidR="005134A1" w:rsidRDefault="00000000">
      <w:pPr>
        <w:pStyle w:val="Heading3"/>
      </w:pPr>
      <w:bookmarkStart w:id="18" w:name="_Toc226309705"/>
      <w:r>
        <w:t>Insight</w:t>
      </w:r>
      <w:bookmarkEnd w:id="18"/>
    </w:p>
    <w:p w14:paraId="5A93E4CC" w14:textId="67D0C6A4" w:rsidR="005134A1" w:rsidRDefault="00000000">
      <w:r>
        <w:rPr>
          <w:b/>
        </w:rPr>
        <w:t>49.2% of customers</w:t>
      </w:r>
      <w:r w:rsidR="00DF63EB">
        <w:rPr>
          <w:rFonts w:hint="cs"/>
          <w:b/>
          <w:rtl/>
        </w:rPr>
        <w:t xml:space="preserve"> </w:t>
      </w:r>
      <w:r>
        <w:t>are categorized under High Fee structure.</w:t>
      </w:r>
    </w:p>
    <w:p w14:paraId="76BD46C4" w14:textId="77777777" w:rsidR="005134A1" w:rsidRDefault="00000000">
      <w:pPr>
        <w:pStyle w:val="Heading3"/>
      </w:pPr>
      <w:bookmarkStart w:id="19" w:name="_Toc226309706"/>
      <w:r>
        <w:t>Business Impact</w:t>
      </w:r>
      <w:bookmarkEnd w:id="19"/>
    </w:p>
    <w:p w14:paraId="5650B32E" w14:textId="77777777" w:rsidR="005134A1" w:rsidRDefault="00000000">
      <w:pPr>
        <w:numPr>
          <w:ilvl w:val="0"/>
          <w:numId w:val="2"/>
        </w:numPr>
      </w:pPr>
      <w:r>
        <w:t>Increased churn risk</w:t>
      </w:r>
    </w:p>
    <w:p w14:paraId="70F6CDCA" w14:textId="77777777" w:rsidR="005134A1" w:rsidRDefault="00000000">
      <w:pPr>
        <w:numPr>
          <w:ilvl w:val="0"/>
          <w:numId w:val="2"/>
        </w:numPr>
      </w:pPr>
      <w:r>
        <w:t>Customer dissatisfaction</w:t>
      </w:r>
    </w:p>
    <w:p w14:paraId="4741B5AB" w14:textId="77777777" w:rsidR="005134A1" w:rsidRDefault="00000000">
      <w:pPr>
        <w:numPr>
          <w:ilvl w:val="0"/>
          <w:numId w:val="2"/>
        </w:numPr>
      </w:pPr>
      <w:r>
        <w:t>Negative long-term brand perception</w:t>
      </w:r>
    </w:p>
    <w:p w14:paraId="3EE3418E" w14:textId="77777777" w:rsidR="005134A1" w:rsidRDefault="00000000">
      <w:pPr>
        <w:pStyle w:val="Heading3"/>
      </w:pPr>
      <w:bookmarkStart w:id="20" w:name="_Toc226309707"/>
      <w:r>
        <w:t>Recommendation</w:t>
      </w:r>
      <w:bookmarkEnd w:id="20"/>
    </w:p>
    <w:p w14:paraId="2F56B5A9" w14:textId="77777777" w:rsidR="005134A1" w:rsidRDefault="00000000">
      <w:pPr>
        <w:numPr>
          <w:ilvl w:val="0"/>
          <w:numId w:val="2"/>
        </w:numPr>
      </w:pPr>
      <w:r>
        <w:t>Shift toward value-based pricing</w:t>
      </w:r>
    </w:p>
    <w:p w14:paraId="2C83DC67" w14:textId="77777777" w:rsidR="005134A1" w:rsidRDefault="00000000">
      <w:pPr>
        <w:numPr>
          <w:ilvl w:val="0"/>
          <w:numId w:val="2"/>
        </w:numPr>
      </w:pPr>
      <w:r>
        <w:t>Reduce fees for low-loyalty segments (Jade) to improve retention</w:t>
      </w:r>
    </w:p>
    <w:p w14:paraId="59AB243F" w14:textId="77777777" w:rsidR="005134A1" w:rsidRDefault="00000000">
      <w:pPr>
        <w:numPr>
          <w:ilvl w:val="0"/>
          <w:numId w:val="2"/>
        </w:numPr>
      </w:pPr>
      <w:r>
        <w:t>Conduct A/B testing: Fee reduction vs. product usage growth</w:t>
      </w:r>
    </w:p>
    <w:p w14:paraId="159A7402" w14:textId="77777777" w:rsidR="005134A1" w:rsidRDefault="00000000">
      <w:r>
        <w:br w:type="page"/>
      </w:r>
    </w:p>
    <w:p w14:paraId="61613283" w14:textId="77777777" w:rsidR="005134A1" w:rsidRDefault="00000000">
      <w:pPr>
        <w:pStyle w:val="Heading2"/>
      </w:pPr>
      <w:bookmarkStart w:id="21" w:name="_Toc226309708"/>
      <w:r>
        <w:lastRenderedPageBreak/>
        <w:t>2.4 Underdeveloped Cross-Selling (Credit Cards)</w:t>
      </w:r>
      <w:bookmarkEnd w:id="21"/>
    </w:p>
    <w:p w14:paraId="68DBB7DC" w14:textId="77777777" w:rsidR="005134A1" w:rsidRDefault="00000000">
      <w:pPr>
        <w:pStyle w:val="Heading3"/>
      </w:pPr>
      <w:bookmarkStart w:id="22" w:name="_Toc226309709"/>
      <w:r>
        <w:t>Insight</w:t>
      </w:r>
      <w:bookmarkEnd w:id="22"/>
    </w:p>
    <w:p w14:paraId="50295ED1" w14:textId="4F616D2D" w:rsidR="005134A1" w:rsidRDefault="00000000">
      <w:r>
        <w:rPr>
          <w:b/>
        </w:rPr>
        <w:t>64% of customers</w:t>
      </w:r>
      <w:r w:rsidR="00DF63EB">
        <w:rPr>
          <w:rFonts w:hint="cs"/>
          <w:b/>
          <w:rtl/>
        </w:rPr>
        <w:t xml:space="preserve"> </w:t>
      </w:r>
      <w:r>
        <w:t>hold only one credit card, with total credit card volume significantly lower than loans.</w:t>
      </w:r>
    </w:p>
    <w:p w14:paraId="5E276758" w14:textId="77777777" w:rsidR="005134A1" w:rsidRDefault="00000000">
      <w:pPr>
        <w:pStyle w:val="Heading3"/>
      </w:pPr>
      <w:bookmarkStart w:id="23" w:name="_Toc226309710"/>
      <w:r>
        <w:t>Recommendation</w:t>
      </w:r>
      <w:bookmarkEnd w:id="23"/>
    </w:p>
    <w:p w14:paraId="28B478A2" w14:textId="77777777" w:rsidR="005134A1" w:rsidRDefault="00000000">
      <w:pPr>
        <w:numPr>
          <w:ilvl w:val="0"/>
          <w:numId w:val="2"/>
        </w:numPr>
      </w:pPr>
      <w:r>
        <w:t>Deploy segmented cross-selling strategies:</w:t>
      </w:r>
    </w:p>
    <w:p w14:paraId="2E849447" w14:textId="67A62AE4" w:rsidR="005134A1" w:rsidRDefault="00000000">
      <w:pPr>
        <w:spacing w:before="40" w:after="40"/>
        <w:ind w:left="1080"/>
      </w:pPr>
      <w:r>
        <w:rPr>
          <w:color w:val="4A5568"/>
        </w:rPr>
        <w:t>◦ High-income: Premium cards</w:t>
      </w:r>
    </w:p>
    <w:p w14:paraId="2F392ED4" w14:textId="6CC85AF8" w:rsidR="005134A1" w:rsidRDefault="00000000">
      <w:pPr>
        <w:spacing w:before="40" w:after="40"/>
        <w:ind w:left="1080"/>
      </w:pPr>
      <w:r>
        <w:rPr>
          <w:color w:val="4A5568"/>
        </w:rPr>
        <w:t>◦ Travelers: FX-enabled cards</w:t>
      </w:r>
    </w:p>
    <w:p w14:paraId="3FC635FC" w14:textId="77777777" w:rsidR="005134A1" w:rsidRDefault="00000000">
      <w:pPr>
        <w:numPr>
          <w:ilvl w:val="0"/>
          <w:numId w:val="2"/>
        </w:numPr>
      </w:pPr>
      <w:r>
        <w:t>Bundle products: Loan + Credit Card + Account packages</w:t>
      </w:r>
    </w:p>
    <w:p w14:paraId="3211DC84" w14:textId="77777777" w:rsidR="005134A1" w:rsidRDefault="00000000">
      <w:pPr>
        <w:numPr>
          <w:ilvl w:val="0"/>
          <w:numId w:val="2"/>
        </w:numPr>
      </w:pPr>
      <w:r>
        <w:t>Trigger-based offers: Spending thresholds lead to automatic upgrade offers</w:t>
      </w:r>
    </w:p>
    <w:p w14:paraId="724570DE" w14:textId="77777777" w:rsidR="005134A1" w:rsidRDefault="00000000">
      <w:r>
        <w:br w:type="page"/>
      </w:r>
    </w:p>
    <w:p w14:paraId="6D07E856" w14:textId="77777777" w:rsidR="005134A1" w:rsidRDefault="00000000">
      <w:pPr>
        <w:pStyle w:val="Heading2"/>
      </w:pPr>
      <w:bookmarkStart w:id="24" w:name="_Toc226309711"/>
      <w:r>
        <w:lastRenderedPageBreak/>
        <w:t>2.5 High-Value Segments Underutilized (Asian &amp; African Clients)</w:t>
      </w:r>
      <w:bookmarkEnd w:id="24"/>
    </w:p>
    <w:p w14:paraId="63691676" w14:textId="77777777" w:rsidR="005134A1" w:rsidRDefault="00000000">
      <w:pPr>
        <w:pStyle w:val="Heading3"/>
      </w:pPr>
      <w:bookmarkStart w:id="25" w:name="_Toc226309712"/>
      <w:r>
        <w:t>Insight</w:t>
      </w:r>
      <w:bookmarkEnd w:id="25"/>
    </w:p>
    <w:p w14:paraId="518FAA5F" w14:textId="77777777" w:rsidR="005134A1" w:rsidRDefault="00000000">
      <w:pPr>
        <w:numPr>
          <w:ilvl w:val="0"/>
          <w:numId w:val="2"/>
        </w:numPr>
      </w:pPr>
      <w:r>
        <w:t>Asian clients (25%) generate disproportionately high loan volumes (~$1.9bn)</w:t>
      </w:r>
    </w:p>
    <w:p w14:paraId="0F87E1DF" w14:textId="77777777" w:rsidR="005134A1" w:rsidRDefault="00000000">
      <w:pPr>
        <w:numPr>
          <w:ilvl w:val="0"/>
          <w:numId w:val="2"/>
        </w:numPr>
      </w:pPr>
      <w:r>
        <w:t>African clients show extremely high business lending per customer</w:t>
      </w:r>
    </w:p>
    <w:p w14:paraId="6AF0D5F1" w14:textId="77777777" w:rsidR="005134A1" w:rsidRDefault="00000000">
      <w:pPr>
        <w:pStyle w:val="Heading3"/>
      </w:pPr>
      <w:bookmarkStart w:id="26" w:name="_Toc226309713"/>
      <w:r>
        <w:t>Recommendation</w:t>
      </w:r>
      <w:bookmarkEnd w:id="26"/>
    </w:p>
    <w:p w14:paraId="344C65A7" w14:textId="77777777" w:rsidR="005134A1" w:rsidRDefault="00000000">
      <w:pPr>
        <w:numPr>
          <w:ilvl w:val="0"/>
          <w:numId w:val="2"/>
        </w:numPr>
      </w:pPr>
      <w:r>
        <w:t>Create dedicated high-value segments: "Emerging Market Entrepreneurs"</w:t>
      </w:r>
    </w:p>
    <w:p w14:paraId="71E48F1B" w14:textId="77777777" w:rsidR="005134A1" w:rsidRDefault="00000000">
      <w:pPr>
        <w:numPr>
          <w:ilvl w:val="0"/>
          <w:numId w:val="2"/>
        </w:numPr>
      </w:pPr>
      <w:r>
        <w:t>Expand offerings: Business financing, Advisory &amp; wealth management</w:t>
      </w:r>
    </w:p>
    <w:p w14:paraId="6852FE09" w14:textId="77777777" w:rsidR="005134A1" w:rsidRDefault="00000000">
      <w:pPr>
        <w:numPr>
          <w:ilvl w:val="0"/>
          <w:numId w:val="2"/>
        </w:numPr>
      </w:pPr>
      <w:r>
        <w:t>Increase cross-selling: Credit cards and investment products</w:t>
      </w:r>
    </w:p>
    <w:p w14:paraId="52E88998" w14:textId="77777777" w:rsidR="005134A1" w:rsidRDefault="00000000">
      <w:pPr>
        <w:pStyle w:val="Heading2"/>
      </w:pPr>
      <w:bookmarkStart w:id="27" w:name="_Toc226309714"/>
      <w:r>
        <w:t>2.6 Private Banking: High Value, Low Focus</w:t>
      </w:r>
      <w:bookmarkEnd w:id="27"/>
    </w:p>
    <w:p w14:paraId="3DF35C64" w14:textId="77777777" w:rsidR="005134A1" w:rsidRDefault="00000000">
      <w:pPr>
        <w:pStyle w:val="Heading3"/>
      </w:pPr>
      <w:bookmarkStart w:id="28" w:name="_Toc226309715"/>
      <w:r>
        <w:t>Insight</w:t>
      </w:r>
      <w:bookmarkEnd w:id="28"/>
    </w:p>
    <w:p w14:paraId="3C2C4FCE" w14:textId="685F6094" w:rsidR="005134A1" w:rsidRDefault="00000000">
      <w:r>
        <w:t>Private Banking generates the</w:t>
      </w:r>
      <w:r w:rsidR="00DF63EB">
        <w:rPr>
          <w:rFonts w:hint="cs"/>
          <w:rtl/>
        </w:rPr>
        <w:t xml:space="preserve"> </w:t>
      </w:r>
      <w:r>
        <w:rPr>
          <w:b/>
        </w:rPr>
        <w:t>highest loan volume (~$0.81bn)</w:t>
      </w:r>
      <w:r w:rsidR="00DF63EB">
        <w:rPr>
          <w:rFonts w:hint="cs"/>
          <w:b/>
          <w:rtl/>
        </w:rPr>
        <w:t xml:space="preserve"> </w:t>
      </w:r>
      <w:r>
        <w:t>despite a smaller customer base.</w:t>
      </w:r>
    </w:p>
    <w:p w14:paraId="0AFE65C2" w14:textId="77777777" w:rsidR="005134A1" w:rsidRDefault="00000000">
      <w:pPr>
        <w:pStyle w:val="Heading3"/>
      </w:pPr>
      <w:bookmarkStart w:id="29" w:name="_Toc226309716"/>
      <w:r>
        <w:t>Recommendation</w:t>
      </w:r>
      <w:bookmarkEnd w:id="29"/>
    </w:p>
    <w:p w14:paraId="5C9287BC" w14:textId="77777777" w:rsidR="005134A1" w:rsidRDefault="00000000">
      <w:pPr>
        <w:numPr>
          <w:ilvl w:val="0"/>
          <w:numId w:val="2"/>
        </w:numPr>
      </w:pPr>
      <w:r>
        <w:t>Expand wealth management services</w:t>
      </w:r>
    </w:p>
    <w:p w14:paraId="7C6E2357" w14:textId="77777777" w:rsidR="005134A1" w:rsidRDefault="00000000">
      <w:pPr>
        <w:numPr>
          <w:ilvl w:val="0"/>
          <w:numId w:val="2"/>
        </w:numPr>
      </w:pPr>
      <w:r>
        <w:t>Assign dedicated relationship managers</w:t>
      </w:r>
    </w:p>
    <w:p w14:paraId="284EBDF6" w14:textId="77777777" w:rsidR="005134A1" w:rsidRDefault="00000000">
      <w:pPr>
        <w:numPr>
          <w:ilvl w:val="0"/>
          <w:numId w:val="2"/>
        </w:numPr>
      </w:pPr>
      <w:r>
        <w:t>Introduce investment advisory, portfolio management, structured financial products</w:t>
      </w:r>
    </w:p>
    <w:p w14:paraId="6FDA5BDC" w14:textId="77777777" w:rsidR="005134A1" w:rsidRDefault="00000000">
      <w:r>
        <w:br w:type="page"/>
      </w:r>
    </w:p>
    <w:p w14:paraId="2702EA6E" w14:textId="77777777" w:rsidR="005134A1" w:rsidRDefault="00000000">
      <w:pPr>
        <w:pStyle w:val="Heading1"/>
      </w:pPr>
      <w:bookmarkStart w:id="30" w:name="_Toc003"/>
      <w:bookmarkStart w:id="31" w:name="_Toc226309717"/>
      <w:r>
        <w:lastRenderedPageBreak/>
        <w:t>3. Strategic Priorities (Top 3 Actions)</w:t>
      </w:r>
      <w:bookmarkEnd w:id="30"/>
      <w:bookmarkEnd w:id="31"/>
    </w:p>
    <w:tbl>
      <w:tblPr>
        <w:tblW w:w="5000" w:type="pct"/>
        <w:tblInd w:w="2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1155"/>
        <w:gridCol w:w="8271"/>
      </w:tblGrid>
      <w:tr w:rsidR="005134A1" w14:paraId="3B08C980" w14:textId="77777777">
        <w:tc>
          <w:tcPr>
            <w:tcW w:w="1200" w:type="dxa"/>
            <w:shd w:val="clear" w:color="auto" w:fill="1A365D"/>
            <w:vAlign w:val="center"/>
          </w:tcPr>
          <w:p w14:paraId="35E839D4" w14:textId="77777777" w:rsidR="005134A1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1</w:t>
            </w:r>
          </w:p>
        </w:tc>
        <w:tc>
          <w:tcPr>
            <w:tcW w:w="8800" w:type="dxa"/>
            <w:vAlign w:val="center"/>
          </w:tcPr>
          <w:p w14:paraId="28FF58E0" w14:textId="77777777" w:rsidR="005134A1" w:rsidRDefault="00000000">
            <w:r>
              <w:rPr>
                <w:b/>
                <w:color w:val="1A365D"/>
                <w:sz w:val="24"/>
              </w:rPr>
              <w:t>Redesign Loyalty System</w:t>
            </w:r>
          </w:p>
          <w:p w14:paraId="67016190" w14:textId="77777777" w:rsidR="005134A1" w:rsidRDefault="00000000">
            <w:r>
              <w:rPr>
                <w:color w:val="4A5568"/>
                <w:sz w:val="20"/>
              </w:rPr>
              <w:t>Immediate impact on retention and revenue. Enables better segmentation and targeting.</w:t>
            </w:r>
          </w:p>
        </w:tc>
      </w:tr>
    </w:tbl>
    <w:p w14:paraId="5B26F476" w14:textId="77777777" w:rsidR="005134A1" w:rsidRDefault="005134A1"/>
    <w:tbl>
      <w:tblPr>
        <w:tblW w:w="5000" w:type="pct"/>
        <w:tblInd w:w="2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1156"/>
        <w:gridCol w:w="8270"/>
      </w:tblGrid>
      <w:tr w:rsidR="005134A1" w14:paraId="275CF0AF" w14:textId="77777777">
        <w:tc>
          <w:tcPr>
            <w:tcW w:w="1200" w:type="dxa"/>
            <w:shd w:val="clear" w:color="auto" w:fill="1A365D"/>
            <w:vAlign w:val="center"/>
          </w:tcPr>
          <w:p w14:paraId="007D3F38" w14:textId="77777777" w:rsidR="005134A1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2</w:t>
            </w:r>
          </w:p>
        </w:tc>
        <w:tc>
          <w:tcPr>
            <w:tcW w:w="8800" w:type="dxa"/>
            <w:vAlign w:val="center"/>
          </w:tcPr>
          <w:p w14:paraId="5FEEED7B" w14:textId="77777777" w:rsidR="005134A1" w:rsidRDefault="00000000">
            <w:r>
              <w:rPr>
                <w:b/>
                <w:color w:val="1A365D"/>
                <w:sz w:val="24"/>
              </w:rPr>
              <w:t>Monetize High-Value Segments</w:t>
            </w:r>
          </w:p>
          <w:p w14:paraId="6C1972FB" w14:textId="77777777" w:rsidR="005134A1" w:rsidRDefault="00000000">
            <w:r>
              <w:rPr>
                <w:color w:val="4A5568"/>
                <w:sz w:val="20"/>
              </w:rPr>
              <w:t>Focus on Asian, African, and Private Banking clients. High ROI opportunity.</w:t>
            </w:r>
          </w:p>
        </w:tc>
      </w:tr>
    </w:tbl>
    <w:p w14:paraId="338A39D3" w14:textId="77777777" w:rsidR="005134A1" w:rsidRDefault="005134A1"/>
    <w:tbl>
      <w:tblPr>
        <w:tblW w:w="5000" w:type="pct"/>
        <w:tblInd w:w="20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</w:tblBorders>
        <w:tblCellMar>
          <w:top w:w="150" w:type="dxa"/>
          <w:left w:w="200" w:type="dxa"/>
          <w:bottom w:w="150" w:type="dxa"/>
          <w:right w:w="200" w:type="dxa"/>
        </w:tblCellMar>
        <w:tblLook w:val="04A0" w:firstRow="1" w:lastRow="0" w:firstColumn="1" w:lastColumn="0" w:noHBand="0" w:noVBand="1"/>
      </w:tblPr>
      <w:tblGrid>
        <w:gridCol w:w="1157"/>
        <w:gridCol w:w="8269"/>
      </w:tblGrid>
      <w:tr w:rsidR="005134A1" w14:paraId="17294F02" w14:textId="77777777">
        <w:tc>
          <w:tcPr>
            <w:tcW w:w="1200" w:type="dxa"/>
            <w:shd w:val="clear" w:color="auto" w:fill="1A365D"/>
            <w:vAlign w:val="center"/>
          </w:tcPr>
          <w:p w14:paraId="58D91BBB" w14:textId="77777777" w:rsidR="005134A1" w:rsidRDefault="00000000">
            <w:pPr>
              <w:jc w:val="center"/>
            </w:pPr>
            <w:r>
              <w:rPr>
                <w:b/>
                <w:color w:val="FFFFFF"/>
                <w:sz w:val="36"/>
              </w:rPr>
              <w:t>3</w:t>
            </w:r>
          </w:p>
        </w:tc>
        <w:tc>
          <w:tcPr>
            <w:tcW w:w="8800" w:type="dxa"/>
            <w:vAlign w:val="center"/>
          </w:tcPr>
          <w:p w14:paraId="1C09CB19" w14:textId="77777777" w:rsidR="005134A1" w:rsidRDefault="00000000">
            <w:r>
              <w:rPr>
                <w:b/>
                <w:color w:val="1A365D"/>
                <w:sz w:val="24"/>
              </w:rPr>
              <w:t>Scale Cross-Selling Strategy</w:t>
            </w:r>
          </w:p>
          <w:p w14:paraId="3EC142B7" w14:textId="77777777" w:rsidR="005134A1" w:rsidRDefault="00000000">
            <w:r>
              <w:rPr>
                <w:color w:val="4A5568"/>
                <w:sz w:val="20"/>
              </w:rPr>
              <w:t>Credit cards + bundled products. Drives recurring revenue growth.</w:t>
            </w:r>
          </w:p>
        </w:tc>
      </w:tr>
    </w:tbl>
    <w:p w14:paraId="26C8C21D" w14:textId="77777777" w:rsidR="005134A1" w:rsidRDefault="005134A1"/>
    <w:p w14:paraId="7ECBA9D3" w14:textId="77777777" w:rsidR="005134A1" w:rsidRDefault="00000000">
      <w:r>
        <w:br w:type="page"/>
      </w:r>
    </w:p>
    <w:p w14:paraId="76FA4C00" w14:textId="77777777" w:rsidR="005134A1" w:rsidRDefault="005134A1">
      <w:pPr>
        <w:sectPr w:rsidR="005134A1">
          <w:headerReference w:type="default" r:id="rId8"/>
          <w:footerReference w:type="default" r:id="rId9"/>
          <w:pgSz w:w="11906" w:h="16838"/>
          <w:pgMar w:top="1800" w:right="1440" w:bottom="1440" w:left="1440" w:header="720" w:footer="720" w:gutter="0"/>
          <w:cols w:space="720"/>
        </w:sectPr>
      </w:pPr>
    </w:p>
    <w:p w14:paraId="7B42906F" w14:textId="77777777" w:rsidR="005134A1" w:rsidRDefault="00000000"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610CECBD" wp14:editId="47E2F5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BFD04" w14:textId="77777777" w:rsidR="005134A1" w:rsidRDefault="005134A1">
      <w:pPr>
        <w:spacing w:before="7000"/>
      </w:pPr>
    </w:p>
    <w:p w14:paraId="381664AF" w14:textId="77777777" w:rsidR="005134A1" w:rsidRDefault="00000000">
      <w:pPr>
        <w:jc w:val="center"/>
      </w:pPr>
      <w:r>
        <w:rPr>
          <w:b/>
          <w:color w:val="1A365D"/>
          <w:sz w:val="32"/>
        </w:rPr>
        <w:t>Banking Analysis Report</w:t>
      </w:r>
    </w:p>
    <w:p w14:paraId="4E216C6F" w14:textId="77777777" w:rsidR="005134A1" w:rsidRDefault="00000000">
      <w:pPr>
        <w:spacing w:after="400"/>
        <w:jc w:val="center"/>
      </w:pPr>
      <w:r>
        <w:rPr>
          <w:color w:val="4A5568"/>
          <w:sz w:val="20"/>
        </w:rPr>
        <w:t>Strategic Insights for Growth</w:t>
      </w:r>
    </w:p>
    <w:p w14:paraId="7349B683" w14:textId="0A970BAA" w:rsidR="005134A1" w:rsidRDefault="00000000">
      <w:pPr>
        <w:jc w:val="center"/>
      </w:pPr>
      <w:r>
        <w:rPr>
          <w:color w:val="718096"/>
          <w:sz w:val="18"/>
        </w:rPr>
        <w:t>Period: 1995-</w:t>
      </w:r>
      <w:r w:rsidR="00DF63EB" w:rsidRPr="00DF63EB">
        <w:rPr>
          <w:rFonts w:cs="Calibri"/>
          <w:color w:val="718096"/>
          <w:sz w:val="18"/>
          <w:szCs w:val="18"/>
          <w:rtl/>
        </w:rPr>
        <w:t>2021</w:t>
      </w:r>
      <w:r>
        <w:rPr>
          <w:color w:val="718096"/>
          <w:sz w:val="18"/>
        </w:rPr>
        <w:t xml:space="preserve"> 3,000 Clients Analyzed</w:t>
      </w:r>
    </w:p>
    <w:p w14:paraId="6DEBB7C6" w14:textId="100DB6B2" w:rsidR="005134A1" w:rsidRDefault="00000000">
      <w:pPr>
        <w:jc w:val="center"/>
      </w:pPr>
      <w:r>
        <w:rPr>
          <w:color w:val="718096"/>
          <w:sz w:val="16"/>
        </w:rPr>
        <w:t>© 202</w:t>
      </w:r>
      <w:r w:rsidR="00DF63EB" w:rsidRPr="00DF63EB">
        <w:rPr>
          <w:rFonts w:cs="Calibri"/>
          <w:color w:val="718096"/>
          <w:sz w:val="16"/>
          <w:szCs w:val="16"/>
          <w:rtl/>
        </w:rPr>
        <w:t>6</w:t>
      </w:r>
      <w:r>
        <w:rPr>
          <w:color w:val="718096"/>
          <w:sz w:val="16"/>
        </w:rPr>
        <w:t xml:space="preserve"> - Confidential Document</w:t>
      </w:r>
    </w:p>
    <w:sectPr w:rsidR="005134A1"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ABB9" w14:textId="77777777" w:rsidR="001D21D2" w:rsidRDefault="001D21D2">
      <w:pPr>
        <w:spacing w:after="0" w:line="240" w:lineRule="auto"/>
      </w:pPr>
      <w:r>
        <w:separator/>
      </w:r>
    </w:p>
  </w:endnote>
  <w:endnote w:type="continuationSeparator" w:id="0">
    <w:p w14:paraId="6BA563F7" w14:textId="77777777" w:rsidR="001D21D2" w:rsidRDefault="001D21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1AA53" w14:textId="77777777" w:rsidR="005134A1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fldSimple w:instr=" NUMPAGES ">
      <w:r w:rsidR="005134A1"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600BC" w14:textId="77777777" w:rsidR="001D21D2" w:rsidRDefault="001D21D2">
      <w:pPr>
        <w:spacing w:after="0" w:line="240" w:lineRule="auto"/>
      </w:pPr>
      <w:r>
        <w:separator/>
      </w:r>
    </w:p>
  </w:footnote>
  <w:footnote w:type="continuationSeparator" w:id="0">
    <w:p w14:paraId="081AEB65" w14:textId="77777777" w:rsidR="001D21D2" w:rsidRDefault="001D21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26E20" w14:textId="77777777" w:rsidR="005134A1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9203A49" wp14:editId="6468FBE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87A0EF" w14:textId="084B14B7" w:rsidR="005134A1" w:rsidRDefault="00000000">
    <w:pPr>
      <w:spacing w:after="0"/>
      <w:jc w:val="right"/>
    </w:pPr>
    <w:r>
      <w:rPr>
        <w:color w:val="718096"/>
        <w:sz w:val="18"/>
      </w:rPr>
      <w:t>Banking Analysis Report</w:t>
    </w:r>
    <w:r>
      <w:rPr>
        <w:color w:val="ED8936"/>
        <w:sz w:val="18"/>
      </w:rPr>
      <w:t xml:space="preserve"> | </w:t>
    </w:r>
    <w:r>
      <w:rPr>
        <w:color w:val="718096"/>
        <w:sz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5838"/>
    <w:multiLevelType w:val="multilevel"/>
    <w:tmpl w:val="A8F6823A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13675DD"/>
    <w:multiLevelType w:val="multilevel"/>
    <w:tmpl w:val="D9202344"/>
    <w:lvl w:ilvl="0">
      <w:numFmt w:val="bullet"/>
      <w:lvlText w:val="•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265671">
    <w:abstractNumId w:val="0"/>
  </w:num>
  <w:num w:numId="2" w16cid:durableId="1194071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A1"/>
    <w:rsid w:val="001D21D2"/>
    <w:rsid w:val="002F6D6C"/>
    <w:rsid w:val="005134A1"/>
    <w:rsid w:val="005224BF"/>
    <w:rsid w:val="00657BD2"/>
    <w:rsid w:val="007329BC"/>
    <w:rsid w:val="00B2171F"/>
    <w:rsid w:val="00DF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9A114"/>
  <w15:docId w15:val="{79A57B34-2AAD-4BE9-9176-9128F9D27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12" w:lineRule="auto"/>
    </w:pPr>
    <w:rPr>
      <w:rFonts w:ascii="Calibri" w:eastAsia="Microsoft YaHei" w:hAnsi="Calibri"/>
      <w:color w:val="1A202C"/>
      <w:sz w:val="22"/>
    </w:rPr>
  </w:style>
  <w:style w:type="paragraph" w:styleId="Heading1">
    <w:name w:val="heading 1"/>
    <w:basedOn w:val="Normal"/>
    <w:uiPriority w:val="9"/>
    <w:qFormat/>
    <w:pPr>
      <w:keepNext/>
      <w:keepLines/>
      <w:spacing w:before="480" w:after="240" w:line="240" w:lineRule="auto"/>
      <w:outlineLvl w:val="0"/>
    </w:pPr>
    <w:rPr>
      <w:b/>
      <w:color w:val="1A365D"/>
      <w:sz w:val="36"/>
    </w:rPr>
  </w:style>
  <w:style w:type="paragraph" w:styleId="Heading2">
    <w:name w:val="heading 2"/>
    <w:basedOn w:val="Normal"/>
    <w:uiPriority w:val="9"/>
    <w:unhideWhenUsed/>
    <w:qFormat/>
    <w:pPr>
      <w:keepNext/>
      <w:keepLines/>
      <w:spacing w:before="360" w:after="160"/>
      <w:outlineLvl w:val="1"/>
    </w:pPr>
    <w:rPr>
      <w:b/>
      <w:color w:val="2C5282"/>
      <w:sz w:val="28"/>
    </w:rPr>
  </w:style>
  <w:style w:type="paragraph" w:styleId="Heading3">
    <w:name w:val="heading 3"/>
    <w:basedOn w:val="Normal"/>
    <w:uiPriority w:val="9"/>
    <w:unhideWhenUsed/>
    <w:qFormat/>
    <w:pPr>
      <w:keepNext/>
      <w:keepLines/>
      <w:spacing w:before="280" w:after="120"/>
      <w:outlineLvl w:val="2"/>
    </w:pPr>
    <w:rPr>
      <w:b/>
      <w:color w:val="ED893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200" w:after="60"/>
    </w:pPr>
    <w:rPr>
      <w:b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60" w:after="60"/>
      <w:ind w:left="360"/>
    </w:pPr>
    <w:rPr>
      <w:color w:val="4A5568"/>
    </w:rPr>
  </w:style>
  <w:style w:type="paragraph" w:styleId="TOC3">
    <w:name w:val="toc 3"/>
    <w:basedOn w:val="Normal"/>
    <w:next w:val="Normal"/>
    <w:autoRedefine/>
    <w:uiPriority w:val="39"/>
    <w:unhideWhenUsed/>
    <w:rsid w:val="00DF63E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63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F6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3EB"/>
    <w:rPr>
      <w:rFonts w:ascii="Calibri" w:eastAsia="Microsoft YaHei" w:hAnsi="Calibri"/>
      <w:color w:val="1A202C"/>
      <w:sz w:val="22"/>
    </w:rPr>
  </w:style>
  <w:style w:type="paragraph" w:styleId="Footer">
    <w:name w:val="footer"/>
    <w:basedOn w:val="Normal"/>
    <w:link w:val="FooterChar"/>
    <w:uiPriority w:val="99"/>
    <w:unhideWhenUsed/>
    <w:rsid w:val="00DF6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3EB"/>
    <w:rPr>
      <w:rFonts w:ascii="Calibri" w:eastAsia="Microsoft YaHei" w:hAnsi="Calibri"/>
      <w:color w:val="1A202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Youssef Ahmed</cp:lastModifiedBy>
  <cp:revision>4</cp:revision>
  <dcterms:created xsi:type="dcterms:W3CDTF">2026-04-05T17:27:00Z</dcterms:created>
  <dcterms:modified xsi:type="dcterms:W3CDTF">2026-04-05T18:18:00Z</dcterms:modified>
</cp:coreProperties>
</file>