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نموذج العمل التجاري (Business Model Canvas) لمنصة السوق البيطرية</w:t>
      </w:r>
    </w:p>
    <w:p>
      <w:pPr>
        <w:pStyle w:val="MdParagraph"/>
      </w:pPr>
      <w:r>
        <w:t xml:space="preserve">يهدف هذا النموذج إلى تقديم نظرة شاملة ومبسطة لكيفية عمل منصة السوق البيطرية المقترحة في مصر، وذلك من خلال تحليل العناصر التسعة الأساسية التي تشكل أي نموذج عمل تجاري، مع التركيز على التجزئة إلى نقاط واضحة.</w:t>
      </w:r>
    </w:p>
    <w:p>
      <w:pPr>
        <w:pStyle w:val="MdSpace"/>
        <w:spacing w:before="0" w:after="60"/>
      </w:pPr>
    </w:p>
    <w:p>
      <w:pPr>
        <w:pStyle w:val="Heading2"/>
        <w:pStyle w:val="MdHeading2"/>
      </w:pPr>
      <w:r>
        <w:t xml:space="preserve">1. شرائح العملاء (Customer Segments)</w:t>
      </w:r>
    </w:p>
    <w:p>
      <w:pPr>
        <w:pStyle w:val="MdListItem"/>
        <w:numPr>
          <w:ilvl w:val="0"/>
          <w:numId w:val="2"/>
        </w:numPr>
      </w:pPr>
      <w:r>
        <w:rPr>
          <w:rStyle w:val="MdStrong"/>
          <w:b/>
          <w:bCs/>
        </w:rPr>
        <w:t xml:space="preserve">الأطباء البيطريون والعيادات البيطرية:</w:t>
      </w:r>
      <w:r>
        <w:t xml:space="preserve"> الشريحة الأساسية التي تحتاج إلى إمدادات منتظمة من الأدوية والمستلزمات.</w:t>
      </w:r>
    </w:p>
    <w:p>
      <w:pPr>
        <w:pStyle w:val="MdListItem"/>
        <w:numPr>
          <w:ilvl w:val="0"/>
          <w:numId w:val="2"/>
        </w:numPr>
      </w:pPr>
      <w:r>
        <w:rPr>
          <w:rStyle w:val="MdStrong"/>
          <w:b/>
          <w:bCs/>
        </w:rPr>
        <w:t xml:space="preserve">المزارع الكبيرة ومربي الثروة الحيوانية:</w:t>
      </w:r>
      <w:r>
        <w:t xml:space="preserve"> يحتاجون إلى كميات كبيرة من الأدوية واللقاحات.</w:t>
      </w:r>
    </w:p>
    <w:p>
      <w:pPr>
        <w:pStyle w:val="MdListItem"/>
        <w:numPr>
          <w:ilvl w:val="0"/>
          <w:numId w:val="2"/>
        </w:numPr>
      </w:pPr>
      <w:r>
        <w:rPr>
          <w:rStyle w:val="MdStrong"/>
          <w:b/>
          <w:bCs/>
        </w:rPr>
        <w:t xml:space="preserve">متاجر الحيوانات الأليفة:</w:t>
      </w:r>
      <w:r>
        <w:t xml:space="preserve"> تبحث عن أغذية متخصصة ومستلزمات عناية.</w:t>
      </w:r>
    </w:p>
    <w:p>
      <w:pPr>
        <w:pStyle w:val="MdListItem"/>
        <w:numPr>
          <w:ilvl w:val="0"/>
          <w:numId w:val="2"/>
        </w:numPr>
      </w:pPr>
      <w:r>
        <w:rPr>
          <w:rStyle w:val="MdStrong"/>
          <w:b/>
          <w:bCs/>
        </w:rPr>
        <w:t xml:space="preserve">الموردون والمصنعون:</w:t>
      </w:r>
      <w:r>
        <w:t xml:space="preserve"> يرغبون في الوصول إلى قاعدة عملاء أوسع في السوق البيطري.</w:t>
      </w:r>
    </w:p>
    <w:p>
      <w:pPr>
        <w:pStyle w:val="MdSpace"/>
        <w:spacing w:before="0" w:after="60"/>
      </w:pPr>
    </w:p>
    <w:p>
      <w:pPr>
        <w:pStyle w:val="Heading2"/>
        <w:pStyle w:val="MdHeading2"/>
      </w:pPr>
      <w:r>
        <w:t xml:space="preserve">2. القيمة المقترحة (Value Propositions)</w:t>
      </w:r>
    </w:p>
    <w:p>
      <w:pPr>
        <w:pStyle w:val="Heading3"/>
        <w:pStyle w:val="MdHeading3"/>
      </w:pPr>
      <w:r>
        <w:t xml:space="preserve">للمشترين (الأطباء البيطريون والعيادات):</w:t>
      </w:r>
    </w:p>
    <w:p>
      <w:pPr>
        <w:pStyle w:val="MdListItem"/>
        <w:numPr>
          <w:ilvl w:val="0"/>
          <w:numId w:val="2"/>
        </w:numPr>
      </w:pPr>
      <w:r>
        <w:t xml:space="preserve">وصول سهل وشامل لجميع الاحتياجات من أدوية ومستلزمات ومعدات من مكان واحد.</w:t>
      </w:r>
    </w:p>
    <w:p>
      <w:pPr>
        <w:pStyle w:val="MdListItem"/>
        <w:numPr>
          <w:ilvl w:val="0"/>
          <w:numId w:val="2"/>
        </w:numPr>
      </w:pPr>
      <w:r>
        <w:t xml:space="preserve">أسعار تنافسية وشفافية من خلال مقارنة الأسعار بين الموردين المختلفين.</w:t>
      </w:r>
    </w:p>
    <w:p>
      <w:pPr>
        <w:pStyle w:val="MdListItem"/>
        <w:numPr>
          <w:ilvl w:val="0"/>
          <w:numId w:val="2"/>
        </w:numPr>
      </w:pPr>
      <w:r>
        <w:t xml:space="preserve">توفير الوقت والجهد بتقليل الحاجة للتعامل مع موردين متعددين.</w:t>
      </w:r>
    </w:p>
    <w:p>
      <w:pPr>
        <w:pStyle w:val="MdListItem"/>
        <w:numPr>
          <w:ilvl w:val="0"/>
          <w:numId w:val="2"/>
        </w:numPr>
      </w:pPr>
      <w:r>
        <w:t xml:space="preserve">خدمات ذات قيمة مضافة مثل حلول إدارة العيادات (الفواتير، المخزون، المواعيد).</w:t>
      </w:r>
    </w:p>
    <w:p>
      <w:pPr>
        <w:pStyle w:val="MdSpace"/>
        <w:spacing w:before="0" w:after="60"/>
      </w:pPr>
    </w:p>
    <w:p>
      <w:pPr>
        <w:pStyle w:val="Heading3"/>
        <w:pStyle w:val="MdHeading3"/>
      </w:pPr>
      <w:r>
        <w:t xml:space="preserve">للموردين (البائعون):</w:t>
      </w:r>
    </w:p>
    <w:p>
      <w:pPr>
        <w:pStyle w:val="MdListItem"/>
        <w:numPr>
          <w:ilvl w:val="0"/>
          <w:numId w:val="2"/>
        </w:numPr>
      </w:pPr>
      <w:r>
        <w:t xml:space="preserve">الوصول إلى سوق أوسع يضم عددًا كبيرًا من الأطباء البيطريين والعيادات والمزارع في جميع أنحاء مصر.</w:t>
      </w:r>
    </w:p>
    <w:p>
      <w:pPr>
        <w:pStyle w:val="MdListItem"/>
        <w:numPr>
          <w:ilvl w:val="0"/>
          <w:numId w:val="2"/>
        </w:numPr>
      </w:pPr>
      <w:r>
        <w:t xml:space="preserve">قناة بيع إضافية تساهم في زيادة المبيعات وتقليل تكاليف التسويق.</w:t>
      </w:r>
    </w:p>
    <w:p>
      <w:pPr>
        <w:pStyle w:val="MdListItem"/>
        <w:numPr>
          <w:ilvl w:val="0"/>
          <w:numId w:val="2"/>
        </w:numPr>
      </w:pPr>
      <w:r>
        <w:t xml:space="preserve">تكامل مباشر من خلال واجهات برمجة التطبيقات (API Integration) يتم عبرها جلب بيانات المنتجات والأسعار والمخزون من أنظمة الموردين بشكل آلي ودوري.</w:t>
      </w:r>
    </w:p>
    <w:p>
      <w:pPr>
        <w:pStyle w:val="MdSpace"/>
        <w:spacing w:before="0" w:after="60"/>
      </w:pPr>
    </w:p>
    <w:p>
      <w:pPr>
        <w:pStyle w:val="MdListItem"/>
        <w:numPr>
          <w:ilvl w:val="0"/>
          <w:numId w:val="3"/>
        </w:numPr>
      </w:pPr>
      <w:r>
        <w:t xml:space="preserve">يتم تحديد السعر الأساسي من طرف المورد، مع سعر بيع نهائي يحدده التطبيق بنسبة ربح يتم الاتفاق عليها مسبقًا مع المورد.</w:t>
      </w:r>
    </w:p>
    <w:p>
      <w:pPr>
        <w:pStyle w:val="MdListItem"/>
        <w:numPr>
          <w:ilvl w:val="0"/>
          <w:numId w:val="3"/>
        </w:numPr>
      </w:pPr>
      <w:r>
        <w:t xml:space="preserve">تحديثات المنتجات والأسعار والمخزون تتم تلقائيًا من خلال الربط بالـ API، دون الحاجة لأي لوحة تحكم أو إدارة يدوية من المورد.</w:t>
      </w:r>
    </w:p>
    <w:p>
      <w:pPr>
        <w:pStyle w:val="MdListItem"/>
        <w:numPr>
          <w:ilvl w:val="0"/>
          <w:numId w:val="3"/>
        </w:numPr>
      </w:pPr>
      <w:r>
        <w:t xml:space="preserve">ضمان الشفافية في العمليات والأسعار من خلال نظام تكامل موثوق وآمن.</w:t>
      </w:r>
    </w:p>
    <w:p>
      <w:pPr>
        <w:pStyle w:val="MdSpace"/>
        <w:spacing w:before="0" w:after="60"/>
      </w:pPr>
    </w:p>
    <w:p>
      <w:pPr>
        <w:pStyle w:val="Heading2"/>
        <w:pStyle w:val="MdHeading2"/>
      </w:pPr>
      <w:r>
        <w:t xml:space="preserve">3. القنوات (Channels)</w:t>
      </w:r>
    </w:p>
    <w:p>
      <w:pPr>
        <w:pStyle w:val="MdListItem"/>
        <w:numPr>
          <w:ilvl w:val="0"/>
          <w:numId w:val="2"/>
        </w:numPr>
      </w:pPr>
      <w:r>
        <w:rPr>
          <w:rStyle w:val="MdStrong"/>
          <w:b/>
          <w:bCs/>
        </w:rPr>
        <w:t xml:space="preserve">الموقع الإلكتروني (Website):</w:t>
      </w:r>
      <w:r>
        <w:t xml:space="preserve"> القناة الرئيسية للبيع والتفاعل.</w:t>
      </w:r>
    </w:p>
    <w:p>
      <w:pPr>
        <w:pStyle w:val="MdListItem"/>
        <w:numPr>
          <w:ilvl w:val="0"/>
          <w:numId w:val="2"/>
        </w:numPr>
      </w:pPr>
      <w:r>
        <w:rPr>
          <w:rStyle w:val="MdStrong"/>
          <w:b/>
          <w:bCs/>
        </w:rPr>
        <w:t xml:space="preserve">تطبيقات الهاتف المحمول (Mobile Apps):</w:t>
      </w:r>
      <w:r>
        <w:t xml:space="preserve"> متوفرة لأنظمة iOS و Android.</w:t>
      </w:r>
    </w:p>
    <w:p>
      <w:pPr>
        <w:pStyle w:val="MdListItem"/>
        <w:numPr>
          <w:ilvl w:val="0"/>
          <w:numId w:val="2"/>
        </w:numPr>
      </w:pPr>
      <w:r>
        <w:rPr>
          <w:rStyle w:val="MdStrong"/>
          <w:b/>
          <w:bCs/>
        </w:rPr>
        <w:t xml:space="preserve">فريق المبيعات المباشر:</w:t>
      </w:r>
      <w:r>
        <w:t xml:space="preserve"> للوصول إلى كبار العملاء (المزارع الكبيرة).</w:t>
      </w:r>
    </w:p>
    <w:p>
      <w:pPr>
        <w:pStyle w:val="MdListItem"/>
        <w:numPr>
          <w:ilvl w:val="0"/>
          <w:numId w:val="2"/>
        </w:numPr>
      </w:pPr>
      <w:r>
        <w:rPr>
          <w:rStyle w:val="MdStrong"/>
          <w:b/>
          <w:bCs/>
        </w:rPr>
        <w:t xml:space="preserve">التسويق الرقمي:</w:t>
      </w:r>
      <w:r>
        <w:t xml:space="preserve"> يشمل محركات البحث، وسائل التواصل الاجتماعي، وحملات البريد الإلكتروني.</w:t>
      </w:r>
    </w:p>
    <w:p>
      <w:pPr>
        <w:pStyle w:val="MdListItem"/>
        <w:numPr>
          <w:ilvl w:val="0"/>
          <w:numId w:val="2"/>
        </w:numPr>
      </w:pPr>
      <w:r>
        <w:rPr>
          <w:rStyle w:val="MdStrong"/>
          <w:b/>
          <w:bCs/>
        </w:rPr>
        <w:t xml:space="preserve">المشاركة في المعارض والمؤتمرات البيطرية:</w:t>
      </w:r>
      <w:r>
        <w:t xml:space="preserve"> لبناء العلاقات والوعي بالعلامة التجارية.</w:t>
      </w:r>
    </w:p>
    <w:p>
      <w:pPr>
        <w:pStyle w:val="MdSpace"/>
        <w:spacing w:before="0" w:after="60"/>
      </w:pPr>
    </w:p>
    <w:p>
      <w:pPr>
        <w:pStyle w:val="Heading2"/>
        <w:pStyle w:val="MdHeading2"/>
      </w:pPr>
      <w:r>
        <w:t xml:space="preserve">4. علاقات العملاء (Customer Relationships)</w:t>
      </w:r>
    </w:p>
    <w:p>
      <w:pPr>
        <w:pStyle w:val="MdListItem"/>
        <w:numPr>
          <w:ilvl w:val="0"/>
          <w:numId w:val="2"/>
        </w:numPr>
      </w:pPr>
      <w:r>
        <w:rPr>
          <w:rStyle w:val="MdStrong"/>
          <w:b/>
          <w:bCs/>
        </w:rPr>
        <w:t xml:space="preserve">دعم فني متخصص:</w:t>
      </w:r>
      <w:r>
        <w:t xml:space="preserve"> فريق دعم فني متخصص في المنتجات البيطرية.</w:t>
      </w:r>
    </w:p>
    <w:p>
      <w:pPr>
        <w:pStyle w:val="MdListItem"/>
        <w:numPr>
          <w:ilvl w:val="0"/>
          <w:numId w:val="2"/>
        </w:numPr>
      </w:pPr>
      <w:r>
        <w:rPr>
          <w:rStyle w:val="MdDel"/>
          <w:b/>
          <w:bCs/>
          <w:strike/>
        </w:rPr>
        <w:t xml:space="preserve">مدير حسابات شخصي:</w:t>
      </w:r>
      <w:r>
        <w:t xml:space="preserve">~~ للمشترين الكبار والموردين الرئيسيين.~~</w:t>
      </w:r>
    </w:p>
    <w:p>
      <w:pPr>
        <w:pStyle w:val="MdListItem"/>
        <w:numPr>
          <w:ilvl w:val="0"/>
          <w:numId w:val="2"/>
        </w:numPr>
      </w:pPr>
      <w:r>
        <w:rPr>
          <w:rStyle w:val="MdStrong"/>
          <w:b/>
          <w:bCs/>
        </w:rPr>
        <w:t xml:space="preserve">نظام تقييمات ومراجعات:</w:t>
      </w:r>
      <w:r>
        <w:t xml:space="preserve"> لبناء الثقة والمصداقية.</w:t>
      </w:r>
    </w:p>
    <w:p>
      <w:pPr>
        <w:pStyle w:val="MdListItem"/>
        <w:numPr>
          <w:ilvl w:val="0"/>
          <w:numId w:val="2"/>
        </w:numPr>
      </w:pPr>
      <w:r>
        <w:rPr>
          <w:rStyle w:val="MdStrong"/>
          <w:b/>
          <w:bCs/>
        </w:rPr>
        <w:t xml:space="preserve">قاعدة معرفية وأسئلة شائعة (FAQs):</w:t>
      </w:r>
      <w:r>
        <w:t xml:space="preserve"> لدعم المستخدمين بشكل ذاتي.</w:t>
      </w:r>
    </w:p>
    <w:p>
      <w:pPr>
        <w:pStyle w:val="MdSpace"/>
        <w:spacing w:before="0" w:after="60"/>
      </w:pPr>
    </w:p>
    <w:p>
      <w:pPr>
        <w:pStyle w:val="Heading2"/>
        <w:pStyle w:val="MdHeading2"/>
      </w:pPr>
      <w:r>
        <w:t xml:space="preserve">5. مصادر الإيرادات (Revenue Streams)</w:t>
      </w:r>
    </w:p>
    <w:p>
      <w:pPr>
        <w:pStyle w:val="MdListItem"/>
        <w:numPr>
          <w:ilvl w:val="0"/>
          <w:numId w:val="2"/>
        </w:numPr>
      </w:pPr>
      <w:r>
        <w:rPr>
          <w:rStyle w:val="MdStrong"/>
          <w:b/>
          <w:bCs/>
        </w:rPr>
        <w:t xml:space="preserve">العمولات على المبيعات (Commission Fees):</w:t>
      </w:r>
      <w:r>
        <w:t xml:space="preserve"> نسبة مئوية من كل عملية بيع تتم عبر المنصة.</w:t>
      </w:r>
    </w:p>
    <w:p>
      <w:pPr>
        <w:pStyle w:val="MdListItem"/>
        <w:numPr>
          <w:ilvl w:val="0"/>
          <w:numId w:val="2"/>
        </w:numPr>
      </w:pPr>
      <w:r>
        <w:rPr>
          <w:rStyle w:val="MdStrong"/>
          <w:b/>
          <w:bCs/>
        </w:rPr>
        <w:t xml:space="preserve">الإعلانات والترويج (Advertising &amp; Promotion):</w:t>
      </w:r>
      <w:r>
        <w:t xml:space="preserve"> رسوم من الموردين مقابل عرض اعلانات من خلال المنصة.</w:t>
      </w:r>
    </w:p>
    <w:p>
      <w:pPr>
        <w:pStyle w:val="MdListItem"/>
        <w:numPr>
          <w:ilvl w:val="0"/>
          <w:numId w:val="2"/>
        </w:numPr>
      </w:pPr>
      <w:r>
        <w:rPr>
          <w:rStyle w:val="MdStrong"/>
          <w:b/>
          <w:bCs/>
        </w:rPr>
        <w:t xml:space="preserve">~~رسوم الاشتراك للموردين (Subscription Fees): رسوم شهرية أو سنوية للموردين مقابل استخدام الميزات المتقدمة. ~~</w:t>
      </w:r>
      <w:r>
        <w:rPr>
          <w:rStyle w:val="MdDel"/>
          <w:strike/>
        </w:rPr>
        <w:t xml:space="preserve">سوف يتم التنفيذ لاحقا ليس في المرحلة الاولي</w:t>
      </w:r>
    </w:p>
    <w:p>
      <w:pPr>
        <w:pStyle w:val="MdListItem"/>
        <w:numPr>
          <w:ilvl w:val="0"/>
          <w:numId w:val="2"/>
        </w:numPr>
      </w:pPr>
      <w:r>
        <w:rPr>
          <w:rStyle w:val="MdDel"/>
          <w:b/>
          <w:bCs/>
          <w:strike/>
        </w:rPr>
        <w:t xml:space="preserve">الخدمات المميزة للأطباء البيطريون والعيادات (Premium Services):</w:t>
      </w:r>
      <w:r>
        <w:t xml:space="preserve">~~ رسوم إضافية مقابل خدمات ذات قيمة مضافة (مثل برامج إدارة العيادات المتقدمة). سوف يتم التنفيذ لاحقا ليس في المرحلة الاولي.~~</w:t>
      </w:r>
    </w:p>
    <w:p>
      <w:pPr>
        <w:pStyle w:val="MdSpace"/>
        <w:spacing w:before="0" w:after="60"/>
      </w:pPr>
    </w:p>
    <w:p>
      <w:pPr>
        <w:pStyle w:val="Heading2"/>
        <w:pStyle w:val="MdHeading2"/>
      </w:pPr>
      <w:r>
        <w:t xml:space="preserve">6. الموارد الرئيسية (Key Resources)</w:t>
      </w:r>
    </w:p>
    <w:p>
      <w:pPr>
        <w:pStyle w:val="MdListItem"/>
        <w:numPr>
          <w:ilvl w:val="0"/>
          <w:numId w:val="2"/>
        </w:numPr>
      </w:pPr>
      <w:r>
        <w:rPr>
          <w:rStyle w:val="MdStrong"/>
          <w:b/>
          <w:bCs/>
        </w:rPr>
        <w:t xml:space="preserve">المنصة الإلكترونية:</w:t>
      </w:r>
      <w:r>
        <w:t xml:space="preserve"> الموقع الإلكتروني وتطبيق الهاتف المحمول.</w:t>
      </w:r>
    </w:p>
    <w:p>
      <w:pPr>
        <w:pStyle w:val="MdListItem"/>
        <w:numPr>
          <w:ilvl w:val="0"/>
          <w:numId w:val="2"/>
        </w:numPr>
      </w:pPr>
      <w:r>
        <w:rPr>
          <w:rStyle w:val="MdStrong"/>
          <w:b/>
          <w:bCs/>
        </w:rPr>
        <w:t xml:space="preserve">فريق العمل:</w:t>
      </w:r>
      <w:r>
        <w:t xml:space="preserve"> مطورون، مسوقون، فريق مبيعات، خدمة عملاء، خبراء بيطريون.</w:t>
      </w:r>
    </w:p>
    <w:p>
      <w:pPr>
        <w:pStyle w:val="MdListItem"/>
        <w:numPr>
          <w:ilvl w:val="0"/>
          <w:numId w:val="2"/>
        </w:numPr>
      </w:pPr>
      <w:r>
        <w:rPr>
          <w:rStyle w:val="MdStrong"/>
          <w:b/>
          <w:bCs/>
        </w:rPr>
        <w:t xml:space="preserve">شبكة الموردين:</w:t>
      </w:r>
      <w:r>
        <w:t xml:space="preserve"> قاعدة بيانات قوية من الموردين الموثوقين.</w:t>
      </w:r>
    </w:p>
    <w:p>
      <w:pPr>
        <w:pStyle w:val="MdListItem"/>
        <w:numPr>
          <w:ilvl w:val="0"/>
          <w:numId w:val="2"/>
        </w:numPr>
      </w:pPr>
      <w:r>
        <w:rPr>
          <w:rStyle w:val="MdStrong"/>
          <w:b/>
          <w:bCs/>
        </w:rPr>
        <w:t xml:space="preserve">العلامة التجارية والسمعة:</w:t>
      </w:r>
      <w:r>
        <w:t xml:space="preserve"> بناء علامة تجارية موثوقة وذات سمعة جيدة.</w:t>
      </w:r>
    </w:p>
    <w:p>
      <w:pPr>
        <w:pStyle w:val="MdListItem"/>
        <w:numPr>
          <w:ilvl w:val="0"/>
          <w:numId w:val="2"/>
        </w:numPr>
      </w:pPr>
      <w:r>
        <w:rPr>
          <w:rStyle w:val="MdStrong"/>
          <w:b/>
          <w:bCs/>
        </w:rPr>
        <w:t xml:space="preserve">البيانات والإحصائيات:</w:t>
      </w:r>
      <w:r>
        <w:t xml:space="preserve"> بيانات حول سلوك المستخدمين والمبيعات.</w:t>
      </w:r>
    </w:p>
    <w:p>
      <w:pPr>
        <w:pStyle w:val="MdSpace"/>
        <w:spacing w:before="0" w:after="60"/>
      </w:pPr>
    </w:p>
    <w:p>
      <w:pPr>
        <w:pStyle w:val="Heading2"/>
        <w:pStyle w:val="MdHeading2"/>
      </w:pPr>
      <w:r>
        <w:t xml:space="preserve">7. الأنشطة الرئيسية (Key Activities)</w:t>
      </w:r>
    </w:p>
    <w:p>
      <w:pPr>
        <w:pStyle w:val="MdListItem"/>
        <w:numPr>
          <w:ilvl w:val="0"/>
          <w:numId w:val="2"/>
        </w:numPr>
      </w:pPr>
      <w:r>
        <w:rPr>
          <w:rStyle w:val="MdStrong"/>
          <w:b/>
          <w:bCs/>
        </w:rPr>
        <w:t xml:space="preserve">تطوير وإدارة المنصة:</w:t>
      </w:r>
      <w:r>
        <w:t xml:space="preserve"> صيانة وتحديث المنصة الإلكترونية (الموقع والتطبيق).</w:t>
      </w:r>
    </w:p>
    <w:p>
      <w:pPr>
        <w:pStyle w:val="MdListItem"/>
        <w:numPr>
          <w:ilvl w:val="0"/>
          <w:numId w:val="2"/>
        </w:numPr>
      </w:pPr>
      <w:r>
        <w:rPr>
          <w:rStyle w:val="MdStrong"/>
          <w:b/>
          <w:bCs/>
        </w:rPr>
        <w:t xml:space="preserve">إدارة الموردين والمنتجات:</w:t>
      </w:r>
      <w:r>
        <w:t xml:space="preserve"> جذب الموردين الجدد، مراجعة المنتجات، وإدارة المخزون.</w:t>
      </w:r>
    </w:p>
    <w:p>
      <w:pPr>
        <w:pStyle w:val="MdListItem"/>
        <w:numPr>
          <w:ilvl w:val="0"/>
          <w:numId w:val="2"/>
        </w:numPr>
      </w:pPr>
      <w:r>
        <w:rPr>
          <w:rStyle w:val="MdStrong"/>
          <w:b/>
          <w:bCs/>
        </w:rPr>
        <w:t xml:space="preserve">التسويق والمبيعات:</w:t>
      </w:r>
      <w:r>
        <w:t xml:space="preserve"> جذب المشترين والموردين، وبناء الوعي بالعلامة التجارية.</w:t>
      </w:r>
    </w:p>
    <w:p>
      <w:pPr>
        <w:pStyle w:val="MdListItem"/>
        <w:numPr>
          <w:ilvl w:val="0"/>
          <w:numId w:val="2"/>
        </w:numPr>
      </w:pPr>
      <w:r>
        <w:rPr>
          <w:rStyle w:val="MdStrong"/>
          <w:b/>
          <w:bCs/>
        </w:rPr>
        <w:t xml:space="preserve">خدمة العملاء والدعم الفني:</w:t>
      </w:r>
      <w:r>
        <w:t xml:space="preserve"> حل المشكلات وتقديم المساعدة للمستخدمين.</w:t>
      </w:r>
    </w:p>
    <w:p>
      <w:pPr>
        <w:pStyle w:val="MdListItem"/>
        <w:numPr>
          <w:ilvl w:val="0"/>
          <w:numId w:val="2"/>
        </w:numPr>
      </w:pPr>
      <w:r>
        <w:rPr>
          <w:rStyle w:val="MdStrong"/>
          <w:b/>
          <w:bCs/>
        </w:rPr>
        <w:t xml:space="preserve">إدارة العمليات اللوجستية:</w:t>
      </w:r>
      <w:r>
        <w:t xml:space="preserve"> تتبع الشحنات وضمان التسليم في الوقت المناسب.</w:t>
      </w:r>
    </w:p>
    <w:p>
      <w:pPr>
        <w:pStyle w:val="MdSpace"/>
        <w:spacing w:before="0" w:after="60"/>
      </w:pPr>
    </w:p>
    <w:p>
      <w:pPr>
        <w:pStyle w:val="Heading2"/>
        <w:pStyle w:val="MdHeading2"/>
      </w:pPr>
      <w:r>
        <w:t xml:space="preserve">8. الشركاء الرئيسيون (Key Partners)</w:t>
      </w:r>
    </w:p>
    <w:p>
      <w:pPr>
        <w:pStyle w:val="MdListItem"/>
        <w:numPr>
          <w:ilvl w:val="0"/>
          <w:numId w:val="2"/>
        </w:numPr>
      </w:pPr>
      <w:r>
        <w:rPr>
          <w:rStyle w:val="MdStrong"/>
          <w:b/>
          <w:bCs/>
        </w:rPr>
        <w:t xml:space="preserve">الموردون والمصنعون:</w:t>
      </w:r>
      <w:r>
        <w:t xml:space="preserve"> شركات الأدوية والمستلزمات البيطرية المحلية والدولية.</w:t>
      </w:r>
    </w:p>
    <w:p>
      <w:pPr>
        <w:pStyle w:val="MdListItem"/>
        <w:numPr>
          <w:ilvl w:val="0"/>
          <w:numId w:val="2"/>
        </w:numPr>
      </w:pPr>
      <w:r>
        <w:rPr>
          <w:rStyle w:val="MdStrong"/>
          <w:b/>
          <w:bCs/>
        </w:rPr>
        <w:t xml:space="preserve">شركات الشحن والخدمات اللوجستية:</w:t>
      </w:r>
      <w:r>
        <w:t xml:space="preserve"> لضمان توصيل المنتجات بكفاءة.</w:t>
      </w:r>
    </w:p>
    <w:p>
      <w:pPr>
        <w:pStyle w:val="MdListItem"/>
        <w:numPr>
          <w:ilvl w:val="0"/>
          <w:numId w:val="2"/>
        </w:numPr>
      </w:pPr>
      <w:r>
        <w:rPr>
          <w:rStyle w:val="MdStrong"/>
          <w:b/>
          <w:bCs/>
        </w:rPr>
        <w:t xml:space="preserve">بوابات الدفع الإلكتروني: مثل PayMob عمليات الدفع الآمنة</w:t>
      </w:r>
      <w:r>
        <w:t xml:space="preserve">.</w:t>
      </w:r>
    </w:p>
    <w:p>
      <w:pPr>
        <w:pStyle w:val="MdListItem"/>
        <w:numPr>
          <w:ilvl w:val="0"/>
          <w:numId w:val="2"/>
        </w:numPr>
      </w:pPr>
      <w:r>
        <w:rPr>
          <w:rStyle w:val="MdStrong"/>
          <w:b/>
          <w:bCs/>
        </w:rPr>
        <w:t xml:space="preserve">النقابات والجمعيات البيطرية:</w:t>
      </w:r>
      <w:r>
        <w:t xml:space="preserve"> للوصول إلى الأطباء البيطريين وبناء الثقة.</w:t>
      </w:r>
    </w:p>
    <w:p>
      <w:pPr>
        <w:pStyle w:val="MdListItem"/>
        <w:numPr>
          <w:ilvl w:val="0"/>
          <w:numId w:val="2"/>
        </w:numPr>
      </w:pPr>
      <w:r>
        <w:rPr>
          <w:rStyle w:val="MdStrong"/>
          <w:b/>
          <w:bCs/>
        </w:rPr>
        <w:t xml:space="preserve">مقدمو الخدمات السحابية:</w:t>
      </w:r>
      <w:r>
        <w:t xml:space="preserve"> مثل Azure أو AWS لاستضافة البنية التحتية للمنصة.</w:t>
      </w:r>
    </w:p>
    <w:p>
      <w:pPr>
        <w:pStyle w:val="MdSpace"/>
        <w:spacing w:before="0" w:after="60"/>
      </w:pPr>
    </w:p>
    <w:p>
      <w:pPr>
        <w:pStyle w:val="Heading2"/>
        <w:pStyle w:val="MdHeading2"/>
      </w:pPr>
      <w:r>
        <w:t xml:space="preserve">9. هيكل التكاليف (Cost Structure)</w:t>
      </w:r>
    </w:p>
    <w:p>
      <w:pPr>
        <w:pStyle w:val="MdListItem"/>
        <w:numPr>
          <w:ilvl w:val="0"/>
          <w:numId w:val="2"/>
        </w:numPr>
      </w:pPr>
      <w:r>
        <w:rPr>
          <w:rStyle w:val="MdStrong"/>
          <w:b/>
          <w:bCs/>
        </w:rPr>
        <w:t xml:space="preserve">تكاليف تطوير وصيانة المنصة:</w:t>
      </w:r>
      <w:r>
        <w:t xml:space="preserve"> رواتب المطورين، تكاليف الاستضافة السحابية.</w:t>
      </w:r>
    </w:p>
    <w:p>
      <w:pPr>
        <w:pStyle w:val="MdListItem"/>
        <w:numPr>
          <w:ilvl w:val="0"/>
          <w:numId w:val="2"/>
        </w:numPr>
      </w:pPr>
      <w:r>
        <w:rPr>
          <w:rStyle w:val="MdStrong"/>
          <w:b/>
          <w:bCs/>
        </w:rPr>
        <w:t xml:space="preserve">رواتب فريق العمل:</w:t>
      </w:r>
      <w:r>
        <w:t xml:space="preserve"> (التسويق، المبيعات، خدمة العملاء، الإدارة).</w:t>
      </w:r>
    </w:p>
    <w:p>
      <w:pPr>
        <w:pStyle w:val="MdListItem"/>
        <w:numPr>
          <w:ilvl w:val="0"/>
          <w:numId w:val="2"/>
        </w:numPr>
      </w:pPr>
      <w:r>
        <w:rPr>
          <w:rStyle w:val="MdStrong"/>
          <w:b/>
          <w:bCs/>
        </w:rPr>
        <w:t xml:space="preserve">تكاليف التسويق والإعلان:</w:t>
      </w:r>
      <w:r>
        <w:t xml:space="preserve"> حملات التسويق الرقمي والمشاركة في المعارض.</w:t>
      </w:r>
    </w:p>
    <w:p>
      <w:pPr>
        <w:pStyle w:val="MdListItem"/>
        <w:numPr>
          <w:ilvl w:val="0"/>
          <w:numId w:val="2"/>
        </w:numPr>
      </w:pPr>
      <w:r>
        <w:rPr>
          <w:rStyle w:val="MdStrong"/>
          <w:b/>
          <w:bCs/>
        </w:rPr>
        <w:t xml:space="preserve">تكاليف الشحن والخدمات اللوجستية:</w:t>
      </w:r>
      <w:r>
        <w:t xml:space="preserve"> (إذا كانت المنصة ستتحمل جزءًا منها أو تدعمها).</w:t>
      </w:r>
    </w:p>
    <w:p>
      <w:pPr>
        <w:pStyle w:val="MdListItem"/>
        <w:numPr>
          <w:ilvl w:val="0"/>
          <w:numId w:val="2"/>
        </w:numPr>
      </w:pPr>
      <w:r>
        <w:rPr>
          <w:rStyle w:val="MdStrong"/>
          <w:b/>
          <w:bCs/>
        </w:rPr>
        <w:t xml:space="preserve">تكاليف بوابات الدفع:</w:t>
      </w:r>
      <w:r>
        <w:t xml:space="preserve"> رسوم المعاملات التي تفرضها بوابات الدفع الإلكتروني.</w:t>
      </w:r>
    </w:p>
    <w:p>
      <w:pPr>
        <w:pStyle w:val="MdListItem"/>
        <w:numPr>
          <w:ilvl w:val="0"/>
          <w:numId w:val="2"/>
        </w:numPr>
      </w:pPr>
      <w:r>
        <w:rPr>
          <w:rStyle w:val="MdStrong"/>
          <w:b/>
          <w:bCs/>
        </w:rPr>
        <w:t xml:space="preserve">التكاليف الإدارية والعامة:</w:t>
      </w:r>
      <w:r>
        <w:t xml:space="preserve"> مثل إيجار المكتب، الفواتير، والتراخيص القانونية.</w:t>
      </w:r>
    </w:p>
    <w:p>
      <w:pPr>
        <w:pStyle w:val="MdSpace"/>
        <w:spacing w:before="0" w:after="60"/>
      </w:pPr>
    </w:p>
    <w:p>
      <w:pPr>
        <w:pStyle w:val="MdParagraph"/>
      </w:pPr>
      <w:r>
        <w:t xml:space="preserve">هذا النموذج يوفر إطارًا واضحًا لفهم كيفية عمل المنصة المقترحة، وكيفية خلق القيمة، ومن سيخدم، وكيف ستحقق الإيرادات، وما هي التكاليف المرتبطة بها.</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2025-10-09T10:44:43.435Z</dcterms:created>
  <dcterms:modified xsi:type="dcterms:W3CDTF">2025-10-09T10:44:43.435Z</dcterms:modified>
</cp:coreProperties>
</file>

<file path=docProps/custom.xml><?xml version="1.0" encoding="utf-8"?>
<Properties xmlns="http://schemas.openxmlformats.org/officeDocument/2006/custom-properties" xmlns:vt="http://schemas.openxmlformats.org/officeDocument/2006/docPropsVTypes"/>
</file>