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keepNext w:val="true"/>
        <w:keepLines/>
        <w:spacing w:before="240" w:after="0"/>
        <w:ind w:left="720" w:right="720" w:hanging="0"/>
        <w:jc w:val="center"/>
        <w:rPr>
          <w:sz w:val="22"/>
          <w:szCs w:val="22"/>
        </w:rPr>
      </w:pPr>
      <w:r>
        <w:rPr>
          <w:b/>
          <w:sz w:val="22"/>
          <w:szCs w:val="22"/>
        </w:rPr>
        <w:t>SERVICE CONTRACT</w:t>
        <w:br/>
        <w:br/>
        <w:t>Contract No. _______</w:t>
        <w:br/>
      </w:r>
    </w:p>
    <w:p>
      <w:pPr>
        <w:pStyle w:val="Normal"/>
        <w:ind w:hanging="0"/>
        <w:jc w:val="both"/>
        <w:rPr>
          <w:sz w:val="22"/>
          <w:szCs w:val="22"/>
        </w:rPr>
      </w:pPr>
      <w:bookmarkStart w:id="0" w:name="_gjdgxs"/>
      <w:bookmarkEnd w:id="0"/>
      <w:r>
        <w:rPr>
          <w:sz w:val="22"/>
          <w:szCs w:val="22"/>
        </w:rPr>
        <w:t>THIS SERVICE CONTRACT entered into as of __________ by and between MERCY CORPS, a State of Washington, U.S.A. nonprofit corporation having its principal office in Portland, Oregon, U.S.A. (“Mercy Corps”) and _____________________________ (“Contractor”) is as follows:</w:t>
      </w:r>
    </w:p>
    <w:p>
      <w:pPr>
        <w:pStyle w:val="Normal"/>
        <w:numPr>
          <w:ilvl w:val="0"/>
          <w:numId w:val="1"/>
        </w:numPr>
        <w:tabs>
          <w:tab w:val="clear" w:pos="720"/>
          <w:tab w:val="left" w:pos="360" w:leader="none"/>
        </w:tabs>
        <w:ind w:left="0" w:firstLine="72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pPr>
        <w:pStyle w:val="Normal"/>
        <w:numPr>
          <w:ilvl w:val="0"/>
          <w:numId w:val="1"/>
        </w:numPr>
        <w:tabs>
          <w:tab w:val="clear" w:pos="720"/>
          <w:tab w:val="left" w:pos="360" w:leader="none"/>
        </w:tabs>
        <w:ind w:left="0" w:firstLine="720"/>
        <w:jc w:val="both"/>
        <w:rPr>
          <w:sz w:val="22"/>
          <w:szCs w:val="22"/>
        </w:rPr>
      </w:pPr>
      <w:r>
        <w:rPr>
          <w:b/>
          <w:sz w:val="22"/>
          <w:szCs w:val="22"/>
        </w:rPr>
        <w:t>Delivery of Services</w:t>
      </w:r>
      <w:r>
        <w:rPr>
          <w:sz w:val="22"/>
          <w:szCs w:val="22"/>
        </w:rPr>
        <w:t xml:space="preserve">.   </w:t>
      </w:r>
    </w:p>
    <w:p>
      <w:pPr>
        <w:pStyle w:val="Normal"/>
        <w:numPr>
          <w:ilvl w:val="1"/>
          <w:numId w:val="1"/>
        </w:numPr>
        <w:ind w:left="720"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pPr>
        <w:pStyle w:val="Normal"/>
        <w:numPr>
          <w:ilvl w:val="4"/>
          <w:numId w:val="1"/>
        </w:numPr>
        <w:ind w:left="720" w:hanging="360"/>
        <w:jc w:val="both"/>
        <w:rPr>
          <w:highlight w:val="none"/>
          <w:shd w:fill="FF0000" w:val="clear"/>
        </w:rPr>
      </w:pPr>
      <w:r>
        <w:rPr>
          <w:sz w:val="22"/>
          <w:szCs w:val="22"/>
          <w:shd w:fill="FF0000" w:val="clear"/>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pPr>
        <w:pStyle w:val="Normal"/>
        <w:numPr>
          <w:ilvl w:val="0"/>
          <w:numId w:val="1"/>
        </w:numPr>
        <w:tabs>
          <w:tab w:val="clear" w:pos="720"/>
          <w:tab w:val="left" w:pos="360" w:leader="none"/>
        </w:tabs>
        <w:ind w:left="0" w:firstLine="72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provided that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Invoicing and Payment</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pPr>
        <w:pStyle w:val="Normal"/>
        <w:numPr>
          <w:ilvl w:val="1"/>
          <w:numId w:val="1"/>
        </w:numPr>
        <w:tabs>
          <w:tab w:val="clear" w:pos="720"/>
          <w:tab w:val="left" w:pos="360" w:leader="none"/>
        </w:tabs>
        <w:ind w:left="720" w:hanging="360"/>
        <w:jc w:val="both"/>
        <w:rPr>
          <w:sz w:val="22"/>
          <w:szCs w:val="22"/>
        </w:rPr>
      </w:pPr>
      <w:r>
        <w:rPr>
          <w:sz w:val="22"/>
          <w:szCs w:val="22"/>
        </w:rPr>
        <w:t>Mercy Corps may off-set any amount it owes Contractor against any amount Contractor owes Mercy Corps.</w:t>
      </w:r>
    </w:p>
    <w:p>
      <w:pPr>
        <w:pStyle w:val="Normal"/>
        <w:numPr>
          <w:ilvl w:val="0"/>
          <w:numId w:val="1"/>
        </w:numPr>
        <w:tabs>
          <w:tab w:val="clear" w:pos="720"/>
          <w:tab w:val="left" w:pos="360" w:leader="none"/>
        </w:tabs>
        <w:ind w:left="360" w:hanging="360"/>
        <w:jc w:val="both"/>
        <w:rPr>
          <w:sz w:val="22"/>
          <w:szCs w:val="22"/>
        </w:rPr>
      </w:pPr>
      <w:r>
        <w:rPr>
          <w:b/>
          <w:sz w:val="22"/>
          <w:szCs w:val="22"/>
        </w:rPr>
        <w:t>Taxes, Duties and Expenses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pPr>
        <w:pStyle w:val="Normal"/>
        <w:numPr>
          <w:ilvl w:val="1"/>
          <w:numId w:val="1"/>
        </w:numPr>
        <w:tabs>
          <w:tab w:val="clear" w:pos="720"/>
          <w:tab w:val="left" w:pos="360" w:leader="none"/>
        </w:tabs>
        <w:ind w:left="720"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pPr>
        <w:pStyle w:val="Normal"/>
        <w:numPr>
          <w:ilvl w:val="0"/>
          <w:numId w:val="1"/>
        </w:numPr>
        <w:tabs>
          <w:tab w:val="clear" w:pos="720"/>
          <w:tab w:val="left" w:pos="360" w:leader="none"/>
        </w:tabs>
        <w:ind w:left="360"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pPr>
        <w:pStyle w:val="Normal"/>
        <w:numPr>
          <w:ilvl w:val="1"/>
          <w:numId w:val="1"/>
        </w:numPr>
        <w:tabs>
          <w:tab w:val="clear" w:pos="720"/>
          <w:tab w:val="left" w:pos="360" w:leader="none"/>
        </w:tabs>
        <w:ind w:left="720"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pPr>
        <w:pStyle w:val="Normal"/>
        <w:numPr>
          <w:ilvl w:val="1"/>
          <w:numId w:val="1"/>
        </w:numPr>
        <w:tabs>
          <w:tab w:val="clear" w:pos="720"/>
          <w:tab w:val="left" w:pos="360" w:leader="none"/>
        </w:tabs>
        <w:ind w:left="720" w:hanging="360"/>
        <w:jc w:val="both"/>
        <w:rPr>
          <w:sz w:val="22"/>
          <w:szCs w:val="22"/>
        </w:rPr>
      </w:pPr>
      <w:r>
        <w:rPr>
          <w:sz w:val="22"/>
          <w:szCs w:val="22"/>
        </w:rPr>
        <w:t>Contractor has the requisite skills to perform the Services in accordance with the SOW.</w:t>
      </w:r>
    </w:p>
    <w:p>
      <w:pPr>
        <w:pStyle w:val="Normal"/>
        <w:numPr>
          <w:ilvl w:val="1"/>
          <w:numId w:val="1"/>
        </w:numPr>
        <w:tabs>
          <w:tab w:val="clear" w:pos="720"/>
          <w:tab w:val="left" w:pos="360" w:leader="none"/>
        </w:tabs>
        <w:ind w:left="720"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pPr>
        <w:pStyle w:val="Normal"/>
        <w:numPr>
          <w:ilvl w:val="1"/>
          <w:numId w:val="1"/>
        </w:numPr>
        <w:tabs>
          <w:tab w:val="clear" w:pos="720"/>
          <w:tab w:val="left" w:pos="360" w:leader="none"/>
        </w:tabs>
        <w:ind w:left="720" w:hanging="360"/>
        <w:jc w:val="both"/>
        <w:rPr>
          <w:sz w:val="22"/>
          <w:szCs w:val="22"/>
        </w:rPr>
      </w:pPr>
      <w:r>
        <w:rPr>
          <w:sz w:val="22"/>
          <w:szCs w:val="22"/>
        </w:rPr>
        <w:t>Contractor will comply with all applicable law, regulations and rules in the performance of its obligations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2">
        <w:r>
          <w:rPr>
            <w:color w:val="0000FF"/>
            <w:sz w:val="22"/>
            <w:szCs w:val="22"/>
            <w:u w:val="single"/>
          </w:rPr>
          <w:t>http://www.un.org/sc/committees/1267/aq_sanctions_list.shtml</w:t>
        </w:r>
      </w:hyperlink>
      <w:r>
        <w:rPr>
          <w:sz w:val="22"/>
          <w:szCs w:val="22"/>
        </w:rPr>
        <w:t>).</w:t>
      </w:r>
    </w:p>
    <w:p>
      <w:pPr>
        <w:pStyle w:val="Normal"/>
        <w:numPr>
          <w:ilvl w:val="1"/>
          <w:numId w:val="1"/>
        </w:numPr>
        <w:tabs>
          <w:tab w:val="clear" w:pos="720"/>
          <w:tab w:val="left" w:pos="360" w:leader="none"/>
        </w:tabs>
        <w:ind w:left="720"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pPr>
        <w:pStyle w:val="Normal"/>
        <w:numPr>
          <w:ilvl w:val="1"/>
          <w:numId w:val="1"/>
        </w:numPr>
        <w:tabs>
          <w:tab w:val="clear" w:pos="720"/>
          <w:tab w:val="left" w:pos="360" w:leader="none"/>
        </w:tabs>
        <w:ind w:left="720"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pPr>
        <w:pStyle w:val="Normal"/>
        <w:numPr>
          <w:ilvl w:val="1"/>
          <w:numId w:val="1"/>
        </w:numPr>
        <w:tabs>
          <w:tab w:val="clear" w:pos="720"/>
          <w:tab w:val="left" w:pos="360" w:leader="none"/>
        </w:tabs>
        <w:ind w:left="720"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pPr>
        <w:pStyle w:val="Normal"/>
        <w:numPr>
          <w:ilvl w:val="1"/>
          <w:numId w:val="1"/>
        </w:numPr>
        <w:tabs>
          <w:tab w:val="clear" w:pos="720"/>
          <w:tab w:val="left" w:pos="360" w:leader="none"/>
        </w:tabs>
        <w:ind w:left="720" w:hanging="360"/>
        <w:jc w:val="both"/>
        <w:rPr>
          <w:sz w:val="22"/>
          <w:szCs w:val="22"/>
        </w:rPr>
      </w:pPr>
      <w:r>
        <w:rPr>
          <w:sz w:val="22"/>
          <w:szCs w:val="22"/>
        </w:rPr>
        <w:t>Contractor is not the subject or any governmental or donor investigation and has not been debarred or suspended by any government, governmental agency or donor.</w:t>
      </w:r>
    </w:p>
    <w:p>
      <w:pPr>
        <w:pStyle w:val="Normal"/>
        <w:numPr>
          <w:ilvl w:val="0"/>
          <w:numId w:val="1"/>
        </w:numPr>
        <w:tabs>
          <w:tab w:val="clear" w:pos="720"/>
          <w:tab w:val="left" w:pos="360" w:leader="none"/>
        </w:tabs>
        <w:ind w:left="0" w:firstLine="72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Work Product and Intellectual Property Rights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 xml:space="preserve"> “</w:t>
      </w:r>
      <w:r>
        <w:rPr>
          <w:sz w:val="22"/>
          <w:szCs w:val="22"/>
        </w:rPr>
        <w:t xml:space="preserve">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any intellectual property, intellectual property rights, materials, tangible personal property, or other assets of Mercy Corps; and (2)  materials that contain, embody, disclose, reflect, or refer to any of the foregoing.  </w:t>
      </w:r>
    </w:p>
    <w:p>
      <w:pPr>
        <w:pStyle w:val="Normal"/>
        <w:numPr>
          <w:ilvl w:val="1"/>
          <w:numId w:val="1"/>
        </w:numPr>
        <w:tabs>
          <w:tab w:val="clear" w:pos="720"/>
          <w:tab w:val="left" w:pos="360" w:leader="none"/>
        </w:tabs>
        <w:ind w:left="720"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pPr>
        <w:pStyle w:val="Normal"/>
        <w:numPr>
          <w:ilvl w:val="1"/>
          <w:numId w:val="1"/>
        </w:numPr>
        <w:tabs>
          <w:tab w:val="clear" w:pos="720"/>
          <w:tab w:val="left" w:pos="360" w:leader="none"/>
        </w:tabs>
        <w:ind w:left="720"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Contractor hereby irrevocably assigns and transfers to Mercy Corps (i) all rights, title and interest in all Work Product, (ii) all related rights and remedies, and (iii) all claims (for damages or otherwise) and causes of action with respect to any Work Product.</w:t>
      </w:r>
    </w:p>
    <w:p>
      <w:pPr>
        <w:pStyle w:val="Normal"/>
        <w:numPr>
          <w:ilvl w:val="1"/>
          <w:numId w:val="1"/>
        </w:numPr>
        <w:tabs>
          <w:tab w:val="clear" w:pos="720"/>
          <w:tab w:val="left" w:pos="360" w:leader="none"/>
        </w:tabs>
        <w:ind w:left="720"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pPr>
        <w:pStyle w:val="Normal"/>
        <w:numPr>
          <w:ilvl w:val="0"/>
          <w:numId w:val="1"/>
        </w:numPr>
        <w:tabs>
          <w:tab w:val="clear" w:pos="720"/>
          <w:tab w:val="left" w:pos="360" w:leader="none"/>
        </w:tabs>
        <w:ind w:left="0" w:firstLine="72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pPr>
        <w:pStyle w:val="Normal"/>
        <w:numPr>
          <w:ilvl w:val="0"/>
          <w:numId w:val="1"/>
        </w:numPr>
        <w:tabs>
          <w:tab w:val="clear" w:pos="720"/>
          <w:tab w:val="left" w:pos="360" w:leader="none"/>
        </w:tabs>
        <w:ind w:left="0" w:firstLine="72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pPr>
        <w:pStyle w:val="Normal"/>
        <w:numPr>
          <w:ilvl w:val="0"/>
          <w:numId w:val="1"/>
        </w:numPr>
        <w:tabs>
          <w:tab w:val="clear" w:pos="720"/>
          <w:tab w:val="left" w:pos="360" w:leader="none"/>
        </w:tabs>
        <w:ind w:left="360" w:hanging="360"/>
        <w:jc w:val="both"/>
        <w:rPr>
          <w:sz w:val="22"/>
          <w:szCs w:val="22"/>
        </w:rPr>
      </w:pPr>
      <w:r>
        <w:rPr>
          <w:b/>
          <w:sz w:val="22"/>
          <w:szCs w:val="22"/>
        </w:rPr>
        <w:t xml:space="preserve">Termination.  </w:t>
      </w:r>
      <w:r>
        <w:rPr>
          <w:sz w:val="22"/>
          <w:szCs w:val="22"/>
        </w:rPr>
        <w:t>This Contract may be terminated under the following circumstances:</w:t>
      </w:r>
    </w:p>
    <w:p>
      <w:pPr>
        <w:pStyle w:val="Normal"/>
        <w:numPr>
          <w:ilvl w:val="1"/>
          <w:numId w:val="1"/>
        </w:numPr>
        <w:tabs>
          <w:tab w:val="clear" w:pos="720"/>
          <w:tab w:val="left" w:pos="360" w:leader="none"/>
        </w:tabs>
        <w:ind w:left="720" w:hanging="360"/>
        <w:jc w:val="both"/>
        <w:rPr>
          <w:sz w:val="22"/>
          <w:szCs w:val="22"/>
        </w:rPr>
      </w:pPr>
      <w:r>
        <w:rPr>
          <w:sz w:val="22"/>
          <w:szCs w:val="22"/>
        </w:rPr>
        <w:t>by both Parties on mutual written agreement of the Parties;</w:t>
      </w:r>
    </w:p>
    <w:p>
      <w:pPr>
        <w:pStyle w:val="Normal"/>
        <w:numPr>
          <w:ilvl w:val="1"/>
          <w:numId w:val="1"/>
        </w:numPr>
        <w:tabs>
          <w:tab w:val="clear" w:pos="720"/>
          <w:tab w:val="left" w:pos="360" w:leader="none"/>
        </w:tabs>
        <w:ind w:left="720" w:hanging="360"/>
        <w:jc w:val="both"/>
        <w:rPr>
          <w:sz w:val="22"/>
          <w:szCs w:val="22"/>
        </w:rPr>
      </w:pPr>
      <w:r>
        <w:rPr>
          <w:sz w:val="22"/>
          <w:szCs w:val="22"/>
        </w:rPr>
        <w:t>by either Party for its convenience with written notice and after the Termination Notice Period specified in Schedule I has expired;</w:t>
      </w:r>
    </w:p>
    <w:p>
      <w:pPr>
        <w:pStyle w:val="Normal"/>
        <w:numPr>
          <w:ilvl w:val="1"/>
          <w:numId w:val="1"/>
        </w:numPr>
        <w:tabs>
          <w:tab w:val="clear" w:pos="720"/>
          <w:tab w:val="left" w:pos="360" w:leader="none"/>
        </w:tabs>
        <w:ind w:left="720"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by either Party due to the non-terminating Party’s breach of this Contract and failure to correct such breach within 15 days prior notice of such breach;</w:t>
      </w:r>
    </w:p>
    <w:p>
      <w:pPr>
        <w:pStyle w:val="Normal"/>
        <w:numPr>
          <w:ilvl w:val="1"/>
          <w:numId w:val="1"/>
        </w:numPr>
        <w:tabs>
          <w:tab w:val="clear" w:pos="720"/>
          <w:tab w:val="left" w:pos="360" w:leader="none"/>
        </w:tabs>
        <w:ind w:left="720"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pPr>
        <w:pStyle w:val="Normal"/>
        <w:numPr>
          <w:ilvl w:val="1"/>
          <w:numId w:val="1"/>
        </w:numPr>
        <w:tabs>
          <w:tab w:val="clear" w:pos="720"/>
          <w:tab w:val="left" w:pos="360" w:leader="none"/>
        </w:tabs>
        <w:ind w:left="720"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pPr>
        <w:pStyle w:val="Normal"/>
        <w:tabs>
          <w:tab w:val="clear" w:pos="720"/>
          <w:tab w:val="left" w:pos="360" w:leader="none"/>
        </w:tabs>
        <w:ind w:hanging="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pPr>
        <w:pStyle w:val="Normal"/>
        <w:tabs>
          <w:tab w:val="clear" w:pos="720"/>
          <w:tab w:val="left" w:pos="360" w:leader="none"/>
        </w:tabs>
        <w:spacing w:before="0" w:after="0"/>
        <w:ind w:hanging="0"/>
        <w:jc w:val="both"/>
        <w:rPr>
          <w:sz w:val="22"/>
          <w:szCs w:val="22"/>
        </w:rPr>
      </w:pPr>
      <w:r>
        <w:rPr>
          <w:sz w:val="22"/>
          <w:szCs w:val="22"/>
        </w:rPr>
      </w:r>
    </w:p>
    <w:p>
      <w:pPr>
        <w:pStyle w:val="Normal"/>
        <w:numPr>
          <w:ilvl w:val="0"/>
          <w:numId w:val="1"/>
        </w:numPr>
        <w:tabs>
          <w:tab w:val="clear" w:pos="720"/>
          <w:tab w:val="left" w:pos="360" w:leader="none"/>
        </w:tabs>
        <w:ind w:left="0" w:firstLine="72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pPr>
        <w:pStyle w:val="Normal"/>
        <w:numPr>
          <w:ilvl w:val="0"/>
          <w:numId w:val="1"/>
        </w:numPr>
        <w:tabs>
          <w:tab w:val="clear" w:pos="720"/>
          <w:tab w:val="left" w:pos="360" w:leader="none"/>
        </w:tabs>
        <w:ind w:left="0" w:firstLine="72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pPr>
        <w:pStyle w:val="Normal"/>
        <w:numPr>
          <w:ilvl w:val="0"/>
          <w:numId w:val="1"/>
        </w:numPr>
        <w:tabs>
          <w:tab w:val="clear" w:pos="720"/>
          <w:tab w:val="left" w:pos="360" w:leader="none"/>
        </w:tabs>
        <w:ind w:left="0" w:firstLine="72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pPr>
        <w:pStyle w:val="Normal"/>
        <w:keepNext w:val="true"/>
        <w:numPr>
          <w:ilvl w:val="0"/>
          <w:numId w:val="1"/>
        </w:numPr>
        <w:tabs>
          <w:tab w:val="clear" w:pos="720"/>
          <w:tab w:val="left" w:pos="360" w:leader="none"/>
        </w:tabs>
        <w:ind w:left="0" w:firstLine="720"/>
        <w:jc w:val="both"/>
        <w:rPr>
          <w:sz w:val="22"/>
          <w:szCs w:val="22"/>
        </w:rPr>
      </w:pPr>
      <w:r>
        <w:rPr>
          <w:b/>
          <w:sz w:val="22"/>
          <w:szCs w:val="22"/>
        </w:rPr>
        <w:t>Miscellaneous</w:t>
      </w:r>
      <w:r>
        <w:rPr>
          <w:sz w:val="22"/>
          <w:szCs w:val="22"/>
        </w:rPr>
        <w:t xml:space="preserve">.   </w:t>
      </w:r>
    </w:p>
    <w:p>
      <w:pPr>
        <w:pStyle w:val="Normal"/>
        <w:numPr>
          <w:ilvl w:val="1"/>
          <w:numId w:val="1"/>
        </w:numPr>
        <w:tabs>
          <w:tab w:val="clear" w:pos="720"/>
          <w:tab w:val="left" w:pos="360" w:leader="none"/>
        </w:tabs>
        <w:ind w:left="720" w:hanging="360"/>
        <w:jc w:val="both"/>
        <w:rPr>
          <w:sz w:val="22"/>
          <w:szCs w:val="22"/>
        </w:rPr>
      </w:pPr>
      <w:r>
        <w:rPr>
          <w:sz w:val="22"/>
          <w:szCs w:val="22"/>
        </w:rPr>
        <w:t>This Contract and the rights and obligations of the parties hereto will be governed by and construed in accordance with the laws of the State of Oregon (exclusive of the United Nations Convention on Contracts for the International Sale of Goods), without regard to the conflict of laws provisions thereof.</w:t>
      </w:r>
    </w:p>
    <w:p>
      <w:pPr>
        <w:pStyle w:val="Normal"/>
        <w:numPr>
          <w:ilvl w:val="1"/>
          <w:numId w:val="1"/>
        </w:numPr>
        <w:tabs>
          <w:tab w:val="clear" w:pos="720"/>
          <w:tab w:val="left" w:pos="360" w:leader="none"/>
        </w:tabs>
        <w:ind w:left="720"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pPr>
        <w:pStyle w:val="Normal"/>
        <w:numPr>
          <w:ilvl w:val="1"/>
          <w:numId w:val="1"/>
        </w:numPr>
        <w:tabs>
          <w:tab w:val="clear" w:pos="720"/>
          <w:tab w:val="left" w:pos="360" w:leader="none"/>
        </w:tabs>
        <w:ind w:left="720" w:hanging="360"/>
        <w:jc w:val="both"/>
        <w:rPr>
          <w:sz w:val="22"/>
          <w:szCs w:val="22"/>
        </w:rPr>
      </w:pPr>
      <w:r>
        <w:rPr>
          <w:sz w:val="22"/>
          <w:szCs w:val="22"/>
        </w:rPr>
        <w:t>Time is of the essence of each and every obligation of Contractor under this Contract.</w:t>
      </w:r>
    </w:p>
    <w:p>
      <w:pPr>
        <w:pStyle w:val="Normal"/>
        <w:numPr>
          <w:ilvl w:val="1"/>
          <w:numId w:val="1"/>
        </w:numPr>
        <w:tabs>
          <w:tab w:val="clear" w:pos="720"/>
          <w:tab w:val="left" w:pos="360" w:leader="none"/>
        </w:tabs>
        <w:ind w:left="720"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pPr>
        <w:pStyle w:val="Normal"/>
        <w:numPr>
          <w:ilvl w:val="1"/>
          <w:numId w:val="1"/>
        </w:numPr>
        <w:tabs>
          <w:tab w:val="clear" w:pos="720"/>
          <w:tab w:val="left" w:pos="360" w:leader="none"/>
        </w:tabs>
        <w:ind w:left="720" w:hanging="360"/>
        <w:jc w:val="both"/>
        <w:rPr>
          <w:sz w:val="22"/>
          <w:szCs w:val="22"/>
        </w:rPr>
      </w:pPr>
      <w:r>
        <w:rPr>
          <w:sz w:val="22"/>
          <w:szCs w:val="22"/>
        </w:rPr>
        <w:t>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pPr>
        <w:pStyle w:val="Normal"/>
        <w:numPr>
          <w:ilvl w:val="1"/>
          <w:numId w:val="1"/>
        </w:numPr>
        <w:tabs>
          <w:tab w:val="clear" w:pos="720"/>
          <w:tab w:val="left" w:pos="360" w:leader="none"/>
        </w:tabs>
        <w:ind w:left="720"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pPr>
        <w:pStyle w:val="Normal"/>
        <w:numPr>
          <w:ilvl w:val="1"/>
          <w:numId w:val="1"/>
        </w:numPr>
        <w:tabs>
          <w:tab w:val="clear" w:pos="720"/>
          <w:tab w:val="left" w:pos="360" w:leader="none"/>
        </w:tabs>
        <w:ind w:left="720"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pPr>
        <w:pStyle w:val="Normal"/>
        <w:keepNext w:val="true"/>
        <w:jc w:val="both"/>
        <w:rPr>
          <w:sz w:val="22"/>
          <w:szCs w:val="22"/>
        </w:rPr>
      </w:pPr>
      <w:r>
        <w:rPr>
          <w:sz w:val="22"/>
          <w:szCs w:val="22"/>
        </w:rPr>
        <w:t>IN WITNESS WHEREOF, this Service Contract has been duly executed as of the date first written above.</w:t>
      </w:r>
    </w:p>
    <w:p>
      <w:pPr>
        <w:pStyle w:val="Normal"/>
        <w:keepNext w:val="true"/>
        <w:jc w:val="both"/>
        <w:rPr>
          <w:sz w:val="22"/>
          <w:szCs w:val="22"/>
        </w:rPr>
      </w:pPr>
      <w:r>
        <w:rPr>
          <w:sz w:val="22"/>
          <w:szCs w:val="22"/>
        </w:rPr>
      </w:r>
    </w:p>
    <w:tbl>
      <w:tblPr>
        <w:tblStyle w:val="a"/>
        <w:tblW w:w="9216"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608"/>
        <w:gridCol w:w="4607"/>
      </w:tblGrid>
      <w:tr>
        <w:trPr/>
        <w:tc>
          <w:tcPr>
            <w:tcW w:w="4608" w:type="dxa"/>
            <w:tcBorders/>
          </w:tcPr>
          <w:p>
            <w:pPr>
              <w:pStyle w:val="Normal"/>
              <w:keepNext w:val="true"/>
              <w:widowControl w:val="false"/>
              <w:tabs>
                <w:tab w:val="clear" w:pos="720"/>
                <w:tab w:val="left" w:pos="4190" w:leader="none"/>
                <w:tab w:val="right" w:pos="8640" w:leader="none"/>
              </w:tabs>
              <w:spacing w:before="240" w:after="0"/>
              <w:ind w:hanging="0"/>
              <w:rPr>
                <w:sz w:val="22"/>
                <w:szCs w:val="22"/>
              </w:rPr>
            </w:pPr>
            <w:r>
              <w:rPr>
                <w:b/>
                <w:sz w:val="22"/>
                <w:szCs w:val="22"/>
              </w:rPr>
              <w:t>MERCY CORPS</w:t>
              <w:br/>
            </w:r>
          </w:p>
          <w:p>
            <w:pPr>
              <w:pStyle w:val="Normal"/>
              <w:widowControl w:val="false"/>
              <w:tabs>
                <w:tab w:val="clear" w:pos="720"/>
                <w:tab w:val="left" w:pos="4190" w:leader="none"/>
                <w:tab w:val="right" w:pos="8640" w:leader="none"/>
              </w:tabs>
              <w:ind w:hanging="0"/>
              <w:jc w:val="both"/>
              <w:rPr>
                <w:sz w:val="22"/>
                <w:szCs w:val="22"/>
              </w:rPr>
            </w:pPr>
            <w:r>
              <w:rPr>
                <w:sz w:val="22"/>
                <w:szCs w:val="22"/>
              </w:rPr>
              <w:t>By:</w:t>
            </w:r>
            <w:r>
              <w:rPr>
                <w:sz w:val="22"/>
                <w:szCs w:val="22"/>
                <w:u w:val="single"/>
              </w:rPr>
              <w:tab/>
              <w:br/>
            </w:r>
          </w:p>
          <w:p>
            <w:pPr>
              <w:pStyle w:val="Normal"/>
              <w:widowControl w:val="false"/>
              <w:tabs>
                <w:tab w:val="clear" w:pos="720"/>
                <w:tab w:val="left" w:pos="4190" w:leader="none"/>
                <w:tab w:val="right" w:pos="8640" w:leader="none"/>
              </w:tabs>
              <w:ind w:hanging="0"/>
              <w:jc w:val="both"/>
              <w:rPr>
                <w:sz w:val="22"/>
                <w:szCs w:val="22"/>
              </w:rPr>
            </w:pPr>
            <w:r>
              <w:rPr>
                <w:sz w:val="22"/>
                <w:szCs w:val="22"/>
              </w:rPr>
              <w:t>Name:</w:t>
            </w:r>
            <w:r>
              <w:rPr>
                <w:sz w:val="22"/>
                <w:szCs w:val="22"/>
                <w:u w:val="single"/>
              </w:rPr>
              <w:tab/>
              <w:br/>
            </w:r>
          </w:p>
          <w:p>
            <w:pPr>
              <w:pStyle w:val="Normal"/>
              <w:widowControl w:val="false"/>
              <w:tabs>
                <w:tab w:val="clear" w:pos="720"/>
                <w:tab w:val="left" w:pos="4190" w:leader="none"/>
                <w:tab w:val="right" w:pos="8640" w:leader="none"/>
              </w:tabs>
              <w:ind w:hanging="0"/>
              <w:jc w:val="both"/>
              <w:rPr>
                <w:sz w:val="22"/>
                <w:szCs w:val="22"/>
                <w:u w:val="single"/>
              </w:rPr>
            </w:pPr>
            <w:r>
              <w:rPr>
                <w:sz w:val="22"/>
                <w:szCs w:val="22"/>
              </w:rPr>
              <w:t>Title:</w:t>
            </w:r>
            <w:r>
              <w:rPr>
                <w:sz w:val="22"/>
                <w:szCs w:val="22"/>
                <w:u w:val="single"/>
              </w:rPr>
              <w:tab/>
            </w:r>
          </w:p>
          <w:p>
            <w:pPr>
              <w:pStyle w:val="Normal"/>
              <w:widowControl w:val="false"/>
              <w:ind w:hanging="0"/>
              <w:jc w:val="both"/>
              <w:rPr>
                <w:sz w:val="22"/>
                <w:szCs w:val="22"/>
              </w:rPr>
            </w:pPr>
            <w:r>
              <w:rPr>
                <w:sz w:val="22"/>
                <w:szCs w:val="22"/>
              </w:rPr>
            </w:r>
          </w:p>
        </w:tc>
        <w:tc>
          <w:tcPr>
            <w:tcW w:w="4607" w:type="dxa"/>
            <w:tcBorders/>
          </w:tcPr>
          <w:p>
            <w:pPr>
              <w:pStyle w:val="Normal"/>
              <w:keepNext w:val="true"/>
              <w:widowControl w:val="false"/>
              <w:tabs>
                <w:tab w:val="clear" w:pos="720"/>
                <w:tab w:val="left" w:pos="4190" w:leader="none"/>
                <w:tab w:val="right" w:pos="8640" w:leader="none"/>
              </w:tabs>
              <w:spacing w:before="240" w:after="0"/>
              <w:ind w:left="-18" w:right="-180" w:hanging="0"/>
              <w:jc w:val="both"/>
              <w:rPr>
                <w:sz w:val="22"/>
                <w:szCs w:val="22"/>
              </w:rPr>
            </w:pPr>
            <w:r>
              <w:rPr>
                <w:sz w:val="22"/>
                <w:szCs w:val="22"/>
              </w:rPr>
              <w:t>________________________________</w:t>
              <w:br/>
            </w:r>
          </w:p>
          <w:p>
            <w:pPr>
              <w:pStyle w:val="Normal"/>
              <w:widowControl w:val="false"/>
              <w:tabs>
                <w:tab w:val="clear" w:pos="720"/>
                <w:tab w:val="left" w:pos="4190" w:leader="none"/>
                <w:tab w:val="right" w:pos="8640" w:leader="none"/>
              </w:tabs>
              <w:ind w:left="-18" w:hanging="0"/>
              <w:jc w:val="both"/>
              <w:rPr>
                <w:sz w:val="22"/>
                <w:szCs w:val="22"/>
              </w:rPr>
            </w:pPr>
            <w:r>
              <w:rPr>
                <w:sz w:val="22"/>
                <w:szCs w:val="22"/>
              </w:rPr>
              <w:t>By:</w:t>
            </w:r>
            <w:r>
              <w:rPr>
                <w:sz w:val="22"/>
                <w:szCs w:val="22"/>
                <w:u w:val="single"/>
              </w:rPr>
              <w:tab/>
              <w:br/>
            </w:r>
          </w:p>
          <w:p>
            <w:pPr>
              <w:pStyle w:val="Normal"/>
              <w:widowControl w:val="false"/>
              <w:tabs>
                <w:tab w:val="clear" w:pos="720"/>
                <w:tab w:val="left" w:pos="4190" w:leader="none"/>
                <w:tab w:val="right" w:pos="8640" w:leader="none"/>
              </w:tabs>
              <w:ind w:left="-18" w:hanging="0"/>
              <w:jc w:val="both"/>
              <w:rPr>
                <w:sz w:val="22"/>
                <w:szCs w:val="22"/>
              </w:rPr>
            </w:pPr>
            <w:r>
              <w:rPr>
                <w:sz w:val="22"/>
                <w:szCs w:val="22"/>
              </w:rPr>
              <w:t>Name:</w:t>
            </w:r>
            <w:r>
              <w:rPr>
                <w:sz w:val="22"/>
                <w:szCs w:val="22"/>
                <w:u w:val="single"/>
              </w:rPr>
              <w:tab/>
              <w:br/>
            </w:r>
          </w:p>
          <w:p>
            <w:pPr>
              <w:pStyle w:val="Normal"/>
              <w:widowControl w:val="false"/>
              <w:tabs>
                <w:tab w:val="clear" w:pos="720"/>
                <w:tab w:val="left" w:pos="4190" w:leader="none"/>
                <w:tab w:val="right" w:pos="8640" w:leader="none"/>
              </w:tabs>
              <w:ind w:left="-18" w:hanging="0"/>
              <w:jc w:val="both"/>
              <w:rPr>
                <w:sz w:val="22"/>
                <w:szCs w:val="22"/>
                <w:u w:val="single"/>
              </w:rPr>
            </w:pPr>
            <w:r>
              <w:rPr>
                <w:sz w:val="22"/>
                <w:szCs w:val="22"/>
              </w:rPr>
              <w:t>Title:</w:t>
            </w:r>
            <w:r>
              <w:rPr>
                <w:sz w:val="22"/>
                <w:szCs w:val="22"/>
                <w:u w:val="single"/>
              </w:rPr>
              <w:tab/>
            </w:r>
          </w:p>
          <w:p>
            <w:pPr>
              <w:pStyle w:val="Normal"/>
              <w:widowControl w:val="false"/>
              <w:ind w:left="-18" w:hanging="0"/>
              <w:jc w:val="both"/>
              <w:rPr>
                <w:sz w:val="22"/>
                <w:szCs w:val="22"/>
              </w:rPr>
            </w:pPr>
            <w:r>
              <w:rPr>
                <w:sz w:val="22"/>
                <w:szCs w:val="22"/>
              </w:rPr>
            </w:r>
          </w:p>
        </w:tc>
      </w:tr>
    </w:tbl>
    <w:p>
      <w:pPr>
        <w:pStyle w:val="Normal"/>
        <w:jc w:val="both"/>
        <w:rPr>
          <w:sz w:val="22"/>
          <w:szCs w:val="22"/>
        </w:rPr>
      </w:pPr>
      <w:r>
        <w:rPr>
          <w:sz w:val="22"/>
          <w:szCs w:val="22"/>
        </w:rPr>
      </w:r>
    </w:p>
    <w:p>
      <w:pPr>
        <w:pStyle w:val="Normal"/>
        <w:jc w:val="center"/>
        <w:rPr>
          <w:b/>
          <w:sz w:val="22"/>
          <w:szCs w:val="22"/>
        </w:rPr>
      </w:pPr>
      <w:r>
        <w:br w:type="page"/>
      </w:r>
      <w:r>
        <w:rPr>
          <w:b/>
          <w:sz w:val="22"/>
          <w:szCs w:val="22"/>
        </w:rPr>
        <w:t>SCHEDULE I: ADDITIONAL TERMS</w:t>
      </w:r>
    </w:p>
    <w:p>
      <w:pPr>
        <w:pStyle w:val="Normal"/>
        <w:keepNext w:val="true"/>
        <w:keepLines/>
        <w:ind w:left="720" w:right="720" w:firstLine="720"/>
        <w:jc w:val="center"/>
        <w:rPr>
          <w:b/>
          <w:sz w:val="22"/>
          <w:szCs w:val="22"/>
        </w:rPr>
      </w:pPr>
      <w:r>
        <w:rPr>
          <w:b/>
          <w:sz w:val="22"/>
          <w:szCs w:val="22"/>
          <w:highlight w:val="yellow"/>
        </w:rPr>
        <w:t>Statement of Services – Fixed Price</w:t>
      </w:r>
    </w:p>
    <w:p>
      <w:pPr>
        <w:pStyle w:val="Normal"/>
        <w:spacing w:lineRule="auto" w:line="276" w:before="0" w:after="0"/>
        <w:ind w:hanging="0"/>
        <w:rPr>
          <w:color w:val="4C515A"/>
          <w:sz w:val="22"/>
          <w:szCs w:val="22"/>
        </w:rPr>
      </w:pPr>
      <w:r>
        <w:rPr>
          <w:color w:val="4C515A"/>
          <w:sz w:val="22"/>
          <w:szCs w:val="22"/>
        </w:rPr>
      </w:r>
    </w:p>
    <w:tbl>
      <w:tblPr>
        <w:tblStyle w:val="a2"/>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9360"/>
      </w:tblGrid>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pPr>
              <w:pStyle w:val="Normal"/>
              <w:widowControl w:val="false"/>
              <w:spacing w:before="0" w:after="0"/>
              <w:ind w:hanging="0"/>
              <w:rPr>
                <w:i/>
                <w:i/>
                <w:color w:val="4C515A"/>
                <w:sz w:val="22"/>
                <w:szCs w:val="22"/>
              </w:rPr>
            </w:pPr>
            <w:r>
              <w:rPr>
                <w:i/>
                <w:color w:val="4C515A"/>
                <w:sz w:val="22"/>
                <w:szCs w:val="22"/>
              </w:rPr>
            </w:r>
          </w:p>
          <w:p>
            <w:pPr>
              <w:pStyle w:val="Normal"/>
              <w:widowControl w:val="false"/>
              <w:spacing w:before="0" w:after="0"/>
              <w:ind w:hanging="0"/>
              <w:jc w:val="both"/>
              <w:rPr>
                <w:sz w:val="22"/>
                <w:szCs w:val="22"/>
              </w:rPr>
            </w:pPr>
            <w:r>
              <w:rPr>
                <w:sz w:val="22"/>
                <w:szCs w:val="22"/>
              </w:rPr>
              <w:t>a.</w:t>
              <w:tab/>
              <w:t>Background:</w:t>
            </w:r>
            <w:r>
              <w:rPr>
                <w:color w:val="4C515A"/>
                <w:sz w:val="22"/>
                <w:szCs w:val="22"/>
              </w:rPr>
              <w:t xml:space="preserve"> </w:t>
            </w:r>
            <w:r>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pPr>
              <w:pStyle w:val="Normal"/>
              <w:widowControl w:val="false"/>
              <w:spacing w:before="0" w:after="0"/>
              <w:ind w:hanging="0"/>
              <w:rPr>
                <w:b/>
                <w:i/>
                <w:i/>
                <w:sz w:val="22"/>
                <w:szCs w:val="22"/>
              </w:rPr>
            </w:pPr>
            <w:r>
              <w:rPr>
                <w:color w:val="4C515A"/>
                <w:sz w:val="22"/>
                <w:szCs w:val="22"/>
              </w:rPr>
              <w:br/>
            </w:r>
            <w:r>
              <w:rPr>
                <w:sz w:val="22"/>
                <w:szCs w:val="22"/>
              </w:rPr>
              <w:t>b.</w:t>
              <w:tab/>
              <w:t xml:space="preserve">Scope of Work: </w:t>
            </w:r>
            <w:r>
              <w:rPr>
                <w:b/>
                <w:i/>
                <w:sz w:val="22"/>
                <w:szCs w:val="22"/>
              </w:rPr>
              <w:t>Please refer to the details of SOW and services as per Section 5 – Tender Package</w:t>
            </w:r>
          </w:p>
          <w:p>
            <w:pPr>
              <w:pStyle w:val="ListParagraph"/>
              <w:widowControl w:val="false"/>
              <w:numPr>
                <w:ilvl w:val="0"/>
                <w:numId w:val="8"/>
              </w:numPr>
              <w:spacing w:lineRule="auto" w:line="218"/>
              <w:ind w:left="711" w:right="100" w:hanging="720"/>
              <w:rPr>
                <w:rFonts w:ascii="Times New Roman" w:hAnsi="Times New Roman"/>
                <w:b/>
                <w:sz w:val="22"/>
                <w:szCs w:val="22"/>
              </w:rPr>
            </w:pPr>
            <w:r>
              <w:rPr>
                <w:rFonts w:ascii="Times New Roman" w:hAnsi="Times New Roman"/>
                <w:b/>
                <w:sz w:val="22"/>
                <w:szCs w:val="22"/>
              </w:rPr>
              <w:t>Family of 4 means:</w:t>
            </w:r>
          </w:p>
          <w:p>
            <w:pPr>
              <w:pStyle w:val="ListParagraph"/>
              <w:widowControl w:val="false"/>
              <w:numPr>
                <w:ilvl w:val="0"/>
                <w:numId w:val="6"/>
              </w:numPr>
              <w:spacing w:lineRule="auto" w:line="218"/>
              <w:ind w:left="711" w:right="100" w:hanging="360"/>
              <w:rPr>
                <w:rFonts w:ascii="Times New Roman" w:hAnsi="Times New Roman"/>
                <w:sz w:val="22"/>
                <w:szCs w:val="22"/>
              </w:rPr>
            </w:pPr>
            <w:r>
              <w:rPr>
                <w:rFonts w:ascii="Times New Roman" w:hAnsi="Times New Roman"/>
                <w:sz w:val="22"/>
                <w:szCs w:val="22"/>
              </w:rPr>
              <w:t xml:space="preserve">Principal, Spouse and 2 Dependent’s </w:t>
            </w:r>
          </w:p>
          <w:p>
            <w:pPr>
              <w:pStyle w:val="ListParagraph"/>
              <w:widowControl w:val="false"/>
              <w:numPr>
                <w:ilvl w:val="0"/>
                <w:numId w:val="6"/>
              </w:numPr>
              <w:spacing w:lineRule="auto" w:line="218" w:before="240" w:after="0"/>
              <w:ind w:left="711" w:right="100" w:hanging="360"/>
              <w:contextualSpacing/>
              <w:rPr>
                <w:rFonts w:ascii="Times New Roman" w:hAnsi="Times New Roman"/>
                <w:sz w:val="22"/>
                <w:szCs w:val="22"/>
              </w:rPr>
            </w:pPr>
            <w:r>
              <w:rPr>
                <w:rFonts w:ascii="Times New Roman" w:hAnsi="Times New Roman"/>
                <w:sz w:val="22"/>
                <w:szCs w:val="22"/>
              </w:rPr>
              <w:t>Principal and 3 Dependent’s i.e. (3 Siblings or 2 Siblings and 1 Parent</w:t>
            </w:r>
            <w:r>
              <w:rPr>
                <w:rFonts w:ascii="Times New Roman" w:hAnsi="Times New Roman"/>
                <w:b/>
                <w:sz w:val="22"/>
                <w:szCs w:val="22"/>
              </w:rPr>
              <w:t>)</w:t>
            </w:r>
          </w:p>
          <w:p>
            <w:pPr>
              <w:pStyle w:val="ListParagraph"/>
              <w:widowControl w:val="false"/>
              <w:numPr>
                <w:ilvl w:val="0"/>
                <w:numId w:val="8"/>
              </w:numPr>
              <w:spacing w:lineRule="auto" w:line="216"/>
              <w:ind w:left="711" w:right="220" w:hanging="720"/>
              <w:rPr>
                <w:rFonts w:ascii="Times New Roman" w:hAnsi="Times New Roman"/>
                <w:b/>
                <w:sz w:val="22"/>
                <w:szCs w:val="22"/>
              </w:rPr>
            </w:pPr>
            <w:r>
              <w:rPr>
                <w:rFonts w:ascii="Times New Roman" w:hAnsi="Times New Roman"/>
                <w:b/>
                <w:sz w:val="22"/>
                <w:szCs w:val="22"/>
              </w:rPr>
              <w:t>Family of 6 means:</w:t>
            </w:r>
          </w:p>
          <w:p>
            <w:pPr>
              <w:pStyle w:val="ListParagraph"/>
              <w:widowControl w:val="false"/>
              <w:numPr>
                <w:ilvl w:val="0"/>
                <w:numId w:val="7"/>
              </w:numPr>
              <w:spacing w:lineRule="auto" w:line="216"/>
              <w:ind w:left="711" w:right="220" w:hanging="360"/>
              <w:rPr>
                <w:rFonts w:ascii="Times New Roman" w:hAnsi="Times New Roman"/>
                <w:sz w:val="22"/>
                <w:szCs w:val="22"/>
              </w:rPr>
            </w:pPr>
            <w:r>
              <w:rPr>
                <w:rFonts w:ascii="Times New Roman" w:hAnsi="Times New Roman"/>
                <w:sz w:val="22"/>
                <w:szCs w:val="22"/>
              </w:rPr>
              <w:t xml:space="preserve">Principal, Spouse and 4 Dependent’s or </w:t>
            </w:r>
          </w:p>
          <w:p>
            <w:pPr>
              <w:pStyle w:val="ListParagraph"/>
              <w:widowControl w:val="false"/>
              <w:numPr>
                <w:ilvl w:val="0"/>
                <w:numId w:val="7"/>
              </w:numPr>
              <w:spacing w:lineRule="auto" w:line="216"/>
              <w:ind w:left="711" w:right="220" w:hanging="360"/>
              <w:rPr>
                <w:rFonts w:ascii="Times New Roman" w:hAnsi="Times New Roman"/>
                <w:sz w:val="22"/>
                <w:szCs w:val="22"/>
              </w:rPr>
            </w:pPr>
            <w:r>
              <w:rPr>
                <w:rFonts w:ascii="Times New Roman" w:hAnsi="Times New Roman"/>
                <w:sz w:val="22"/>
                <w:szCs w:val="22"/>
              </w:rPr>
              <w:t>Principal, Spouse, 2 Dependents, 2 Parents/3 dependents, and 1 parent.</w:t>
            </w:r>
          </w:p>
        </w:tc>
      </w:tr>
      <w:tr>
        <w:trPr>
          <w:trHeight w:val="400" w:hRule="atLeast"/>
        </w:trPr>
        <w:tc>
          <w:tcPr>
            <w:tcW w:w="9360" w:type="dxa"/>
            <w:tcBorders>
              <w:top w:val="single" w:sz="8" w:space="0" w:color="000000"/>
              <w:left w:val="single" w:sz="8" w:space="0" w:color="000000"/>
              <w:right w:val="single" w:sz="8" w:space="0" w:color="000000"/>
            </w:tcBorders>
          </w:tcPr>
          <w:p>
            <w:pPr>
              <w:pStyle w:val="Normal"/>
              <w:widowControl w:val="false"/>
              <w:spacing w:before="0" w:after="0"/>
              <w:ind w:hanging="0"/>
              <w:rPr>
                <w:sz w:val="22"/>
                <w:szCs w:val="22"/>
              </w:rPr>
            </w:pPr>
            <w:r>
              <w:rPr>
                <w:b/>
                <w:sz w:val="22"/>
                <w:szCs w:val="22"/>
              </w:rPr>
              <w:t xml:space="preserve">2. Performance Period: </w:t>
            </w:r>
            <w:r>
              <w:rPr>
                <w:sz w:val="22"/>
                <w:szCs w:val="22"/>
              </w:rPr>
              <w:t xml:space="preserve">The start date of this Contract is XXX and, unless earlier terminated in accordance with Section 11, has an end date of XXX. </w:t>
            </w:r>
            <w:bookmarkStart w:id="1" w:name="_GoBack"/>
            <w:bookmarkEnd w:id="1"/>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color w:val="FF0000"/>
                <w:sz w:val="22"/>
                <w:szCs w:val="22"/>
              </w:rPr>
            </w:pPr>
            <w:r>
              <w:rPr>
                <w:b/>
                <w:sz w:val="22"/>
                <w:szCs w:val="22"/>
              </w:rPr>
              <w:t xml:space="preserve">3. Pricing: </w:t>
            </w:r>
            <w:r>
              <w:rPr>
                <w:sz w:val="22"/>
                <w:szCs w:val="22"/>
              </w:rPr>
              <w:t xml:space="preserve">This is a firm and fixed price Contract that includes a ceiling amount of NGN 140,000,000 (USD 362,009. for Services rendered under this Contract. </w:t>
            </w:r>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trPr>
          <w:trHeight w:val="40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pPr>
              <w:pStyle w:val="Normal"/>
              <w:widowControl w:val="false"/>
              <w:spacing w:before="0" w:after="0"/>
              <w:ind w:hanging="0"/>
              <w:rPr>
                <w:i/>
                <w:i/>
                <w:color w:val="4C515A"/>
                <w:sz w:val="22"/>
                <w:szCs w:val="22"/>
              </w:rPr>
            </w:pPr>
            <w:r>
              <w:rPr>
                <w:i/>
                <w:color w:val="4C515A"/>
                <w:sz w:val="22"/>
                <w:szCs w:val="22"/>
              </w:rPr>
            </w:r>
          </w:p>
        </w:tc>
      </w:tr>
    </w:tbl>
    <w:p>
      <w:pPr>
        <w:pStyle w:val="Normal"/>
        <w:spacing w:lineRule="auto" w:line="276" w:before="0" w:after="0"/>
        <w:ind w:hanging="0"/>
        <w:rPr>
          <w:b/>
          <w:color w:val="4C515A"/>
          <w:sz w:val="22"/>
          <w:szCs w:val="22"/>
        </w:rPr>
      </w:pPr>
      <w:r>
        <w:rPr>
          <w:b/>
          <w:color w:val="4C515A"/>
          <w:sz w:val="22"/>
          <w:szCs w:val="22"/>
        </w:rPr>
      </w:r>
    </w:p>
    <w:p>
      <w:pPr>
        <w:pStyle w:val="Normal"/>
        <w:spacing w:lineRule="auto" w:line="276" w:before="0" w:after="0"/>
        <w:ind w:hanging="0"/>
        <w:rPr>
          <w:b/>
          <w:sz w:val="22"/>
          <w:szCs w:val="22"/>
        </w:rPr>
      </w:pPr>
      <w:r>
        <w:rPr>
          <w:b/>
          <w:sz w:val="22"/>
          <w:szCs w:val="22"/>
        </w:rPr>
        <w:t xml:space="preserve">Authorized Representatives and Contact Information: </w:t>
      </w:r>
    </w:p>
    <w:tbl>
      <w:tblPr>
        <w:tblStyle w:val="a3"/>
        <w:tblW w:w="9360" w:type="dxa"/>
        <w:jc w:val="left"/>
        <w:tblInd w:w="0" w:type="dxa"/>
        <w:tblLayout w:type="fixed"/>
        <w:tblCellMar>
          <w:top w:w="100" w:type="dxa"/>
          <w:left w:w="100" w:type="dxa"/>
          <w:bottom w:w="100" w:type="dxa"/>
          <w:right w:w="100" w:type="dxa"/>
        </w:tblCellMar>
        <w:tblLook w:firstRow="0" w:noVBand="1" w:lastRow="0" w:firstColumn="0" w:lastColumn="0" w:noHBand="1"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pPr>
              <w:pStyle w:val="Normal"/>
              <w:widowControl w:val="false"/>
              <w:spacing w:before="0" w:after="0"/>
              <w:ind w:hanging="0"/>
              <w:rPr>
                <w:sz w:val="22"/>
                <w:szCs w:val="22"/>
              </w:rPr>
            </w:pPr>
            <w:r>
              <w:rPr>
                <w:sz w:val="22"/>
                <w:szCs w:val="22"/>
              </w:rPr>
            </w:r>
          </w:p>
          <w:p>
            <w:pPr>
              <w:pStyle w:val="Normal"/>
              <w:widowControl w:val="false"/>
              <w:spacing w:before="0" w:after="0"/>
              <w:ind w:hanging="0"/>
              <w:rPr>
                <w:sz w:val="22"/>
                <w:szCs w:val="22"/>
              </w:rPr>
            </w:pPr>
            <w:r>
              <w:rPr>
                <w:sz w:val="22"/>
                <w:szCs w:val="22"/>
              </w:rPr>
              <w:t>Ndubisi Anyanwu</w:t>
            </w:r>
          </w:p>
          <w:p>
            <w:pPr>
              <w:pStyle w:val="Normal"/>
              <w:widowControl w:val="false"/>
              <w:spacing w:before="0" w:after="0"/>
              <w:ind w:hanging="0"/>
              <w:rPr>
                <w:sz w:val="22"/>
                <w:szCs w:val="22"/>
              </w:rPr>
            </w:pPr>
            <w:r>
              <w:rPr>
                <w:sz w:val="22"/>
                <w:szCs w:val="22"/>
              </w:rPr>
              <w:t xml:space="preserve">Country Director </w:t>
            </w:r>
          </w:p>
          <w:p>
            <w:pPr>
              <w:pStyle w:val="Normal"/>
              <w:widowControl w:val="false"/>
              <w:spacing w:before="0" w:after="0"/>
              <w:ind w:hanging="0"/>
              <w:rPr>
                <w:sz w:val="22"/>
                <w:szCs w:val="22"/>
              </w:rPr>
            </w:pPr>
            <w:r>
              <w:rPr>
                <w:sz w:val="22"/>
                <w:szCs w:val="22"/>
              </w:rPr>
              <w:t>Mercy Corps Nigeria</w:t>
            </w:r>
          </w:p>
        </w:tc>
        <w:tc>
          <w:tcPr>
            <w:tcW w:w="4679" w:type="dxa"/>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sz w:val="22"/>
                <w:szCs w:val="22"/>
              </w:rPr>
            </w:pPr>
            <w:r>
              <w:rPr>
                <w:b/>
                <w:sz w:val="22"/>
                <w:szCs w:val="22"/>
              </w:rPr>
              <w:t>Contractor</w:t>
            </w:r>
            <w:r>
              <w:rPr>
                <w:sz w:val="22"/>
                <w:szCs w:val="22"/>
              </w:rPr>
              <w:t xml:space="preserve">: </w:t>
            </w:r>
            <w:r>
              <w:rPr>
                <w:i/>
                <w:sz w:val="22"/>
                <w:szCs w:val="22"/>
              </w:rPr>
              <w:t xml:space="preserve">Contractor’s authorized representative for all purposes is: </w:t>
            </w:r>
          </w:p>
        </w:tc>
      </w:tr>
      <w:tr>
        <w:trPr>
          <w:trHeight w:val="400" w:hRule="atLeast"/>
        </w:trPr>
        <w:tc>
          <w:tcPr>
            <w:tcW w:w="9359" w:type="dxa"/>
            <w:gridSpan w:val="2"/>
            <w:tcBorders>
              <w:top w:val="single" w:sz="8" w:space="0" w:color="000000"/>
              <w:left w:val="single" w:sz="8" w:space="0" w:color="000000"/>
              <w:bottom w:val="single" w:sz="8" w:space="0" w:color="000000"/>
              <w:right w:val="single" w:sz="8" w:space="0" w:color="000000"/>
            </w:tcBorders>
          </w:tcPr>
          <w:p>
            <w:pPr>
              <w:pStyle w:val="Normal"/>
              <w:widowControl w:val="false"/>
              <w:spacing w:before="0" w:after="0"/>
              <w:ind w:hanging="0"/>
              <w:rPr>
                <w:i/>
                <w:i/>
                <w:sz w:val="22"/>
                <w:szCs w:val="22"/>
              </w:rPr>
            </w:pPr>
            <w:r>
              <w:rPr>
                <w:i/>
                <w:sz w:val="22"/>
                <w:szCs w:val="22"/>
              </w:rPr>
              <w:t xml:space="preserve">Only the following Mercy Corps departments/employees are authorized to receive invoices, accept, or reject Services or sign SCRs. </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HR, Department and addressed to HR Director</w:t>
            </w:r>
          </w:p>
          <w:p>
            <w:pPr>
              <w:pStyle w:val="Normal"/>
              <w:widowControl w:val="false"/>
              <w:spacing w:before="0" w:after="0"/>
              <w:ind w:hanging="0"/>
              <w:rPr>
                <w:i/>
                <w:i/>
                <w:sz w:val="22"/>
                <w:szCs w:val="22"/>
              </w:rPr>
            </w:pPr>
            <w:r>
              <w:rPr>
                <w:i/>
                <w:sz w:val="22"/>
                <w:szCs w:val="22"/>
              </w:rPr>
              <w:t>Mercy Corps Nigeria</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AND</w:t>
            </w:r>
          </w:p>
          <w:p>
            <w:pPr>
              <w:pStyle w:val="Normal"/>
              <w:widowControl w:val="false"/>
              <w:spacing w:before="0" w:after="0"/>
              <w:ind w:hanging="0"/>
              <w:rPr>
                <w:i/>
                <w:i/>
                <w:sz w:val="22"/>
                <w:szCs w:val="22"/>
              </w:rPr>
            </w:pPr>
            <w:r>
              <w:rPr>
                <w:i/>
                <w:sz w:val="22"/>
                <w:szCs w:val="22"/>
              </w:rPr>
            </w:r>
          </w:p>
          <w:p>
            <w:pPr>
              <w:pStyle w:val="Normal"/>
              <w:widowControl w:val="false"/>
              <w:spacing w:before="0" w:after="0"/>
              <w:ind w:hanging="0"/>
              <w:rPr>
                <w:i/>
                <w:i/>
                <w:sz w:val="22"/>
                <w:szCs w:val="22"/>
              </w:rPr>
            </w:pPr>
            <w:r>
              <w:rPr>
                <w:i/>
                <w:sz w:val="22"/>
                <w:szCs w:val="22"/>
              </w:rPr>
              <w:t>Ademola Kadri</w:t>
            </w:r>
          </w:p>
          <w:p>
            <w:pPr>
              <w:pStyle w:val="Normal"/>
              <w:widowControl w:val="false"/>
              <w:spacing w:before="0" w:after="0"/>
              <w:ind w:hanging="0"/>
              <w:rPr>
                <w:i/>
                <w:i/>
                <w:sz w:val="22"/>
                <w:szCs w:val="22"/>
              </w:rPr>
            </w:pPr>
            <w:r>
              <w:rPr>
                <w:i/>
                <w:sz w:val="22"/>
                <w:szCs w:val="22"/>
              </w:rPr>
              <w:t>Operations Manager</w:t>
            </w:r>
          </w:p>
          <w:p>
            <w:pPr>
              <w:pStyle w:val="Normal"/>
              <w:widowControl w:val="false"/>
              <w:spacing w:before="0" w:after="0"/>
              <w:ind w:hanging="0"/>
              <w:rPr>
                <w:sz w:val="22"/>
                <w:szCs w:val="22"/>
              </w:rPr>
            </w:pPr>
            <w:r>
              <w:rPr>
                <w:i/>
                <w:sz w:val="22"/>
                <w:szCs w:val="22"/>
              </w:rPr>
              <w:t>Mercy Corps Nigeria</w:t>
            </w:r>
          </w:p>
        </w:tc>
      </w:tr>
    </w:tbl>
    <w:p>
      <w:pPr>
        <w:pStyle w:val="Normal"/>
        <w:spacing w:lineRule="auto" w:line="276" w:before="0" w:after="0"/>
        <w:ind w:hanging="0"/>
        <w:rPr>
          <w:sz w:val="22"/>
          <w:szCs w:val="22"/>
        </w:rPr>
      </w:pPr>
      <w:r>
        <w:rPr>
          <w:sz w:val="22"/>
          <w:szCs w:val="22"/>
        </w:rPr>
      </w:r>
    </w:p>
    <w:p>
      <w:pPr>
        <w:pStyle w:val="Normal"/>
        <w:spacing w:lineRule="auto" w:line="276" w:before="0" w:after="280"/>
        <w:ind w:hanging="0"/>
        <w:rPr>
          <w:sz w:val="22"/>
          <w:szCs w:val="22"/>
        </w:rPr>
      </w:pPr>
      <w:r>
        <w:rPr>
          <w:b/>
          <w:sz w:val="22"/>
          <w:szCs w:val="22"/>
        </w:rPr>
        <w:t>Termination for Convenience Notice Period</w:t>
      </w:r>
      <w:r>
        <w:rPr>
          <w:sz w:val="22"/>
          <w:szCs w:val="22"/>
        </w:rPr>
        <w:t xml:space="preserve">: </w:t>
      </w:r>
      <w:r>
        <w:rPr>
          <w:color w:val="auto"/>
          <w:sz w:val="22"/>
          <w:szCs w:val="22"/>
        </w:rPr>
        <w:t>Either parties upon one month written notice can terminate this contract.</w:t>
      </w:r>
      <w:r>
        <w:rPr>
          <w:i/>
          <w:color w:val="FF0000"/>
          <w:sz w:val="22"/>
          <w:szCs w:val="22"/>
        </w:rPr>
        <w:t xml:space="preserve"> </w:t>
      </w:r>
      <w:r>
        <w:rPr>
          <w:sz w:val="22"/>
          <w:szCs w:val="22"/>
        </w:rPr>
        <w:t>(the “Termination Notice Period”)</w:t>
      </w:r>
    </w:p>
    <w:p>
      <w:pPr>
        <w:pStyle w:val="Normal"/>
        <w:spacing w:lineRule="auto" w:line="276" w:before="0" w:after="280"/>
        <w:ind w:hanging="0"/>
        <w:rPr>
          <w:i/>
          <w:i/>
          <w:color w:val="FF0000"/>
          <w:sz w:val="22"/>
          <w:szCs w:val="22"/>
        </w:rPr>
      </w:pPr>
      <w:r>
        <w:rPr>
          <w:b/>
          <w:sz w:val="22"/>
          <w:szCs w:val="22"/>
        </w:rPr>
        <w:t>Donor Terms</w:t>
      </w:r>
      <w:r>
        <w:rPr>
          <w:sz w:val="22"/>
          <w:szCs w:val="22"/>
        </w:rPr>
        <w:t xml:space="preserve">: </w:t>
      </w:r>
      <w:r>
        <w:rPr>
          <w:color w:val="auto"/>
          <w:sz w:val="22"/>
          <w:szCs w:val="22"/>
        </w:rPr>
        <w:t>The Donor Terms as set forth-in Schedule II are hereby incorporated in this Contract by reference.</w:t>
      </w:r>
    </w:p>
    <w:p>
      <w:pPr>
        <w:pStyle w:val="Normal"/>
        <w:keepNext w:val="true"/>
        <w:keepLines/>
        <w:ind w:left="720" w:right="720" w:hanging="0"/>
        <w:jc w:val="center"/>
        <w:rPr>
          <w:b/>
          <w:sz w:val="22"/>
          <w:szCs w:val="22"/>
        </w:rPr>
      </w:pPr>
      <w:r>
        <w:rPr>
          <w:b/>
          <w:sz w:val="22"/>
          <w:szCs w:val="22"/>
        </w:rPr>
      </w:r>
      <w:bookmarkStart w:id="2" w:name="_tovm086ytvan"/>
      <w:bookmarkStart w:id="3" w:name="_tovm086ytvan"/>
      <w:bookmarkEnd w:id="3"/>
    </w:p>
    <w:p>
      <w:pPr>
        <w:pStyle w:val="Normal"/>
        <w:keepLines/>
        <w:spacing w:before="0" w:after="0"/>
        <w:ind w:hanging="0"/>
        <w:jc w:val="center"/>
        <w:rPr>
          <w:sz w:val="22"/>
          <w:szCs w:val="22"/>
        </w:rPr>
      </w:pPr>
      <w:r>
        <w:br w:type="page"/>
      </w:r>
      <w:r>
        <w:rPr>
          <w:b/>
          <w:sz w:val="22"/>
          <w:szCs w:val="22"/>
        </w:rPr>
        <w:t>SCHEDULE II</w:t>
      </w:r>
    </w:p>
    <w:p>
      <w:pPr>
        <w:pStyle w:val="Normal"/>
        <w:keepLines/>
        <w:spacing w:before="0" w:after="0"/>
        <w:ind w:hanging="0"/>
        <w:jc w:val="center"/>
        <w:rPr>
          <w:sz w:val="22"/>
          <w:szCs w:val="22"/>
        </w:rPr>
      </w:pPr>
      <w:r>
        <w:rPr>
          <w:sz w:val="22"/>
          <w:szCs w:val="22"/>
        </w:rPr>
      </w:r>
    </w:p>
    <w:p>
      <w:pPr>
        <w:pStyle w:val="Normal"/>
        <w:keepLines/>
        <w:spacing w:before="0" w:after="0"/>
        <w:ind w:hanging="0"/>
        <w:jc w:val="center"/>
        <w:rPr>
          <w:sz w:val="22"/>
          <w:szCs w:val="22"/>
        </w:rPr>
      </w:pPr>
      <w:r>
        <w:rPr>
          <w:b/>
          <w:sz w:val="22"/>
          <w:szCs w:val="22"/>
        </w:rPr>
        <w:t>Donor Terms</w:t>
      </w:r>
    </w:p>
    <w:p>
      <w:pPr>
        <w:pStyle w:val="Normal"/>
        <w:jc w:val="center"/>
        <w:rPr>
          <w:b/>
          <w:sz w:val="22"/>
          <w:szCs w:val="22"/>
        </w:rPr>
      </w:pPr>
      <w:r>
        <w:rPr>
          <w:b/>
          <w:sz w:val="22"/>
          <w:szCs w:val="22"/>
        </w:rPr>
        <w:t>Other USAID Contract Provisions Required by Law</w:t>
      </w:r>
    </w:p>
    <w:p>
      <w:pPr>
        <w:pStyle w:val="Normal"/>
        <w:rPr>
          <w:sz w:val="22"/>
          <w:szCs w:val="22"/>
        </w:rPr>
      </w:pPr>
      <w:r>
        <w:rPr>
          <w:sz w:val="22"/>
          <w:szCs w:val="22"/>
        </w:rPr>
        <w:t>Mercy Corps, in accordance with donor regulations, requires certain certifications and provisions, set forth herein, to be included in all contracts.</w:t>
      </w:r>
    </w:p>
    <w:p>
      <w:pPr>
        <w:pStyle w:val="ListParagraph"/>
        <w:ind w:left="360" w:hanging="0"/>
        <w:rPr>
          <w:rFonts w:ascii="Times New Roman" w:hAnsi="Times New Roman"/>
          <w:sz w:val="22"/>
          <w:szCs w:val="22"/>
        </w:rPr>
      </w:pPr>
      <w:r>
        <w:rPr>
          <w:rFonts w:ascii="Times New Roman" w:hAnsi="Times New Roman"/>
          <w:sz w:val="22"/>
          <w:szCs w:val="22"/>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3">
        <w:r>
          <w:rPr>
            <w:rStyle w:val="InternetLink"/>
            <w:rFonts w:ascii="Times New Roman" w:hAnsi="Times New Roman"/>
            <w:sz w:val="22"/>
            <w:szCs w:val="22"/>
          </w:rPr>
          <w:t>http://www.treasury.gov/resource-center/sanctions/SDNList/Pages/default.aspx</w:t>
        </w:r>
      </w:hyperlink>
      <w:r>
        <w:rPr>
          <w:rFonts w:ascii="Times New Roman" w:hAnsi="Times New Roman"/>
          <w:sz w:val="22"/>
          <w:szCs w:val="22"/>
        </w:rPr>
        <w:t>)</w:t>
      </w:r>
    </w:p>
    <w:p>
      <w:pPr>
        <w:pStyle w:val="ListParagraph"/>
        <w:ind w:left="360" w:hanging="0"/>
        <w:rPr>
          <w:rFonts w:ascii="Times New Roman" w:hAnsi="Times New Roman"/>
          <w:sz w:val="22"/>
          <w:szCs w:val="22"/>
        </w:rPr>
      </w:pPr>
      <w:r>
        <w:rPr>
          <w:rFonts w:ascii="Times New Roman" w:hAnsi="Times New Roman"/>
          <w:sz w:val="22"/>
          <w:szCs w:val="22"/>
        </w:rPr>
        <w:t xml:space="preserve">or the United Nations Security designation list (online at: </w:t>
      </w:r>
      <w:hyperlink r:id="rId4">
        <w:r>
          <w:rPr>
            <w:rStyle w:val="InternetLink"/>
            <w:rFonts w:ascii="Times New Roman" w:hAnsi="Times New Roman"/>
            <w:sz w:val="22"/>
            <w:szCs w:val="22"/>
          </w:rPr>
          <w:t>http://www.un.org/sc/committees/1267/aq_sanctions_list.shtml</w:t>
        </w:r>
      </w:hyperlink>
      <w:r>
        <w:rPr>
          <w:rFonts w:ascii="Times New Roman" w:hAnsi="Times New Roman"/>
          <w:sz w:val="22"/>
          <w:szCs w:val="22"/>
        </w:rPr>
        <w:t>)</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pPr>
        <w:pStyle w:val="NoSpacing"/>
        <w:rPr/>
      </w:pPr>
      <w:r>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pPr>
        <w:pStyle w:val="NoSpacing"/>
        <w:rPr/>
      </w:pPr>
      <w:r>
        <w:rPr/>
      </w:r>
    </w:p>
    <w:p>
      <w:pPr>
        <w:pStyle w:val="ListParagraph"/>
        <w:numPr>
          <w:ilvl w:val="0"/>
          <w:numId w:val="2"/>
        </w:numPr>
        <w:ind w:left="360" w:hanging="360"/>
        <w:rPr>
          <w:rFonts w:ascii="Times New Roman" w:hAnsi="Times New Roman"/>
          <w:b/>
          <w:sz w:val="22"/>
          <w:szCs w:val="22"/>
        </w:rPr>
      </w:pPr>
      <w:r>
        <w:rPr>
          <w:rFonts w:ascii="Times New Roman" w:hAnsi="Times New Roman"/>
          <w:sz w:val="22"/>
          <w:szCs w:val="22"/>
        </w:rPr>
        <w:t>The Contractor or its employees, or any Subcontractor or its employees, must not engage in any of the following conduct:</w:t>
      </w:r>
    </w:p>
    <w:p>
      <w:pPr>
        <w:pStyle w:val="Normal"/>
        <w:ind w:left="810" w:hanging="360"/>
        <w:rPr>
          <w:sz w:val="22"/>
          <w:szCs w:val="22"/>
        </w:rPr>
      </w:pPr>
      <w:r>
        <w:rPr>
          <w:sz w:val="22"/>
          <w:szCs w:val="22"/>
        </w:rPr>
        <w:t>(i) Trafficking in persons (as defined in the Protocol to Prevent, Suppress, and Punish Trafficking in Persons, especially Women and Children, supplementing the UN Convention against Transnational Organized Crime) during the period of this Contract;</w:t>
      </w:r>
    </w:p>
    <w:p>
      <w:pPr>
        <w:pStyle w:val="Normal"/>
        <w:ind w:left="810" w:hanging="360"/>
        <w:rPr>
          <w:sz w:val="22"/>
          <w:szCs w:val="22"/>
        </w:rPr>
      </w:pPr>
      <w:r>
        <w:rPr>
          <w:sz w:val="22"/>
          <w:szCs w:val="22"/>
        </w:rPr>
        <w:t xml:space="preserve">(ii) Procure a commercial sex act during the period of this Contract; </w:t>
      </w:r>
    </w:p>
    <w:p>
      <w:pPr>
        <w:pStyle w:val="Normal"/>
        <w:ind w:left="810" w:hanging="360"/>
        <w:rPr>
          <w:sz w:val="22"/>
          <w:szCs w:val="22"/>
        </w:rPr>
      </w:pPr>
      <w:r>
        <w:rPr>
          <w:sz w:val="22"/>
          <w:szCs w:val="22"/>
        </w:rPr>
        <w:t>(iii) Use forced labor in the performance of the Contract; or</w:t>
      </w:r>
    </w:p>
    <w:p>
      <w:pPr>
        <w:pStyle w:val="Normal"/>
        <w:ind w:left="810" w:hanging="360"/>
        <w:rPr>
          <w:sz w:val="22"/>
          <w:szCs w:val="22"/>
        </w:rPr>
      </w:pPr>
      <w:r>
        <w:rPr>
          <w:sz w:val="22"/>
          <w:szCs w:val="22"/>
        </w:rPr>
        <w:t>(iv) Commit acts that directly support or advance trafficking in persons, including the following acts:</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a. Destroying, concealing, confiscating, or otherwise denying an employee access to that employee's identity or immigration documents; </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b. Failing to provide return transportation or pay for return transportation costs to an employee from a country outside the United States to the country from which the employee was recruited upon the end of employment if requested by the employee, unless: </w:t>
      </w:r>
    </w:p>
    <w:p>
      <w:pPr>
        <w:pStyle w:val="Default"/>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3"/>
        </w:numPr>
        <w:ind w:left="180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exempted from the requirement to provide or pay for such return transportation by Mercy Corps under this award; or </w:t>
      </w:r>
    </w:p>
    <w:p>
      <w:pPr>
        <w:pStyle w:val="Default"/>
        <w:ind w:left="180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3"/>
        </w:numPr>
        <w:ind w:left="180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the employee is a victim of human trafficking seeking victim services or legal redress in the country of employment or a witness in a human trafficking enforcement action; </w:t>
      </w:r>
    </w:p>
    <w:p>
      <w:pPr>
        <w:pStyle w:val="Default"/>
        <w:ind w:left="180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c. Soliciting a person for the purpose of employment, or offering employment, by means of materially false or fraudulent pretenses, representations, or promises regarding that employment; </w:t>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d. Charging employees recruitment fees ; or </w:t>
      </w:r>
    </w:p>
    <w:p>
      <w:pPr>
        <w:pStyle w:val="Default"/>
        <w:ind w:left="135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1350" w:hanging="27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 Providing or arranging housing that fails to meet the host country housing and safety standards. </w:t>
      </w:r>
    </w:p>
    <w:p>
      <w:pPr>
        <w:pStyle w:val="Normal"/>
        <w:ind w:left="360" w:firstLine="72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pPr>
        <w:pStyle w:val="NoSpacing"/>
        <w:rPr/>
      </w:pPr>
      <w:r>
        <w:rPr/>
      </w:r>
    </w:p>
    <w:p>
      <w:pPr>
        <w:pStyle w:val="Default"/>
        <w:numPr>
          <w:ilvl w:val="0"/>
          <w:numId w:val="2"/>
        </w:numPr>
        <w:ind w:left="36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The Contractor must inform its employees working under this contract in the predominant native language of the workforce that they are afforded the employee whistleblower rights and protections provided under 41 U.S.C. § 4712; and </w:t>
      </w:r>
    </w:p>
    <w:p>
      <w:pPr>
        <w:pStyle w:val="NoSpacing"/>
        <w:rPr/>
      </w:pPr>
      <w:r>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 xml:space="preserve">Prohibition on Requiring Certain Internal Confidentiality Agreements or Statements </w:t>
      </w:r>
    </w:p>
    <w:p>
      <w:pPr>
        <w:pStyle w:val="NoSpacing"/>
        <w:rPr>
          <w:highlight w:val="yellow"/>
        </w:rPr>
      </w:pPr>
      <w:r>
        <w:rPr>
          <w:highlight w:val="yellow"/>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 xml:space="preserve">The Contractor must not require its employees or sub-contractors to sign or comply with internal confidentiality agreements or statements that prohibit or otherwise restrict employees or sub-contractors from lawfully reporting waste, fraud, or abuse related to the performance of this contract to Mercy Corps or to USAID’s Office of the Inspector General.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 xml:space="preserve">The Contractor must notify current employees and sub-contractors that prohibitions and restrictions of any preexisting internal confidentiality agreements or statements covered by this provision, to the extent that such prohibitions and restrictions are inconsistent with the prohibitions of this provision, are no longer in effect.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If Mercy Corps, USAID or other authorized officials of the US Government determines that the Contractor is not in compliance with the requirements of this provision, Mercy Corps may, at its sole discretion, suspend or terminate the contract.  Further, Mercy Corps may, at its sole discretion, decide not pay a portion or all of amounts invoiced or expenditures incurred, as applicable, by the Contractor with funds provided under this contract, and also may require the Contractor to refund a portion or all of any amounts paid to the Contractor under this contract.</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Definitions:</w:t>
      </w:r>
    </w:p>
    <w:p>
      <w:pPr>
        <w:pStyle w:val="Normal"/>
        <w:ind w:left="720" w:firstLine="720"/>
        <w:rPr>
          <w:sz w:val="22"/>
          <w:szCs w:val="22"/>
        </w:rPr>
      </w:pPr>
      <w:r>
        <w:rPr>
          <w:sz w:val="22"/>
          <w:szCs w:val="22"/>
        </w:rPr>
      </w:r>
    </w:p>
    <w:p>
      <w:pPr>
        <w:pStyle w:val="Normal"/>
        <w:ind w:left="720" w:firstLine="720"/>
        <w:rPr>
          <w:sz w:val="22"/>
          <w:szCs w:val="22"/>
        </w:rPr>
      </w:pPr>
      <w:r>
        <w:rPr>
          <w:sz w:val="22"/>
          <w:szCs w:val="22"/>
        </w:rPr>
        <w:t>Terms in this clause will have the meaning defined in this section or as defined in 2 CFR 200.</w:t>
      </w:r>
    </w:p>
    <w:p>
      <w:pPr>
        <w:pStyle w:val="Normal"/>
        <w:ind w:left="720" w:firstLine="720"/>
        <w:rPr>
          <w:sz w:val="22"/>
          <w:szCs w:val="22"/>
        </w:rPr>
      </w:pPr>
      <w:r>
        <w:rPr>
          <w:sz w:val="22"/>
          <w:szCs w:val="22"/>
        </w:rPr>
        <w:t>“</w:t>
      </w:r>
      <w:r>
        <w:rPr>
          <w:sz w:val="22"/>
          <w:szCs w:val="22"/>
        </w:rPr>
        <w:t xml:space="preserve">Internal confidentiality agreement or statement” means a confidentiality agreement or any other written statement that the Contractor requires any of its employees or sub-contractors to sign regarding nondisclosure of recipient information, except that it does not include confidentiality agreements arising out of civil litigation or confidentiality agreements that Contractor employees or sub-contractors sign at the behest of a US government agency. </w:t>
      </w:r>
    </w:p>
    <w:p>
      <w:pPr>
        <w:pStyle w:val="ListParagraph"/>
        <w:rPr>
          <w:rFonts w:ascii="Times New Roman" w:hAnsi="Times New Roman"/>
          <w:sz w:val="22"/>
          <w:szCs w:val="22"/>
        </w:rPr>
      </w:pPr>
      <w:r>
        <w:rPr>
          <w:rFonts w:ascii="Times New Roman" w:hAnsi="Times New Roman"/>
          <w:sz w:val="22"/>
          <w:szCs w:val="22"/>
        </w:rPr>
      </w:r>
    </w:p>
    <w:p>
      <w:pPr>
        <w:pStyle w:val="ListParagraph"/>
        <w:numPr>
          <w:ilvl w:val="4"/>
          <w:numId w:val="4"/>
        </w:numPr>
        <w:spacing w:before="0" w:after="0"/>
        <w:ind w:left="720" w:hanging="360"/>
        <w:contextualSpacing w:val="false"/>
        <w:rPr>
          <w:rFonts w:ascii="Times New Roman" w:hAnsi="Times New Roman"/>
          <w:sz w:val="22"/>
          <w:szCs w:val="22"/>
        </w:rPr>
      </w:pPr>
      <w:r>
        <w:rPr>
          <w:rFonts w:ascii="Times New Roman" w:hAnsi="Times New Roman"/>
          <w:sz w:val="22"/>
          <w:szCs w:val="22"/>
        </w:rPr>
        <w:t>The Contractor must include this provision, including this paragraph (e), in sub awards and sub-contracts funded under this contract.</w:t>
      </w:r>
    </w:p>
    <w:p>
      <w:pPr>
        <w:pStyle w:val="Default"/>
        <w:ind w:firstLine="72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numPr>
          <w:ilvl w:val="0"/>
          <w:numId w:val="2"/>
        </w:numPr>
        <w:ind w:left="360" w:hanging="36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Disclosures to USAID must be sent to:</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U.S. Agency for International Development</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Office of the Inspector General</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P.O. Box 657</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Washington, DC 200044-0657</w:t>
      </w:r>
    </w:p>
    <w:p>
      <w:pPr>
        <w:pStyle w:val="Default"/>
        <w:ind w:left="360" w:hanging="0"/>
        <w:rPr>
          <w:rFonts w:ascii="Times New Roman" w:hAnsi="Times New Roman" w:eastAsia="Times New Roman" w:cs="Times New Roman"/>
          <w:color w:val="auto"/>
          <w:sz w:val="22"/>
          <w:szCs w:val="22"/>
          <w:u w:val="single"/>
        </w:rPr>
      </w:pPr>
      <w:r>
        <w:rPr>
          <w:rFonts w:eastAsia="Times New Roman" w:cs="Times New Roman" w:ascii="Times New Roman" w:hAnsi="Times New Roman"/>
          <w:color w:val="auto"/>
          <w:sz w:val="22"/>
          <w:szCs w:val="22"/>
        </w:rPr>
        <w:t xml:space="preserve">Phone: </w:t>
      </w:r>
      <w:r>
        <w:rPr>
          <w:rFonts w:eastAsia="Times New Roman" w:cs="Times New Roman" w:ascii="Times New Roman" w:hAnsi="Times New Roman"/>
          <w:color w:val="auto"/>
          <w:sz w:val="22"/>
          <w:szCs w:val="22"/>
          <w:u w:val="single"/>
        </w:rPr>
        <w:t>1-800-230-6539 or 202-712-1023</w:t>
      </w:r>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t xml:space="preserve">Email: </w:t>
      </w:r>
      <w:hyperlink r:id="rId5">
        <w:r>
          <w:rPr>
            <w:rStyle w:val="InternetLink"/>
            <w:rFonts w:eastAsia="Times New Roman" w:cs="Times New Roman" w:ascii="Times New Roman" w:hAnsi="Times New Roman"/>
            <w:sz w:val="22"/>
            <w:szCs w:val="22"/>
          </w:rPr>
          <w:t>ig.hotline@usaid.gov</w:t>
        </w:r>
      </w:hyperlink>
    </w:p>
    <w:p>
      <w:pPr>
        <w:pStyle w:val="Default"/>
        <w:ind w:left="360" w:hanging="0"/>
        <w:rPr>
          <w:rFonts w:ascii="Times New Roman" w:hAnsi="Times New Roman" w:eastAsia="Times New Roman" w:cs="Times New Roman"/>
          <w:color w:val="auto"/>
          <w:sz w:val="22"/>
          <w:szCs w:val="22"/>
          <w:u w:val="single"/>
        </w:rPr>
      </w:pPr>
      <w:r>
        <w:rPr>
          <w:rFonts w:eastAsia="Times New Roman" w:cs="Times New Roman" w:ascii="Times New Roman" w:hAnsi="Times New Roman"/>
          <w:color w:val="auto"/>
          <w:sz w:val="22"/>
          <w:szCs w:val="22"/>
        </w:rPr>
        <w:t xml:space="preserve">URL: </w:t>
      </w:r>
      <w:hyperlink r:id="rId6">
        <w:r>
          <w:rPr>
            <w:rStyle w:val="InternetLink"/>
            <w:rFonts w:eastAsia="Times New Roman" w:cs="Times New Roman" w:ascii="Times New Roman" w:hAnsi="Times New Roman"/>
            <w:sz w:val="22"/>
            <w:szCs w:val="22"/>
          </w:rPr>
          <w:t>https://oig.usaid.gov/content/usaid-contractor-reporting-form</w:t>
        </w:r>
      </w:hyperlink>
    </w:p>
    <w:p>
      <w:pPr>
        <w:pStyle w:val="Default"/>
        <w:ind w:left="360" w:hanging="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ListParagraph"/>
        <w:numPr>
          <w:ilvl w:val="0"/>
          <w:numId w:val="2"/>
        </w:numPr>
        <w:ind w:left="360" w:hanging="360"/>
        <w:rPr>
          <w:rFonts w:ascii="Times New Roman" w:hAnsi="Times New Roman"/>
          <w:sz w:val="22"/>
          <w:szCs w:val="22"/>
        </w:rPr>
      </w:pPr>
      <w:r>
        <w:rPr>
          <w:rFonts w:ascii="Times New Roman" w:hAnsi="Times New Roman"/>
          <w:sz w:val="22"/>
          <w:szCs w:val="22"/>
        </w:rPr>
        <w:t>USAID policy requires that the contractor not discriminate against any beneficiaries in implementation of this contract, such as, but not limited to, by withholding, adversely impacting, or denying equitable access to the benefits provided through this contract on the basis of any factor not expressly stated in the contract.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contractor to target activities toward the assistance needs of certain populations as defined in the contract.</w:t>
      </w:r>
    </w:p>
    <w:p>
      <w:pPr>
        <w:pStyle w:val="Default"/>
        <w:ind w:left="360" w:firstLine="720"/>
        <w:rPr>
          <w:rFonts w:ascii="Times New Roman" w:hAnsi="Times New Roman" w:eastAsia="Times New Roman" w:cs="Times New Roman"/>
          <w:color w:val="auto"/>
          <w:sz w:val="22"/>
          <w:szCs w:val="22"/>
        </w:rPr>
      </w:pPr>
      <w:r>
        <w:rPr>
          <w:rFonts w:eastAsia="Times New Roman" w:cs="Times New Roman" w:ascii="Times New Roman" w:hAnsi="Times New Roman"/>
          <w:color w:val="auto"/>
          <w:sz w:val="22"/>
          <w:szCs w:val="22"/>
        </w:rPr>
      </w:r>
    </w:p>
    <w:p>
      <w:pPr>
        <w:pStyle w:val="ListParagraph"/>
        <w:numPr>
          <w:ilvl w:val="0"/>
          <w:numId w:val="2"/>
        </w:numPr>
        <w:ind w:left="360" w:hanging="360"/>
        <w:rPr>
          <w:rFonts w:ascii="Times New Roman" w:hAnsi="Times New Roman"/>
          <w:color w:val="000000"/>
          <w:sz w:val="22"/>
          <w:szCs w:val="22"/>
        </w:rPr>
      </w:pPr>
      <w:r>
        <w:rPr>
          <w:rFonts w:ascii="Times New Roman" w:hAnsi="Times New Roman"/>
          <w:color w:val="000000"/>
          <w:sz w:val="22"/>
          <w:szCs w:val="22"/>
        </w:rPr>
        <w:t xml:space="preserve">The Contractor agrees to incorporate the terms of “Schedule 1I” word-for-word in all of its sub-contracts funded under this Contract, if any.  </w:t>
      </w:r>
    </w:p>
    <w:p>
      <w:pPr>
        <w:pStyle w:val="ListParagraph"/>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ListParagraph"/>
        <w:ind w:left="360" w:hanging="0"/>
        <w:rPr>
          <w:rFonts w:ascii="Times New Roman" w:hAnsi="Times New Roman"/>
          <w:color w:val="000000"/>
          <w:sz w:val="22"/>
          <w:szCs w:val="22"/>
        </w:rPr>
      </w:pPr>
      <w:r>
        <w:rPr>
          <w:rFonts w:ascii="Times New Roman" w:hAnsi="Times New Roman"/>
          <w:color w:val="000000"/>
          <w:sz w:val="22"/>
          <w:szCs w:val="22"/>
        </w:rPr>
      </w:r>
    </w:p>
    <w:p>
      <w:pPr>
        <w:pStyle w:val="Normal"/>
        <w:rPr>
          <w:rFonts w:ascii="Calibri" w:hAnsi="Calibri" w:asciiTheme="minorHAnsi" w:hAnsiTheme="minorHAnsi"/>
          <w:b/>
          <w:sz w:val="22"/>
          <w:szCs w:val="22"/>
        </w:rPr>
      </w:pPr>
      <w:r>
        <w:rPr>
          <w:rFonts w:ascii="Calibri" w:hAnsi="Calibri" w:asciiTheme="minorHAnsi" w:hAnsiTheme="minorHAnsi"/>
          <w:b/>
          <w:sz w:val="22"/>
          <w:szCs w:val="22"/>
        </w:rPr>
        <w:t xml:space="preserve">Other Contract Provisions Required by Law or MC’s Donor </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pPr>
        <w:pStyle w:val="Normal"/>
        <w:spacing w:before="240" w:after="240"/>
        <w:contextualSpacing/>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Liability/Indemnity</w:t>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pPr>
        <w:pStyle w:val="Normal"/>
        <w:pBdr/>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Right of Access/ Audit</w:t>
      </w:r>
    </w:p>
    <w:p>
      <w:pPr>
        <w:pStyle w:val="Normal"/>
        <w:numPr>
          <w:ilvl w:val="0"/>
          <w:numId w:val="5"/>
        </w:numPr>
        <w:pBdr/>
        <w:spacing w:lineRule="auto" w:line="276" w:before="0" w:after="200"/>
        <w:rPr>
          <w:rFonts w:ascii="Calibri" w:hAnsi="Calibri" w:eastAsia="Calibri" w:asciiTheme="minorHAnsi" w:eastAsiaTheme="minorHAnsi" w:hAnsiTheme="minorHAnsi"/>
          <w:sz w:val="22"/>
          <w:szCs w:val="22"/>
          <w:lang w:val="en-GB"/>
        </w:rPr>
      </w:pPr>
      <w:r>
        <w:rPr>
          <w:rFonts w:eastAsia="Calibri" w:ascii="Calibri" w:hAnsi="Calibri" w:asciiTheme="minorHAnsi" w:eastAsiaTheme="minorHAnsi" w:hAnsiTheme="minorHAnsi"/>
          <w:sz w:val="22"/>
          <w:szCs w:val="22"/>
          <w:lang w:val="en-GB"/>
        </w:rPr>
        <w:t xml:space="preserve">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pPr>
        <w:pStyle w:val="Normal"/>
        <w:numPr>
          <w:ilvl w:val="0"/>
          <w:numId w:val="5"/>
        </w:numPr>
        <w:pBdr/>
        <w:spacing w:lineRule="auto" w:line="276" w:before="0" w:after="200"/>
        <w:rPr>
          <w:rFonts w:ascii="Calibri" w:hAnsi="Calibri" w:eastAsia="Calibri" w:asciiTheme="minorHAnsi" w:eastAsiaTheme="minorHAnsi" w:hAnsiTheme="minorHAnsi"/>
          <w:sz w:val="22"/>
          <w:szCs w:val="22"/>
          <w:lang w:val="en-GB"/>
        </w:rPr>
      </w:pPr>
      <w:r>
        <w:rPr>
          <w:rFonts w:eastAsia="Calibri" w:ascii="Calibri" w:hAnsi="Calibri" w:asciiTheme="minorHAnsi" w:eastAsiaTheme="minorHAnsi" w:hAnsiTheme="minorHAnsi"/>
          <w:sz w:val="22"/>
          <w:szCs w:val="22"/>
          <w:lang w:val="en-GB"/>
        </w:rPr>
        <w:t xml:space="preserve">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Pr>
          <w:rFonts w:eastAsia="Calibri" w:ascii="Calibri" w:hAnsi="Calibri" w:asciiTheme="minorHAnsi" w:eastAsiaTheme="minorHAnsi" w:hAnsiTheme="minorHAnsi"/>
          <w:sz w:val="22"/>
          <w:szCs w:val="22"/>
          <w:highlight w:val="yellow"/>
          <w:lang w:val="en-GB"/>
        </w:rPr>
        <w:t>Vendor</w:t>
      </w:r>
      <w:r>
        <w:rPr>
          <w:rFonts w:eastAsia="Calibri" w:ascii="Calibri" w:hAnsi="Calibri"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pPr>
        <w:pStyle w:val="Normal"/>
        <w:spacing w:lineRule="auto" w:line="276" w:before="240" w:after="200"/>
        <w:rPr>
          <w:rFonts w:ascii="Calibri" w:hAnsi="Calibri" w:eastAsia="Calibri" w:asciiTheme="minorHAnsi" w:eastAsiaTheme="minorHAnsi" w:hAnsiTheme="minorHAnsi"/>
          <w:b/>
          <w:bCs/>
          <w:sz w:val="22"/>
          <w:szCs w:val="22"/>
          <w:lang w:val="en-GB"/>
        </w:rPr>
      </w:pPr>
      <w:r>
        <w:rPr>
          <w:rFonts w:eastAsia="Calibri" w:ascii="Calibri" w:hAnsi="Calibri" w:asciiTheme="minorHAnsi" w:eastAsiaTheme="minorHAnsi" w:hAnsiTheme="minorHAnsi"/>
          <w:b/>
          <w:bCs/>
          <w:sz w:val="22"/>
          <w:szCs w:val="22"/>
          <w:lang w:val="en-GB"/>
        </w:rPr>
        <w:t xml:space="preserve">Confidentiality </w:t>
      </w:r>
    </w:p>
    <w:p>
      <w:pPr>
        <w:pStyle w:val="Normal"/>
        <w:spacing w:lineRule="auto" w:line="276" w:before="240" w:after="200"/>
        <w:jc w:val="both"/>
        <w:rPr>
          <w:rFonts w:ascii="Calibri" w:hAnsi="Calibri" w:eastAsia="Calibri" w:asciiTheme="minorHAnsi" w:eastAsiaTheme="minorHAnsi" w:hAnsiTheme="minorHAnsi"/>
          <w:iCs/>
          <w:sz w:val="22"/>
          <w:szCs w:val="22"/>
          <w:lang w:val="en-GB"/>
        </w:rPr>
      </w:pPr>
      <w:r>
        <w:rPr>
          <w:rFonts w:eastAsia="Calibri" w:ascii="Calibri" w:hAnsi="Calibri" w:asciiTheme="minorHAnsi" w:eastAsiaTheme="minorHAnsi" w:hAnsiTheme="minorHAnsi"/>
          <w:bCs/>
          <w:sz w:val="22"/>
          <w:szCs w:val="22"/>
          <w:lang w:val="en-GB"/>
        </w:rPr>
        <w:t xml:space="preserve">The </w:t>
      </w:r>
      <w:r>
        <w:rPr>
          <w:rFonts w:eastAsia="Calibri" w:ascii="Calibri" w:hAnsi="Calibri" w:asciiTheme="minorHAnsi" w:eastAsiaTheme="minorHAnsi" w:hAnsiTheme="minorHAnsi"/>
          <w:bCs/>
          <w:sz w:val="22"/>
          <w:szCs w:val="22"/>
          <w:highlight w:val="yellow"/>
          <w:lang w:val="en-GB"/>
        </w:rPr>
        <w:t>Vendor</w:t>
      </w:r>
      <w:r>
        <w:rPr>
          <w:rFonts w:eastAsia="Calibri" w:ascii="Calibri" w:hAnsi="Calibri" w:asciiTheme="minorHAnsi" w:eastAsiaTheme="minorHAnsi" w:hAnsiTheme="minorHAnsi"/>
          <w:bCs/>
          <w:sz w:val="22"/>
          <w:szCs w:val="22"/>
          <w:lang w:val="en-GB"/>
        </w:rPr>
        <w:t xml:space="preserve"> </w:t>
      </w:r>
      <w:r>
        <w:rPr>
          <w:rFonts w:eastAsia="Calibri" w:ascii="Calibri" w:hAnsi="Calibri" w:asciiTheme="minorHAnsi" w:eastAsiaTheme="minorHAnsi" w:hAnsiTheme="minorHAnsi"/>
          <w:iCs/>
          <w:sz w:val="22"/>
          <w:szCs w:val="22"/>
          <w:lang w:val="en-GB"/>
        </w:rPr>
        <w:t xml:space="preserve">acknowledges that Mercy Corps has reporting obligations to the European Union.  Accordingly, the </w:t>
      </w:r>
      <w:r>
        <w:rPr>
          <w:rFonts w:eastAsia="Calibri" w:ascii="Calibri" w:hAnsi="Calibri" w:asciiTheme="minorHAnsi" w:eastAsiaTheme="minorHAnsi" w:hAnsiTheme="minorHAnsi"/>
          <w:iCs/>
          <w:sz w:val="22"/>
          <w:szCs w:val="22"/>
          <w:highlight w:val="yellow"/>
          <w:lang w:val="en-GB"/>
        </w:rPr>
        <w:t>Vendor</w:t>
      </w:r>
      <w:r>
        <w:rPr>
          <w:rFonts w:eastAsia="Calibri" w:ascii="Calibri" w:hAnsi="Calibri" w:asciiTheme="minorHAnsi" w:eastAsiaTheme="minorHAnsi" w:hAnsiTheme="minorHAnsi"/>
          <w:iCs/>
          <w:sz w:val="22"/>
          <w:szCs w:val="22"/>
          <w:lang w:val="en-GB"/>
        </w:rPr>
        <w:t xml:space="preserve"> consents to Mercy Corps sharing information about the </w:t>
      </w:r>
      <w:r>
        <w:rPr>
          <w:rFonts w:eastAsia="Calibri" w:ascii="Calibri" w:hAnsi="Calibri" w:asciiTheme="minorHAnsi" w:eastAsiaTheme="minorHAnsi" w:hAnsiTheme="minorHAnsi"/>
          <w:iCs/>
          <w:sz w:val="22"/>
          <w:szCs w:val="22"/>
          <w:highlight w:val="yellow"/>
          <w:lang w:val="en-GB"/>
        </w:rPr>
        <w:t>Vendor</w:t>
      </w:r>
      <w:r>
        <w:rPr>
          <w:rFonts w:eastAsia="Calibri" w:ascii="Calibri" w:hAnsi="Calibri" w:asciiTheme="minorHAnsi" w:eastAsiaTheme="minorHAnsi" w:hAnsiTheme="minorHAnsi"/>
          <w:iCs/>
          <w:sz w:val="22"/>
          <w:szCs w:val="22"/>
          <w:lang w:val="en-GB"/>
        </w:rPr>
        <w:t xml:space="preserve"> or the Services with the European Union as required.</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Anti-corruption</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b/>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The Parties recognize that Mercy Corps has a zero tolerance approach to bribery and corruption.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Mercy Corps recognizes that in complying with this Clause, 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is not expected to risk life, limb or freedom.  </w:t>
        <w:tab/>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Visibility</w:t>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b/>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b/>
          <w:sz w:val="22"/>
          <w:szCs w:val="22"/>
        </w:rPr>
      </w:pPr>
      <w:r>
        <w:rPr>
          <w:rFonts w:eastAsia="Calibri" w:ascii="Calibri" w:hAnsi="Calibri" w:asciiTheme="minorHAnsi" w:hAnsiTheme="minorHAnsi"/>
          <w:b/>
          <w:sz w:val="22"/>
          <w:szCs w:val="22"/>
        </w:rPr>
        <w:t>Principal of Ethical Procurement</w:t>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sz w:val="22"/>
          <w:szCs w:val="22"/>
        </w:rPr>
      </w:r>
    </w:p>
    <w:p>
      <w:pPr>
        <w:pStyle w:val="Normal"/>
        <w:spacing w:before="240" w:after="240"/>
        <w:contextualSpacing/>
        <w:jc w:val="both"/>
        <w:rPr>
          <w:rFonts w:ascii="Calibri" w:hAnsi="Calibri" w:eastAsia="Calibri" w:asciiTheme="minorHAnsi" w:hAnsiTheme="minorHAnsi"/>
          <w:sz w:val="22"/>
          <w:szCs w:val="22"/>
        </w:rPr>
      </w:pPr>
      <w:r>
        <w:rPr>
          <w:rFonts w:eastAsia="Calibri" w:ascii="Calibri" w:hAnsi="Calibri" w:asciiTheme="minorHAnsi" w:hAnsiTheme="minorHAnsi"/>
          <w:sz w:val="22"/>
          <w:szCs w:val="22"/>
        </w:rPr>
        <w:t xml:space="preserve">The </w:t>
      </w:r>
      <w:r>
        <w:rPr>
          <w:rFonts w:eastAsia="Calibri" w:ascii="Calibri" w:hAnsi="Calibri" w:asciiTheme="minorHAnsi" w:hAnsiTheme="minorHAnsi"/>
          <w:sz w:val="22"/>
          <w:szCs w:val="22"/>
          <w:highlight w:val="yellow"/>
        </w:rPr>
        <w:t>Vendor</w:t>
      </w:r>
      <w:r>
        <w:rPr>
          <w:rFonts w:eastAsia="Calibri" w:ascii="Calibri" w:hAnsi="Calibri" w:asciiTheme="minorHAns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pPr>
        <w:pStyle w:val="Normal"/>
        <w:rPr>
          <w:rFonts w:ascii="Calibri" w:hAnsi="Calibri" w:asciiTheme="minorHAnsi" w:hAnsiTheme="minorHAnsi"/>
          <w:sz w:val="22"/>
          <w:szCs w:val="22"/>
        </w:rPr>
      </w:pPr>
      <w:r>
        <w:rPr>
          <w:rFonts w:asciiTheme="minorHAnsi" w:hAnsi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Safeguarding</w:t>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cstheme="minorHAnsi" w:ascii="Calibri" w:hAnsi="Calibri"/>
          <w:b/>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agrees to immediately report to Mercy Corps any credible evidence of trafficking in persons or exploitation that involve funds or resources provided.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may use Mercy Corps’ integrity hotline to report any such events (</w:t>
      </w:r>
      <w:hyperlink r:id="rId7">
        <w:r>
          <w:rPr>
            <w:rFonts w:eastAsia="Calibri" w:cs="Calibri" w:ascii="Calibri" w:hAnsi="Calibri" w:asciiTheme="minorHAnsi" w:cstheme="minorHAnsi" w:hAnsiTheme="minorHAnsi"/>
            <w:sz w:val="22"/>
            <w:szCs w:val="22"/>
          </w:rPr>
          <w:t>mercycorps.org/integrityhotline</w:t>
        </w:r>
      </w:hyperlink>
      <w:r>
        <w:rPr>
          <w:rFonts w:eastAsia="Calibri" w:cs="Calibri" w:ascii="Calibri" w:hAnsi="Calibri" w:asciiTheme="minorHAnsi" w:cstheme="minorHAnsi" w:hAnsiTheme="minorHAnsi"/>
          <w:sz w:val="22"/>
          <w:szCs w:val="22"/>
        </w:rPr>
        <w:t xml:space="preserve">).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shall inform its staff that they can report any wrongdoing related to this Contract to the integrity hotline without any risk of retaliation.</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Anti-terrorism</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will seek to ensure that none of the funds or assets provided under this Agreement are made available or used to provide support to individuals, groups or entities associated with terrorism.</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is responsible for taking all appropriate precautions and institute all procedures necessary to prevent any portion of the Donor funds from being so used.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shall screen its suppliers and contractors financed through this Agreement to ensure that such parties are not included in the EU Sanctions List (</w:t>
      </w:r>
      <w:hyperlink r:id="rId8">
        <w:r>
          <w:rPr>
            <w:rStyle w:val="InternetLink"/>
            <w:rFonts w:eastAsia="Calibri" w:cs="Calibri" w:ascii="Calibri" w:hAnsi="Calibri" w:asciiTheme="minorHAnsi" w:cstheme="minorHAnsi" w:hAnsiTheme="minorHAnsi"/>
            <w:sz w:val="22"/>
            <w:szCs w:val="22"/>
          </w:rPr>
          <w:t>www.sanctionsmap.eu</w:t>
        </w:r>
      </w:hyperlink>
      <w:r>
        <w:rPr>
          <w:rFonts w:eastAsia="Calibri" w:cs="Calibri" w:ascii="Calibri" w:hAnsi="Calibri" w:asciiTheme="minorHAnsi" w:cstheme="minorHAnsi" w:hAnsiTheme="minorHAnsi"/>
          <w:sz w:val="22"/>
          <w:szCs w:val="22"/>
        </w:rPr>
        <w:t>).</w:t>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sz w:val="22"/>
          <w:szCs w:val="22"/>
        </w:rPr>
      </w:pPr>
      <w:r>
        <w:rPr>
          <w:rFonts w:eastAsia="Calibri" w:cs="Calibri" w:ascii="Calibri" w:hAnsi="Calibri" w:asciiTheme="minorHAnsi" w:cstheme="minorHAnsi" w:hAnsiTheme="minorHAnsi"/>
          <w:sz w:val="22"/>
          <w:szCs w:val="22"/>
        </w:rPr>
        <w:t xml:space="preserve">If, during the course of this Agreement, the </w:t>
      </w:r>
      <w:r>
        <w:rPr>
          <w:rFonts w:eastAsia="Calibri" w:cs="Calibri" w:ascii="Calibri" w:hAnsi="Calibri" w:asciiTheme="minorHAnsi" w:cstheme="minorHAnsi" w:hAnsiTheme="minorHAnsi"/>
          <w:sz w:val="22"/>
          <w:szCs w:val="22"/>
          <w:highlight w:val="yellow"/>
        </w:rPr>
        <w:t>Vendor</w:t>
      </w:r>
      <w:r>
        <w:rPr>
          <w:rFonts w:eastAsia="Calibri" w:cs="Calibri" w:ascii="Calibri" w:hAnsi="Calibri" w:asciiTheme="minorHAnsi" w:cstheme="minorHAnsi" w:hAnsiTheme="minorHAnsi"/>
          <w:sz w:val="22"/>
          <w:szCs w:val="22"/>
        </w:rPr>
        <w:t xml:space="preserve"> discovers that any funds have been made available to, or for the benefit of, any persons, groups or entities who fall under the scope of the EU Sanctions List, it must inform Mercy Corps immediately through the link </w:t>
      </w:r>
      <w:hyperlink r:id="rId9">
        <w:r>
          <w:rPr>
            <w:rStyle w:val="InternetLink"/>
            <w:rFonts w:eastAsia="Calibri" w:cs="Calibri" w:ascii="Calibri" w:hAnsi="Calibri" w:asciiTheme="minorHAnsi" w:cstheme="minorHAnsi" w:hAnsiTheme="minorHAnsi"/>
            <w:sz w:val="22"/>
            <w:szCs w:val="22"/>
          </w:rPr>
          <w:t>mercycorps.org/integrityhotline</w:t>
        </w:r>
      </w:hyperlink>
      <w:r>
        <w:rPr>
          <w:rFonts w:eastAsia="Calibri" w:cs="Calibri" w:ascii="Calibri" w:hAnsi="Calibri" w:asciiTheme="minorHAnsi" w:cstheme="minorHAnsi" w:hAnsiTheme="minorHAnsi"/>
          <w:sz w:val="22"/>
          <w:szCs w:val="22"/>
        </w:rPr>
        <w:t xml:space="preserve">. </w:t>
      </w:r>
    </w:p>
    <w:p>
      <w:pPr>
        <w:pStyle w:val="Normal"/>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ascii="Calibri" w:hAnsi="Calibri" w:asciiTheme="minorHAnsi" w:cstheme="minorHAnsi" w:hAnsiTheme="minorHAnsi"/>
          <w:b/>
          <w:sz w:val="22"/>
          <w:szCs w:val="22"/>
        </w:rPr>
        <w:t>Cancelation of the Contract</w:t>
      </w:r>
    </w:p>
    <w:p>
      <w:pPr>
        <w:pStyle w:val="Normal"/>
        <w:spacing w:before="240" w:after="240"/>
        <w:contextualSpacing/>
        <w:jc w:val="both"/>
        <w:rPr>
          <w:rFonts w:ascii="Calibri" w:hAnsi="Calibri" w:eastAsia="Calibri" w:cs="Calibri" w:asciiTheme="minorHAnsi" w:cstheme="minorHAnsi" w:hAnsiTheme="minorHAnsi"/>
          <w:b/>
          <w:sz w:val="22"/>
          <w:szCs w:val="22"/>
        </w:rPr>
      </w:pPr>
      <w:r>
        <w:rPr>
          <w:rFonts w:eastAsia="Calibri" w:cs="Calibri" w:cstheme="minorHAnsi" w:ascii="Calibri" w:hAnsi="Calibri"/>
          <w:b/>
          <w:sz w:val="22"/>
          <w:szCs w:val="22"/>
        </w:rPr>
      </w:r>
    </w:p>
    <w:p>
      <w:pPr>
        <w:pStyle w:val="Normal"/>
        <w:spacing w:before="240" w:after="240"/>
        <w:contextualSpacing/>
        <w:jc w:val="both"/>
        <w:rPr>
          <w:b/>
          <w:sz w:val="36"/>
          <w:szCs w:val="36"/>
          <w:highlight w:val="green"/>
        </w:rPr>
      </w:pPr>
      <w:r>
        <w:rPr>
          <w:rFonts w:eastAsia="Calibri" w:cs="Calibri" w:ascii="Calibri" w:hAnsi="Calibri" w:asciiTheme="minorHAnsi" w:cstheme="minorHAnsi" w:hAnsi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Pr>
          <w:rFonts w:eastAsia="Calibri" w:cs="Calibri" w:ascii="Calibri" w:hAnsi="Calibri" w:asciiTheme="minorHAnsi" w:cstheme="minorHAnsi" w:hAnsiTheme="minorHAnsi"/>
          <w:sz w:val="22"/>
          <w:szCs w:val="22"/>
          <w:highlight w:val="yellow"/>
        </w:rPr>
        <w:t>the Vendor</w:t>
      </w:r>
      <w:r>
        <w:rPr>
          <w:rFonts w:eastAsia="Calibri" w:cs="Calibri" w:ascii="Calibri" w:hAnsi="Calibri" w:asciiTheme="minorHAnsi" w:cstheme="minorHAnsi" w:hAnsiTheme="minorHAnsi"/>
          <w:sz w:val="22"/>
          <w:szCs w:val="22"/>
        </w:rPr>
        <w:t xml:space="preserve"> any items delivered and </w:t>
      </w:r>
      <w:r>
        <w:rPr>
          <w:rFonts w:eastAsia="Calibri" w:cs="Calibri" w:ascii="Calibri" w:hAnsi="Calibri" w:asciiTheme="minorHAnsi" w:cstheme="minorHAnsi" w:hAnsiTheme="minorHAnsi"/>
          <w:sz w:val="22"/>
          <w:szCs w:val="22"/>
          <w:highlight w:val="yellow"/>
        </w:rPr>
        <w:t>the Vendor</w:t>
      </w:r>
      <w:r>
        <w:rPr>
          <w:rFonts w:eastAsia="Calibri" w:cs="Calibri" w:ascii="Calibri" w:hAnsi="Calibri" w:asciiTheme="minorHAnsi" w:cstheme="minorHAnsi" w:hAnsiTheme="minorHAnsi"/>
          <w:sz w:val="22"/>
          <w:szCs w:val="22"/>
        </w:rPr>
        <w:t xml:space="preserve"> will return to Mercy Corps any funds paid (at each of their own cost, unless otherwise agreed).   </w:t>
      </w:r>
    </w:p>
    <w:sectPr>
      <w:headerReference w:type="default" r:id="rId10"/>
      <w:footerReference w:type="default" r:id="rId11"/>
      <w:type w:val="nextPage"/>
      <w:pgSz w:w="12240" w:h="15840"/>
      <w:pgMar w:left="1656" w:right="1584" w:gutter="0" w:header="0" w:top="1584" w:footer="720" w:bottom="158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eorg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9000" w:leader="none"/>
      </w:tabs>
      <w:spacing w:before="0" w:after="0"/>
      <w:ind w:hanging="0"/>
      <w:rPr>
        <w:color w:val="0000FF"/>
        <w:sz w:val="16"/>
        <w:szCs w:val="16"/>
      </w:rPr>
    </w:pPr>
    <w:r>
      <w:rPr>
        <w:rFonts w:eastAsia="Arial" w:cs="Arial" w:ascii="Arial" w:hAnsi="Arial"/>
        <w:i/>
        <w:sz w:val="20"/>
        <w:szCs w:val="20"/>
      </w:rPr>
      <w:t xml:space="preserve">Service Contract No: </w:t>
    </w:r>
    <w:r>
      <w:rPr>
        <w:rFonts w:eastAsia="Arial" w:cs="Arial" w:ascii="Arial" w:hAnsi="Arial"/>
        <w:i/>
        <w:sz w:val="20"/>
        <w:szCs w:val="20"/>
        <w:highlight w:val="yellow"/>
      </w:rPr>
      <w:t>[TO ADD]</w:t>
    </w:r>
    <w:r>
      <w:rPr>
        <w:rFonts w:eastAsia="Arial" w:cs="Arial" w:ascii="Arial" w:hAnsi="Arial"/>
        <w:i/>
        <w:sz w:val="20"/>
        <w:szCs w:val="20"/>
      </w:rPr>
      <w:tab/>
    </w:r>
    <w:r>
      <w:rPr>
        <w:color w:val="0000FF"/>
        <w:sz w:val="16"/>
        <w:szCs w:val="16"/>
      </w:rPr>
      <w:t xml:space="preserve">PAGE </w:t>
    </w:r>
    <w:r>
      <w:rPr>
        <w:color w:val="0000FF"/>
        <w:sz w:val="16"/>
        <w:szCs w:val="16"/>
      </w:rPr>
      <w:fldChar w:fldCharType="begin"/>
    </w:r>
    <w:r>
      <w:rPr>
        <w:sz w:val="16"/>
        <w:szCs w:val="16"/>
        <w:color w:val="0000FF"/>
      </w:rPr>
      <w:instrText xml:space="preserve"> PAGE </w:instrText>
    </w:r>
    <w:r>
      <w:rPr>
        <w:sz w:val="16"/>
        <w:szCs w:val="16"/>
        <w:color w:val="0000FF"/>
      </w:rPr>
      <w:fldChar w:fldCharType="separate"/>
    </w:r>
    <w:r>
      <w:rPr>
        <w:sz w:val="16"/>
        <w:szCs w:val="16"/>
        <w:color w:val="0000FF"/>
      </w:rPr>
      <w:t>15</w:t>
    </w:r>
    <w:r>
      <w:rPr>
        <w:sz w:val="16"/>
        <w:szCs w:val="16"/>
        <w:color w:val="0000FF"/>
      </w:rPr>
      <w:fldChar w:fldCharType="end"/>
    </w:r>
    <w:r>
      <w:rPr>
        <w:color w:val="0000FF"/>
        <w:sz w:val="16"/>
        <w:szCs w:val="16"/>
      </w:rPr>
      <w:t xml:space="preserve"> of </w:t>
    </w:r>
    <w:r>
      <w:rPr>
        <w:color w:val="0000FF"/>
        <w:sz w:val="16"/>
        <w:szCs w:val="16"/>
      </w:rPr>
      <w:fldChar w:fldCharType="begin"/>
    </w:r>
    <w:r>
      <w:rPr>
        <w:sz w:val="16"/>
        <w:szCs w:val="16"/>
        <w:color w:val="0000FF"/>
      </w:rPr>
      <w:instrText xml:space="preserve"> NUMPAGES </w:instrText>
    </w:r>
    <w:r>
      <w:rPr>
        <w:sz w:val="16"/>
        <w:szCs w:val="16"/>
        <w:color w:val="0000FF"/>
      </w:rPr>
      <w:fldChar w:fldCharType="separate"/>
    </w:r>
    <w:r>
      <w:rPr>
        <w:sz w:val="16"/>
        <w:szCs w:val="16"/>
        <w:color w:val="0000FF"/>
      </w:rPr>
      <w:t>15</w:t>
    </w:r>
    <w:r>
      <w:rPr>
        <w:sz w:val="16"/>
        <w:szCs w:val="16"/>
        <w:color w:val="0000FF"/>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07" w:leader="none"/>
        <w:tab w:val="right" w:pos="9000" w:leader="none"/>
      </w:tabs>
      <w:spacing w:before="720" w:after="0"/>
      <w:ind w:left="54" w:hanging="0"/>
      <w:rPr/>
    </w:pPr>
    <w:r>
      <w:rPr/>
      <w:drawing>
        <wp:anchor behindDoc="1" distT="114300" distB="114300" distL="114300" distR="114300" simplePos="0" locked="0" layoutInCell="0" allowOverlap="1" relativeHeight="16">
          <wp:simplePos x="0" y="0"/>
          <wp:positionH relativeFrom="margin">
            <wp:posOffset>5048250</wp:posOffset>
          </wp:positionH>
          <wp:positionV relativeFrom="paragraph">
            <wp:posOffset>132080</wp:posOffset>
          </wp:positionV>
          <wp:extent cx="552450" cy="713740"/>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1"/>
                  <a:stretch>
                    <a:fillRect/>
                  </a:stretch>
                </pic:blipFill>
                <pic:spPr bwMode="auto">
                  <a:xfrm>
                    <a:off x="0" y="0"/>
                    <a:ext cx="552450" cy="7137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0"/>
      </w:pPr>
      <w:rPr>
        <w:vertAlign w:val="baseline"/>
        <w:position w:val="0"/>
        <w:sz w:val="24"/>
        <w:b/>
      </w:rPr>
    </w:lvl>
    <w:lvl w:ilvl="1">
      <w:start w:val="1"/>
      <w:numFmt w:val="lowerLetter"/>
      <w:lvlText w:val="%2."/>
      <w:lvlJc w:val="left"/>
      <w:pPr>
        <w:tabs>
          <w:tab w:val="num" w:pos="0"/>
        </w:tabs>
        <w:ind w:left="720" w:firstLine="360"/>
      </w:pPr>
      <w:rPr>
        <w:vertAlign w:val="baseline"/>
        <w:position w:val="0"/>
        <w:sz w:val="24"/>
      </w:rPr>
    </w:lvl>
    <w:lvl w:ilvl="2">
      <w:start w:val="1"/>
      <w:numFmt w:val="lowerRoman"/>
      <w:lvlText w:val="%3."/>
      <w:lvlJc w:val="right"/>
      <w:pPr>
        <w:tabs>
          <w:tab w:val="num" w:pos="0"/>
        </w:tabs>
        <w:ind w:left="2160" w:firstLine="1980"/>
      </w:pPr>
      <w:rPr>
        <w:vertAlign w:val="baseline"/>
        <w:position w:val="0"/>
        <w:sz w:val="24"/>
      </w:rPr>
    </w:lvl>
    <w:lvl w:ilvl="3">
      <w:start w:val="1"/>
      <w:numFmt w:val="decimal"/>
      <w:lvlText w:val="%4."/>
      <w:lvlJc w:val="left"/>
      <w:pPr>
        <w:tabs>
          <w:tab w:val="num" w:pos="0"/>
        </w:tabs>
        <w:ind w:left="2880" w:firstLine="2520"/>
      </w:pPr>
      <w:rPr>
        <w:vertAlign w:val="baseline"/>
        <w:position w:val="0"/>
        <w:sz w:val="24"/>
      </w:rPr>
    </w:lvl>
    <w:lvl w:ilvl="4">
      <w:start w:val="1"/>
      <w:numFmt w:val="lowerLetter"/>
      <w:lvlText w:val="%5."/>
      <w:lvlJc w:val="left"/>
      <w:pPr>
        <w:tabs>
          <w:tab w:val="num" w:pos="0"/>
        </w:tabs>
        <w:ind w:left="3600" w:firstLine="3240"/>
      </w:pPr>
      <w:rPr>
        <w:vertAlign w:val="baseline"/>
        <w:position w:val="0"/>
        <w:sz w:val="24"/>
      </w:rPr>
    </w:lvl>
    <w:lvl w:ilvl="5">
      <w:start w:val="1"/>
      <w:numFmt w:val="lowerRoman"/>
      <w:lvlText w:val="%6."/>
      <w:lvlJc w:val="right"/>
      <w:pPr>
        <w:tabs>
          <w:tab w:val="num" w:pos="0"/>
        </w:tabs>
        <w:ind w:left="4320" w:firstLine="4140"/>
      </w:pPr>
      <w:rPr>
        <w:vertAlign w:val="baseline"/>
        <w:position w:val="0"/>
        <w:sz w:val="24"/>
      </w:rPr>
    </w:lvl>
    <w:lvl w:ilvl="6">
      <w:start w:val="1"/>
      <w:numFmt w:val="decimal"/>
      <w:lvlText w:val="%7."/>
      <w:lvlJc w:val="left"/>
      <w:pPr>
        <w:tabs>
          <w:tab w:val="num" w:pos="0"/>
        </w:tabs>
        <w:ind w:left="5040" w:firstLine="4680"/>
      </w:pPr>
      <w:rPr>
        <w:vertAlign w:val="baseline"/>
        <w:position w:val="0"/>
        <w:sz w:val="24"/>
      </w:rPr>
    </w:lvl>
    <w:lvl w:ilvl="7">
      <w:start w:val="1"/>
      <w:numFmt w:val="lowerLetter"/>
      <w:lvlText w:val="%8."/>
      <w:lvlJc w:val="left"/>
      <w:pPr>
        <w:tabs>
          <w:tab w:val="num" w:pos="0"/>
        </w:tabs>
        <w:ind w:left="5760" w:firstLine="5400"/>
      </w:pPr>
      <w:rPr>
        <w:vertAlign w:val="baseline"/>
        <w:position w:val="0"/>
        <w:sz w:val="24"/>
      </w:rPr>
    </w:lvl>
    <w:lvl w:ilvl="8">
      <w:start w:val="1"/>
      <w:numFmt w:val="lowerRoman"/>
      <w:lvlText w:val="%9."/>
      <w:lvlJc w:val="right"/>
      <w:pPr>
        <w:tabs>
          <w:tab w:val="num" w:pos="0"/>
        </w:tabs>
        <w:ind w:left="6480" w:firstLine="6300"/>
      </w:pPr>
      <w:rPr>
        <w:vertAlign w:val="baseline"/>
        <w:position w:val="0"/>
        <w:sz w:val="24"/>
      </w:rPr>
    </w:lvl>
  </w:abstractNum>
  <w:abstractNum w:abstractNumId="2">
    <w:lvl w:ilvl="0">
      <w:start w:val="1"/>
      <w:numFmt w:val="decimal"/>
      <w:lvlText w:val="%1."/>
      <w:lvlJc w:val="left"/>
      <w:pPr>
        <w:tabs>
          <w:tab w:val="num" w:pos="0"/>
        </w:tabs>
        <w:ind w:left="108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1620" w:hanging="360"/>
      </w:pPr>
      <w:rPr>
        <w:rFonts w:ascii="Symbol" w:hAnsi="Symbol" w:cs="Symbol" w:hint="default"/>
      </w:rPr>
    </w:lvl>
    <w:lvl w:ilvl="1">
      <w:start w:val="1"/>
      <w:numFmt w:val="bullet"/>
      <w:lvlText w:val="o"/>
      <w:lvlJc w:val="left"/>
      <w:pPr>
        <w:tabs>
          <w:tab w:val="num" w:pos="0"/>
        </w:tabs>
        <w:ind w:left="2340" w:hanging="360"/>
      </w:pPr>
      <w:rPr>
        <w:rFonts w:ascii="Courier New" w:hAnsi="Courier New" w:cs="Courier New" w:hint="default"/>
      </w:rPr>
    </w:lvl>
    <w:lvl w:ilvl="2">
      <w:start w:val="1"/>
      <w:numFmt w:val="bullet"/>
      <w:lvlText w:val=""/>
      <w:lvlJc w:val="left"/>
      <w:pPr>
        <w:tabs>
          <w:tab w:val="num" w:pos="0"/>
        </w:tabs>
        <w:ind w:left="3060" w:hanging="360"/>
      </w:pPr>
      <w:rPr>
        <w:rFonts w:ascii="Wingdings" w:hAnsi="Wingdings" w:cs="Wingdings" w:hint="default"/>
      </w:rPr>
    </w:lvl>
    <w:lvl w:ilvl="3">
      <w:start w:val="1"/>
      <w:numFmt w:val="bullet"/>
      <w:lvlText w:val=""/>
      <w:lvlJc w:val="left"/>
      <w:pPr>
        <w:tabs>
          <w:tab w:val="num" w:pos="0"/>
        </w:tabs>
        <w:ind w:left="3780" w:hanging="360"/>
      </w:pPr>
      <w:rPr>
        <w:rFonts w:ascii="Symbol" w:hAnsi="Symbol" w:cs="Symbol" w:hint="default"/>
      </w:rPr>
    </w:lvl>
    <w:lvl w:ilvl="4">
      <w:start w:val="1"/>
      <w:numFmt w:val="bullet"/>
      <w:lvlText w:val="o"/>
      <w:lvlJc w:val="left"/>
      <w:pPr>
        <w:tabs>
          <w:tab w:val="num" w:pos="0"/>
        </w:tabs>
        <w:ind w:left="4500" w:hanging="360"/>
      </w:pPr>
      <w:rPr>
        <w:rFonts w:ascii="Courier New" w:hAnsi="Courier New" w:cs="Courier New" w:hint="default"/>
      </w:rPr>
    </w:lvl>
    <w:lvl w:ilvl="5">
      <w:start w:val="1"/>
      <w:numFmt w:val="bullet"/>
      <w:lvlText w:val=""/>
      <w:lvlJc w:val="left"/>
      <w:pPr>
        <w:tabs>
          <w:tab w:val="num" w:pos="0"/>
        </w:tabs>
        <w:ind w:left="5220" w:hanging="360"/>
      </w:pPr>
      <w:rPr>
        <w:rFonts w:ascii="Wingdings" w:hAnsi="Wingdings" w:cs="Wingdings" w:hint="default"/>
      </w:rPr>
    </w:lvl>
    <w:lvl w:ilvl="6">
      <w:start w:val="1"/>
      <w:numFmt w:val="bullet"/>
      <w:lvlText w:val=""/>
      <w:lvlJc w:val="left"/>
      <w:pPr>
        <w:tabs>
          <w:tab w:val="num" w:pos="0"/>
        </w:tabs>
        <w:ind w:left="5940" w:hanging="360"/>
      </w:pPr>
      <w:rPr>
        <w:rFonts w:ascii="Symbol" w:hAnsi="Symbol" w:cs="Symbol" w:hint="default"/>
      </w:rPr>
    </w:lvl>
    <w:lvl w:ilvl="7">
      <w:start w:val="1"/>
      <w:numFmt w:val="bullet"/>
      <w:lvlText w:val="o"/>
      <w:lvlJc w:val="left"/>
      <w:pPr>
        <w:tabs>
          <w:tab w:val="num" w:pos="0"/>
        </w:tabs>
        <w:ind w:left="6660" w:hanging="360"/>
      </w:pPr>
      <w:rPr>
        <w:rFonts w:ascii="Courier New" w:hAnsi="Courier New" w:cs="Courier New" w:hint="default"/>
      </w:rPr>
    </w:lvl>
    <w:lvl w:ilvl="8">
      <w:start w:val="1"/>
      <w:numFmt w:val="bullet"/>
      <w:lvlText w:val=""/>
      <w:lvlJc w:val="left"/>
      <w:pPr>
        <w:tabs>
          <w:tab w:val="num" w:pos="0"/>
        </w:tabs>
        <w:ind w:left="73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abstractNum w:abstractNumId="5">
    <w:lvl w:ilvl="0">
      <w:start w:val="1"/>
      <w:numFmt w:val="lowerLetter"/>
      <w:lvlText w:val="(%1)"/>
      <w:lvlJc w:val="left"/>
      <w:pPr>
        <w:tabs>
          <w:tab w:val="num" w:pos="0"/>
        </w:tabs>
        <w:ind w:left="360" w:hanging="360"/>
      </w:pPr>
      <w:rPr>
        <w:sz w:val="22"/>
        <w:rFonts w:ascii="Calibri" w:hAnsi="Calibri" w:asciiTheme="minorHAnsi" w:hAnsiTheme="minorHAnsi"/>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0"/>
        </w:tabs>
        <w:ind w:left="711" w:hanging="360"/>
      </w:pPr>
      <w:rPr>
        <w:rFonts w:ascii="Symbol" w:hAnsi="Symbol" w:cs="Symbol" w:hint="default"/>
      </w:rPr>
    </w:lvl>
    <w:lvl w:ilvl="1">
      <w:start w:val="1"/>
      <w:numFmt w:val="bullet"/>
      <w:lvlText w:val="o"/>
      <w:lvlJc w:val="left"/>
      <w:pPr>
        <w:tabs>
          <w:tab w:val="num" w:pos="0"/>
        </w:tabs>
        <w:ind w:left="1431" w:hanging="360"/>
      </w:pPr>
      <w:rPr>
        <w:rFonts w:ascii="Courier New" w:hAnsi="Courier New" w:cs="Courier New" w:hint="default"/>
      </w:rPr>
    </w:lvl>
    <w:lvl w:ilvl="2">
      <w:start w:val="1"/>
      <w:numFmt w:val="bullet"/>
      <w:lvlText w:val=""/>
      <w:lvlJc w:val="left"/>
      <w:pPr>
        <w:tabs>
          <w:tab w:val="num" w:pos="0"/>
        </w:tabs>
        <w:ind w:left="2151" w:hanging="360"/>
      </w:pPr>
      <w:rPr>
        <w:rFonts w:ascii="Wingdings" w:hAnsi="Wingdings" w:cs="Wingdings" w:hint="default"/>
      </w:rPr>
    </w:lvl>
    <w:lvl w:ilvl="3">
      <w:start w:val="1"/>
      <w:numFmt w:val="bullet"/>
      <w:lvlText w:val=""/>
      <w:lvlJc w:val="left"/>
      <w:pPr>
        <w:tabs>
          <w:tab w:val="num" w:pos="0"/>
        </w:tabs>
        <w:ind w:left="2871" w:hanging="360"/>
      </w:pPr>
      <w:rPr>
        <w:rFonts w:ascii="Symbol" w:hAnsi="Symbol" w:cs="Symbol" w:hint="default"/>
      </w:rPr>
    </w:lvl>
    <w:lvl w:ilvl="4">
      <w:start w:val="1"/>
      <w:numFmt w:val="bullet"/>
      <w:lvlText w:val="o"/>
      <w:lvlJc w:val="left"/>
      <w:pPr>
        <w:tabs>
          <w:tab w:val="num" w:pos="0"/>
        </w:tabs>
        <w:ind w:left="3591" w:hanging="360"/>
      </w:pPr>
      <w:rPr>
        <w:rFonts w:ascii="Courier New" w:hAnsi="Courier New" w:cs="Courier New" w:hint="default"/>
      </w:rPr>
    </w:lvl>
    <w:lvl w:ilvl="5">
      <w:start w:val="1"/>
      <w:numFmt w:val="bullet"/>
      <w:lvlText w:val=""/>
      <w:lvlJc w:val="left"/>
      <w:pPr>
        <w:tabs>
          <w:tab w:val="num" w:pos="0"/>
        </w:tabs>
        <w:ind w:left="4311" w:hanging="360"/>
      </w:pPr>
      <w:rPr>
        <w:rFonts w:ascii="Wingdings" w:hAnsi="Wingdings" w:cs="Wingdings" w:hint="default"/>
      </w:rPr>
    </w:lvl>
    <w:lvl w:ilvl="6">
      <w:start w:val="1"/>
      <w:numFmt w:val="bullet"/>
      <w:lvlText w:val=""/>
      <w:lvlJc w:val="left"/>
      <w:pPr>
        <w:tabs>
          <w:tab w:val="num" w:pos="0"/>
        </w:tabs>
        <w:ind w:left="5031" w:hanging="360"/>
      </w:pPr>
      <w:rPr>
        <w:rFonts w:ascii="Symbol" w:hAnsi="Symbol" w:cs="Symbol" w:hint="default"/>
      </w:rPr>
    </w:lvl>
    <w:lvl w:ilvl="7">
      <w:start w:val="1"/>
      <w:numFmt w:val="bullet"/>
      <w:lvlText w:val="o"/>
      <w:lvlJc w:val="left"/>
      <w:pPr>
        <w:tabs>
          <w:tab w:val="num" w:pos="0"/>
        </w:tabs>
        <w:ind w:left="5751" w:hanging="360"/>
      </w:pPr>
      <w:rPr>
        <w:rFonts w:ascii="Courier New" w:hAnsi="Courier New" w:cs="Courier New" w:hint="default"/>
      </w:rPr>
    </w:lvl>
    <w:lvl w:ilvl="8">
      <w:start w:val="1"/>
      <w:numFmt w:val="bullet"/>
      <w:lvlText w:val=""/>
      <w:lvlJc w:val="left"/>
      <w:pPr>
        <w:tabs>
          <w:tab w:val="num" w:pos="0"/>
        </w:tabs>
        <w:ind w:left="6471" w:hanging="360"/>
      </w:pPr>
      <w:rPr>
        <w:rFonts w:ascii="Wingdings" w:hAnsi="Wingdings" w:cs="Wingdings" w:hint="default"/>
      </w:rPr>
    </w:lvl>
  </w:abstractNum>
  <w:abstractNum w:abstractNumId="7">
    <w:lvl w:ilvl="0">
      <w:start w:val="1"/>
      <w:numFmt w:val="bullet"/>
      <w:lvlText w:val=""/>
      <w:lvlJc w:val="left"/>
      <w:pPr>
        <w:tabs>
          <w:tab w:val="num" w:pos="0"/>
        </w:tabs>
        <w:ind w:left="711" w:hanging="360"/>
      </w:pPr>
      <w:rPr>
        <w:rFonts w:ascii="Symbol" w:hAnsi="Symbol" w:cs="Symbol" w:hint="default"/>
      </w:rPr>
    </w:lvl>
    <w:lvl w:ilvl="1">
      <w:start w:val="1"/>
      <w:numFmt w:val="bullet"/>
      <w:lvlText w:val="o"/>
      <w:lvlJc w:val="left"/>
      <w:pPr>
        <w:tabs>
          <w:tab w:val="num" w:pos="0"/>
        </w:tabs>
        <w:ind w:left="1431" w:hanging="360"/>
      </w:pPr>
      <w:rPr>
        <w:rFonts w:ascii="Courier New" w:hAnsi="Courier New" w:cs="Courier New" w:hint="default"/>
      </w:rPr>
    </w:lvl>
    <w:lvl w:ilvl="2">
      <w:start w:val="1"/>
      <w:numFmt w:val="bullet"/>
      <w:lvlText w:val=""/>
      <w:lvlJc w:val="left"/>
      <w:pPr>
        <w:tabs>
          <w:tab w:val="num" w:pos="0"/>
        </w:tabs>
        <w:ind w:left="2151" w:hanging="360"/>
      </w:pPr>
      <w:rPr>
        <w:rFonts w:ascii="Wingdings" w:hAnsi="Wingdings" w:cs="Wingdings" w:hint="default"/>
      </w:rPr>
    </w:lvl>
    <w:lvl w:ilvl="3">
      <w:start w:val="1"/>
      <w:numFmt w:val="bullet"/>
      <w:lvlText w:val=""/>
      <w:lvlJc w:val="left"/>
      <w:pPr>
        <w:tabs>
          <w:tab w:val="num" w:pos="0"/>
        </w:tabs>
        <w:ind w:left="2871" w:hanging="360"/>
      </w:pPr>
      <w:rPr>
        <w:rFonts w:ascii="Symbol" w:hAnsi="Symbol" w:cs="Symbol" w:hint="default"/>
      </w:rPr>
    </w:lvl>
    <w:lvl w:ilvl="4">
      <w:start w:val="1"/>
      <w:numFmt w:val="bullet"/>
      <w:lvlText w:val="o"/>
      <w:lvlJc w:val="left"/>
      <w:pPr>
        <w:tabs>
          <w:tab w:val="num" w:pos="0"/>
        </w:tabs>
        <w:ind w:left="3591" w:hanging="360"/>
      </w:pPr>
      <w:rPr>
        <w:rFonts w:ascii="Courier New" w:hAnsi="Courier New" w:cs="Courier New" w:hint="default"/>
      </w:rPr>
    </w:lvl>
    <w:lvl w:ilvl="5">
      <w:start w:val="1"/>
      <w:numFmt w:val="bullet"/>
      <w:lvlText w:val=""/>
      <w:lvlJc w:val="left"/>
      <w:pPr>
        <w:tabs>
          <w:tab w:val="num" w:pos="0"/>
        </w:tabs>
        <w:ind w:left="4311" w:hanging="360"/>
      </w:pPr>
      <w:rPr>
        <w:rFonts w:ascii="Wingdings" w:hAnsi="Wingdings" w:cs="Wingdings" w:hint="default"/>
      </w:rPr>
    </w:lvl>
    <w:lvl w:ilvl="6">
      <w:start w:val="1"/>
      <w:numFmt w:val="bullet"/>
      <w:lvlText w:val=""/>
      <w:lvlJc w:val="left"/>
      <w:pPr>
        <w:tabs>
          <w:tab w:val="num" w:pos="0"/>
        </w:tabs>
        <w:ind w:left="5031" w:hanging="360"/>
      </w:pPr>
      <w:rPr>
        <w:rFonts w:ascii="Symbol" w:hAnsi="Symbol" w:cs="Symbol" w:hint="default"/>
      </w:rPr>
    </w:lvl>
    <w:lvl w:ilvl="7">
      <w:start w:val="1"/>
      <w:numFmt w:val="bullet"/>
      <w:lvlText w:val="o"/>
      <w:lvlJc w:val="left"/>
      <w:pPr>
        <w:tabs>
          <w:tab w:val="num" w:pos="0"/>
        </w:tabs>
        <w:ind w:left="5751" w:hanging="360"/>
      </w:pPr>
      <w:rPr>
        <w:rFonts w:ascii="Courier New" w:hAnsi="Courier New" w:cs="Courier New" w:hint="default"/>
      </w:rPr>
    </w:lvl>
    <w:lvl w:ilvl="8">
      <w:start w:val="1"/>
      <w:numFmt w:val="bullet"/>
      <w:lvlText w:val=""/>
      <w:lvlJc w:val="left"/>
      <w:pPr>
        <w:tabs>
          <w:tab w:val="num" w:pos="0"/>
        </w:tabs>
        <w:ind w:left="6471" w:hanging="360"/>
      </w:pPr>
      <w:rPr>
        <w:rFonts w:ascii="Wingdings" w:hAnsi="Wingdings" w:cs="Wingdings" w:hint="default"/>
      </w:rPr>
    </w:lvl>
  </w:abstractNum>
  <w:abstractNum w:abstractNumId="8">
    <w:lvl w:ilvl="0">
      <w:start w:val="1"/>
      <w:numFmt w:val="lowerRoman"/>
      <w:lvlText w:val="%1."/>
      <w:lvlJc w:val="left"/>
      <w:pPr>
        <w:tabs>
          <w:tab w:val="num" w:pos="0"/>
        </w:tabs>
        <w:ind w:left="711" w:hanging="720"/>
      </w:pPr>
      <w:rPr/>
    </w:lvl>
    <w:lvl w:ilvl="1">
      <w:start w:val="1"/>
      <w:numFmt w:val="lowerLetter"/>
      <w:lvlText w:val="%2."/>
      <w:lvlJc w:val="left"/>
      <w:pPr>
        <w:tabs>
          <w:tab w:val="num" w:pos="0"/>
        </w:tabs>
        <w:ind w:left="1071" w:hanging="360"/>
      </w:pPr>
      <w:rPr/>
    </w:lvl>
    <w:lvl w:ilvl="2">
      <w:start w:val="1"/>
      <w:numFmt w:val="lowerRoman"/>
      <w:lvlText w:val="%3."/>
      <w:lvlJc w:val="right"/>
      <w:pPr>
        <w:tabs>
          <w:tab w:val="num" w:pos="0"/>
        </w:tabs>
        <w:ind w:left="1791" w:hanging="180"/>
      </w:pPr>
      <w:rPr/>
    </w:lvl>
    <w:lvl w:ilvl="3">
      <w:start w:val="1"/>
      <w:numFmt w:val="decimal"/>
      <w:lvlText w:val="%4."/>
      <w:lvlJc w:val="left"/>
      <w:pPr>
        <w:tabs>
          <w:tab w:val="num" w:pos="0"/>
        </w:tabs>
        <w:ind w:left="2511" w:hanging="360"/>
      </w:pPr>
      <w:rPr/>
    </w:lvl>
    <w:lvl w:ilvl="4">
      <w:start w:val="1"/>
      <w:numFmt w:val="lowerLetter"/>
      <w:lvlText w:val="%5."/>
      <w:lvlJc w:val="left"/>
      <w:pPr>
        <w:tabs>
          <w:tab w:val="num" w:pos="0"/>
        </w:tabs>
        <w:ind w:left="3231" w:hanging="360"/>
      </w:pPr>
      <w:rPr/>
    </w:lvl>
    <w:lvl w:ilvl="5">
      <w:start w:val="1"/>
      <w:numFmt w:val="lowerRoman"/>
      <w:lvlText w:val="%6."/>
      <w:lvlJc w:val="right"/>
      <w:pPr>
        <w:tabs>
          <w:tab w:val="num" w:pos="0"/>
        </w:tabs>
        <w:ind w:left="3951" w:hanging="180"/>
      </w:pPr>
      <w:rPr/>
    </w:lvl>
    <w:lvl w:ilvl="6">
      <w:start w:val="1"/>
      <w:numFmt w:val="decimal"/>
      <w:lvlText w:val="%7."/>
      <w:lvlJc w:val="left"/>
      <w:pPr>
        <w:tabs>
          <w:tab w:val="num" w:pos="0"/>
        </w:tabs>
        <w:ind w:left="4671" w:hanging="360"/>
      </w:pPr>
      <w:rPr/>
    </w:lvl>
    <w:lvl w:ilvl="7">
      <w:start w:val="1"/>
      <w:numFmt w:val="lowerLetter"/>
      <w:lvlText w:val="%8."/>
      <w:lvlJc w:val="left"/>
      <w:pPr>
        <w:tabs>
          <w:tab w:val="num" w:pos="0"/>
        </w:tabs>
        <w:ind w:left="5391" w:hanging="360"/>
      </w:pPr>
      <w:rPr/>
    </w:lvl>
    <w:lvl w:ilvl="8">
      <w:start w:val="1"/>
      <w:numFmt w:val="lowerRoman"/>
      <w:lvlText w:val="%9."/>
      <w:lvlJc w:val="right"/>
      <w:pPr>
        <w:tabs>
          <w:tab w:val="num" w:pos="0"/>
        </w:tabs>
        <w:ind w:left="6111"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before="240" w:after="0"/>
      <w:ind w:firstLine="720"/>
      <w:jc w:val="left"/>
    </w:pPr>
    <w:rPr>
      <w:rFonts w:ascii="Times New Roman" w:hAnsi="Times New Roman" w:eastAsia="Times New Roman" w:cs="Times New Roman"/>
      <w:color w:val="000000"/>
      <w:kern w:val="0"/>
      <w:sz w:val="24"/>
      <w:szCs w:val="24"/>
      <w:lang w:val="en-US" w:eastAsia="en-US" w:bidi="ar-SA"/>
    </w:rPr>
  </w:style>
  <w:style w:type="paragraph" w:styleId="Heading1">
    <w:name w:val="Heading 1"/>
    <w:basedOn w:val="Normal"/>
    <w:next w:val="Normal"/>
    <w:qFormat/>
    <w:pPr>
      <w:keepNext w:val="true"/>
      <w:keepLines/>
      <w:spacing w:before="480" w:after="120"/>
      <w:ind w:left="1800" w:hanging="1800"/>
      <w:outlineLvl w:val="0"/>
    </w:pPr>
    <w:rPr>
      <w:b/>
      <w:sz w:val="48"/>
      <w:szCs w:val="48"/>
    </w:rPr>
  </w:style>
  <w:style w:type="paragraph" w:styleId="Heading2">
    <w:name w:val="Heading 2"/>
    <w:basedOn w:val="Normal"/>
    <w:next w:val="Normal"/>
    <w:qFormat/>
    <w:pPr>
      <w:keepNext w:val="true"/>
      <w:keepLines/>
      <w:tabs>
        <w:tab w:val="clear" w:pos="720"/>
        <w:tab w:val="left" w:pos="1800" w:leader="none"/>
      </w:tabs>
      <w:spacing w:before="360" w:after="80"/>
      <w:ind w:left="1800" w:hanging="1080"/>
      <w:outlineLvl w:val="1"/>
    </w:pPr>
    <w:rPr>
      <w:b/>
      <w:sz w:val="36"/>
      <w:szCs w:val="36"/>
    </w:rPr>
  </w:style>
  <w:style w:type="paragraph" w:styleId="Heading3">
    <w:name w:val="Heading 3"/>
    <w:basedOn w:val="Normal"/>
    <w:next w:val="Normal"/>
    <w:qFormat/>
    <w:pPr>
      <w:keepNext w:val="true"/>
      <w:keepLines/>
      <w:tabs>
        <w:tab w:val="clear" w:pos="720"/>
        <w:tab w:val="left" w:pos="3150" w:leader="none"/>
      </w:tabs>
      <w:spacing w:before="280" w:after="80"/>
      <w:ind w:left="3150" w:hanging="1350"/>
      <w:outlineLvl w:val="2"/>
    </w:pPr>
    <w:rPr>
      <w:b/>
      <w:sz w:val="28"/>
      <w:szCs w:val="28"/>
    </w:rPr>
  </w:style>
  <w:style w:type="paragraph" w:styleId="Heading4">
    <w:name w:val="Heading 4"/>
    <w:basedOn w:val="Normal"/>
    <w:next w:val="Normal"/>
    <w:qFormat/>
    <w:pPr>
      <w:keepNext w:val="true"/>
      <w:keepLines/>
      <w:tabs>
        <w:tab w:val="clear" w:pos="720"/>
        <w:tab w:val="left" w:pos="5040" w:leader="none"/>
      </w:tabs>
      <w:spacing w:before="240" w:after="40"/>
      <w:ind w:left="5040" w:hanging="1890"/>
      <w:outlineLvl w:val="3"/>
    </w:pPr>
    <w:rPr>
      <w:b/>
    </w:rPr>
  </w:style>
  <w:style w:type="paragraph" w:styleId="Heading5">
    <w:name w:val="Heading 5"/>
    <w:basedOn w:val="Normal"/>
    <w:next w:val="Normal"/>
    <w:qFormat/>
    <w:pPr>
      <w:keepNext w:val="true"/>
      <w:keepLines/>
      <w:tabs>
        <w:tab w:val="clear" w:pos="720"/>
        <w:tab w:val="left" w:pos="5940" w:leader="none"/>
      </w:tabs>
      <w:spacing w:before="220" w:after="40"/>
      <w:ind w:left="5940" w:hanging="900"/>
      <w:outlineLvl w:val="4"/>
    </w:pPr>
    <w:rPr>
      <w:b/>
      <w:sz w:val="22"/>
      <w:szCs w:val="22"/>
    </w:rPr>
  </w:style>
  <w:style w:type="paragraph" w:styleId="Heading6">
    <w:name w:val="Heading 6"/>
    <w:basedOn w:val="Normal"/>
    <w:next w:val="Normal"/>
    <w:qFormat/>
    <w:pPr>
      <w:keepNext w:val="true"/>
      <w:keepLines/>
      <w:tabs>
        <w:tab w:val="clear" w:pos="720"/>
        <w:tab w:val="left" w:pos="4752" w:leader="none"/>
        <w:tab w:val="left" w:pos="4896" w:leader="none"/>
      </w:tabs>
      <w:spacing w:before="200" w:after="40"/>
      <w:ind w:left="4608" w:hanging="180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92eab"/>
    <w:rPr/>
  </w:style>
  <w:style w:type="character" w:styleId="FooterChar" w:customStyle="1">
    <w:name w:val="Footer Char"/>
    <w:basedOn w:val="DefaultParagraphFont"/>
    <w:link w:val="Footer"/>
    <w:uiPriority w:val="99"/>
    <w:qFormat/>
    <w:rsid w:val="00692eab"/>
    <w:rPr/>
  </w:style>
  <w:style w:type="character" w:styleId="InternetLink">
    <w:name w:val="Hyperlink"/>
    <w:basedOn w:val="DefaultParagraphFont"/>
    <w:uiPriority w:val="99"/>
    <w:unhideWhenUsed/>
    <w:rsid w:val="00034a69"/>
    <w:rPr>
      <w:color w:val="0563C1" w:themeColor="hyperlink"/>
      <w:u w:val="single"/>
    </w:rPr>
  </w:style>
  <w:style w:type="character" w:styleId="ListParagraphChar" w:customStyle="1">
    <w:name w:val="List Paragraph Char"/>
    <w:link w:val="ListParagraph"/>
    <w:uiPriority w:val="34"/>
    <w:qFormat/>
    <w:locked/>
    <w:rsid w:val="00034a69"/>
    <w:rPr>
      <w:rFonts w:ascii="Arial" w:hAnsi="Arial"/>
      <w:color w:val="auto"/>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qFormat/>
    <w:pPr>
      <w:keepNext w:val="true"/>
      <w:keepLines/>
      <w:spacing w:before="480" w:after="120"/>
      <w:ind w:left="720" w:right="720" w:hanging="0"/>
      <w:jc w:val="center"/>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692e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692eab"/>
    <w:pPr>
      <w:tabs>
        <w:tab w:val="clear" w:pos="720"/>
        <w:tab w:val="center" w:pos="4680" w:leader="none"/>
        <w:tab w:val="right" w:pos="9360" w:leader="none"/>
      </w:tabs>
      <w:spacing w:before="0" w:after="0"/>
    </w:pPr>
    <w:rPr/>
  </w:style>
  <w:style w:type="paragraph" w:styleId="ListParagraph">
    <w:name w:val="List Paragraph"/>
    <w:basedOn w:val="Normal"/>
    <w:link w:val="ListParagraphChar"/>
    <w:uiPriority w:val="34"/>
    <w:qFormat/>
    <w:rsid w:val="00034a69"/>
    <w:pPr>
      <w:pBdr/>
      <w:spacing w:before="0" w:after="0"/>
      <w:ind w:left="720" w:hanging="0"/>
      <w:contextualSpacing/>
    </w:pPr>
    <w:rPr>
      <w:rFonts w:ascii="Arial" w:hAnsi="Arial"/>
      <w:color w:val="auto"/>
      <w:szCs w:val="20"/>
    </w:rPr>
  </w:style>
  <w:style w:type="paragraph" w:styleId="Default" w:customStyle="1">
    <w:name w:val="Default"/>
    <w:basedOn w:val="Normal"/>
    <w:qFormat/>
    <w:rsid w:val="00034a69"/>
    <w:pPr>
      <w:pBdr/>
      <w:spacing w:before="0" w:after="0"/>
      <w:ind w:hanging="0"/>
    </w:pPr>
    <w:rPr>
      <w:rFonts w:ascii="Arial" w:hAnsi="Arial" w:eastAsia="Calibri" w:cs="Arial" w:eastAsiaTheme="minorHAnsi"/>
    </w:rPr>
  </w:style>
  <w:style w:type="paragraph" w:styleId="NoSpacing">
    <w:name w:val="No Spacing"/>
    <w:uiPriority w:val="1"/>
    <w:qFormat/>
    <w:rsid w:val="00034a69"/>
    <w:pPr>
      <w:widowControl/>
      <w:pBdr/>
      <w:bidi w:val="0"/>
      <w:spacing w:before="0" w:after="0"/>
      <w:ind w:firstLine="720"/>
      <w:jc w:val="left"/>
    </w:pPr>
    <w:rPr>
      <w:rFonts w:ascii="Times New Roman" w:hAnsi="Times New Roman" w:eastAsia="Times New Roman" w:cs="Times New Roman"/>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un.org/sc/committees/1267/aq_sanctions_list.shtml" TargetMode="External"/><Relationship Id="rId3" Type="http://schemas.openxmlformats.org/officeDocument/2006/relationships/hyperlink" Target="http://www.treasury.gov/resource-center/sanctions/SDNList/Pages/default.aspx" TargetMode="External"/><Relationship Id="rId4" Type="http://schemas.openxmlformats.org/officeDocument/2006/relationships/hyperlink" Target="http://www.un.org/sc/committees/1267/aq_sanctions_list.shtml" TargetMode="External"/><Relationship Id="rId5" Type="http://schemas.openxmlformats.org/officeDocument/2006/relationships/hyperlink" Target="mailto:ig.hotline@usaid.gov" TargetMode="External"/><Relationship Id="rId6" Type="http://schemas.openxmlformats.org/officeDocument/2006/relationships/hyperlink" Target="https://oig.usaid.gov/content/usaid-contractor-reporting-form" TargetMode="External"/><Relationship Id="rId7" Type="http://schemas.openxmlformats.org/officeDocument/2006/relationships/hyperlink" Target="http://mercycorps.org/integrityhotline" TargetMode="External"/><Relationship Id="rId8" Type="http://schemas.openxmlformats.org/officeDocument/2006/relationships/hyperlink" Target="http://www.sanctionsmap.eu/" TargetMode="External"/><Relationship Id="rId9" Type="http://schemas.openxmlformats.org/officeDocument/2006/relationships/hyperlink" Target="http://mercycorps.org/integrityhotline"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LibreOffice/7.5.0.3$Windows_X86_64 LibreOffice_project/c21113d003cd3efa8c53188764377a8272d9d6de</Application>
  <AppVersion>15.0000</AppVersion>
  <Pages>15</Pages>
  <Words>5318</Words>
  <Characters>29437</Characters>
  <CharactersWithSpaces>34676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2020-09-23T19:51:00Z</dcterms:created>
  <dc:creator>Xavier</dc:creator>
  <dc:description/>
  <dc:language>en-US</dc:language>
  <cp:lastModifiedBy/>
  <cp:lastPrinted>2020-09-24T12:23:00Z</cp:lastPrinted>
  <dcterms:modified xsi:type="dcterms:W3CDTF">2024-07-31T18:16:50Z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