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1155cc"/>
          <w:sz w:val="56"/>
          <w:szCs w:val="56"/>
        </w:rPr>
      </w:pPr>
      <w:r w:rsidDel="00000000" w:rsidR="00000000" w:rsidRPr="00000000">
        <w:rPr>
          <w:b w:val="1"/>
          <w:color w:val="1155cc"/>
          <w:sz w:val="56"/>
          <w:szCs w:val="56"/>
          <w:rtl w:val="0"/>
        </w:rPr>
        <w:t xml:space="preserve">Compte rendu du projet Administration réseau</w:t>
      </w:r>
      <w:r w:rsidDel="00000000" w:rsidR="00000000" w:rsidRPr="00000000">
        <w:rPr>
          <w:color w:val="1155cc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1155cc"/>
          <w:sz w:val="56"/>
          <w:szCs w:val="56"/>
        </w:rPr>
      </w:pPr>
      <w:r w:rsidDel="00000000" w:rsidR="00000000" w:rsidRPr="00000000">
        <w:rPr>
          <w:color w:val="1155cc"/>
          <w:sz w:val="56"/>
          <w:szCs w:val="56"/>
          <w:rtl w:val="0"/>
        </w:rPr>
        <w:t xml:space="preserve">serveur : bdd2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color w:val="1155cc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Wiame ABDOUSS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e061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e061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c4587"/>
          <w:sz w:val="34"/>
          <w:szCs w:val="34"/>
        </w:rPr>
      </w:pPr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Mise à jour des packages :</w:t>
      </w:r>
      <w:r w:rsidDel="00000000" w:rsidR="00000000" w:rsidRPr="00000000">
        <w:rPr>
          <w:color w:val="1c4587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15000" cy="82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15000" cy="749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Création de groupes et ajout d'utilisateurs</w:t>
      </w:r>
      <w:r w:rsidDel="00000000" w:rsidR="00000000" w:rsidRPr="00000000">
        <w:rPr>
          <w:color w:val="1c4587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270500" cy="3530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Permission aux nouveaux utilisateurs de se connecter via SSH: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61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778596"/>
          <w:sz w:val="21"/>
          <w:szCs w:val="21"/>
          <w:rtl w:val="0"/>
        </w:rPr>
        <w:t xml:space="preserve">sudo nano /etc/ssh/sshd_config </w:t>
      </w:r>
      <w:r w:rsidDel="00000000" w:rsidR="00000000" w:rsidRPr="00000000">
        <w:rPr>
          <w:color w:val="0e0618"/>
          <w:sz w:val="27"/>
          <w:szCs w:val="27"/>
          <w:rtl w:val="0"/>
        </w:rPr>
        <w:t xml:space="preserve">va nous permet d’activer l’option du “PasswordAuthetification” :  yes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3400" cy="320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48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Installation de fail2ban:</w:t>
      </w:r>
    </w:p>
    <w:p w:rsidR="00000000" w:rsidDel="00000000" w:rsidP="00000000" w:rsidRDefault="00000000" w:rsidRPr="00000000" w14:paraId="00000013">
      <w:pPr>
        <w:rPr>
          <w:b w:val="1"/>
          <w:color w:val="0e0618"/>
          <w:sz w:val="36"/>
          <w:szCs w:val="36"/>
          <w:u w:val="singl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La configuration de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fail2ban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est conservée dans le dossier </w:t>
      </w: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/etc/fail2ban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e061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618"/>
          <w:sz w:val="36"/>
          <w:szCs w:val="36"/>
        </w:rPr>
      </w:pPr>
      <w:r w:rsidDel="00000000" w:rsidR="00000000" w:rsidRPr="00000000">
        <w:rPr>
          <w:color w:val="0e0618"/>
          <w:sz w:val="36"/>
          <w:szCs w:val="36"/>
        </w:rPr>
        <w:drawing>
          <wp:inline distB="114300" distT="114300" distL="114300" distR="114300">
            <wp:extent cx="5207000" cy="2120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482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c4587"/>
          <w:sz w:val="27"/>
          <w:szCs w:val="27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Installation et configuration du serveur bdd2:</w:t>
      </w:r>
      <w:r w:rsidDel="00000000" w:rsidR="00000000" w:rsidRPr="00000000">
        <w:rPr>
          <w:color w:val="1c4587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618"/>
          <w:sz w:val="27"/>
          <w:szCs w:val="27"/>
        </w:rPr>
      </w:pPr>
      <w:r w:rsidDel="00000000" w:rsidR="00000000" w:rsidRPr="00000000">
        <w:rPr>
          <w:color w:val="0e0618"/>
          <w:sz w:val="27"/>
          <w:szCs w:val="27"/>
        </w:rPr>
        <w:drawing>
          <wp:inline distB="114300" distT="114300" distL="114300" distR="114300">
            <wp:extent cx="4572000" cy="4102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200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Sécurité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2997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1714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Configuration 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principal fichier de configuration  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/etc/mysql/mariadb.conf.d/50-server.cnf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</w:rPr>
        <w:drawing>
          <wp:inline distB="114300" distT="114300" distL="114300" distR="114300">
            <wp:extent cx="5731200" cy="3594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Tz33w8sj6kgi+mJIKq4ms/Vzw==">AMUW2mUd6ewty0JhU+EEKP1i4VhAPTVa8Mr20LLD2Ua0gOr9X9j7X6kui+A7bIfGHX5NtnWEetrfp/uDj3U0D+UKoC5pIF83v4izHaOBZRWL3g4bXefl5mo=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