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36"/>
          <w:szCs w:val="36"/>
        </w:rPr>
        <w:t xml:space="preserve">Fraud Detection System: Deep Learning Technical Report</w:t>
      </w:r>
    </w:p>
    <w:p>
      <w:pPr>
        <w:pBdr>
          <w:bottom w:val="single" w:color="2E75B6" w:sz="8" w:space="6"/>
        </w:pBdr>
        <w:spacing w:after="160" w:before="0"/>
        <w:jc w:val="center"/>
      </w:pPr>
      <w:r>
        <w:rPr>
          <w:rFonts w:ascii="Arial" w:cs="Arial" w:eastAsia="Arial" w:hAnsi="Arial"/>
          <w:i/>
          <w:iCs/>
          <w:color w:val="2E75B6"/>
          <w:sz w:val="24"/>
          <w:szCs w:val="24"/>
        </w:rPr>
        <w:t xml:space="preserve">Final Project — Deep Learning Course</w:t>
      </w:r>
    </w:p>
    <w:p>
      <w:pPr>
        <w:spacing w:after="60" w:before="0"/>
      </w:pPr>
      <w:r>
        <w:rPr>
          <w:rFonts w:ascii="Times New Roman" w:cs="Times New Roman" w:eastAsia="Times New Roman" w:hAnsi="Times New Roman"/>
          <w:b w:val="false"/>
          <w:bCs w:val="false"/>
          <w:i w:val="false"/>
          <w:iCs w:val="false"/>
          <w:caps w:val="false"/>
          <w:color w:val="000000"/>
          <w:sz w:val="22"/>
          <w:szCs w:val="2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rPr>
          <w:tblHeader/>
        </w:trPr>
        <w:tc>
          <w:tcPr>
            <w:tcW w:type="dxa" w:w="27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Author</w:t>
            </w:r>
          </w:p>
        </w:tc>
        <w:tc>
          <w:tcPr>
            <w:tcW w:type="dxa" w:w="27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Student ID</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Ziad Reda Mohamed</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120220348</w:t>
            </w:r>
          </w:p>
        </w:tc>
      </w:tr>
      <w:tr>
        <w:tc>
          <w:tcPr>
            <w:tcW w:type="dxa" w:w="2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Youssef Yasser Serry</w:t>
            </w:r>
          </w:p>
        </w:tc>
        <w:tc>
          <w:tcPr>
            <w:tcW w:type="dxa" w:w="2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120220129</w:t>
            </w:r>
          </w:p>
        </w:tc>
      </w:tr>
    </w:tbl>
    <w:p>
      <w:pPr>
        <w:spacing w:after="60" w:before="0"/>
      </w:pPr>
      <w:r>
        <w:rPr>
          <w:rFonts w:ascii="Times New Roman" w:cs="Times New Roman" w:eastAsia="Times New Roman" w:hAnsi="Times New Roman"/>
          <w:b w:val="false"/>
          <w:bCs w:val="false"/>
          <w:i w:val="false"/>
          <w:iCs w:val="false"/>
          <w:caps w:val="false"/>
          <w:color w:val="000000"/>
          <w:sz w:val="22"/>
          <w:szCs w:val="22"/>
        </w:rPr>
        <w:t xml:space="preserve"/>
      </w:r>
    </w:p>
    <w:p>
      <w:pPr>
        <w:spacing w:after="60" w:before="0"/>
        <w:jc w:val="center"/>
      </w:pPr>
      <w:r>
        <w:rPr>
          <w:rFonts w:ascii="Arial" w:cs="Arial" w:eastAsia="Arial" w:hAnsi="Arial"/>
          <w:color w:val="404040"/>
          <w:sz w:val="22"/>
          <w:szCs w:val="22"/>
        </w:rPr>
        <w:t xml:space="preserve">Academic Year 2024–2025</w:t>
      </w:r>
    </w:p>
    <w:p>
      <w:r>
        <w:br w:type="page"/>
      </w:r>
    </w:p>
    <w:p>
      <w:pPr>
        <w:pStyle w:val="Heading1"/>
        <w:spacing w:after="120" w:before="300"/>
      </w:pPr>
      <w:r>
        <w:rPr>
          <w:rFonts w:ascii="Arial" w:cs="Arial" w:eastAsia="Arial" w:hAnsi="Arial"/>
          <w:b/>
          <w:bCs/>
          <w:color w:val="1F4E79"/>
          <w:sz w:val="28"/>
          <w:szCs w:val="28"/>
        </w:rPr>
        <w:t xml:space="preserve">Abstract</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Financial fraud in digital payment systems represents a critical and escalating challenge for modern banking institutions. This report presents the comprehensive design, implementation, and rigorous evaluation of a deep learning-based fraud detection system trained on the publicly available Kaggle Credit Card Fraud Detection dataset, comprising 284,807 transactions of which only 492 (0.17%) are fraudulent. This severe class imbalance — approximately 578 legitimate transactions per fraudulent case — necessitates the application of sophisticated mitigation techniques, including SMOTE oversampling, weighted loss functions, and weighted random sampling.</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Three classical machine learning baselines — Logistic Regression, Decision Tree, and Random Forest — are implemented and systematically compared against a five-layer fully connected Deep Neural Network (DNN) incorporating Batch Normalization, GELU activations, and Dropout regularization. The DNN is trained using the AdamW optimizer with a cosine annealing learning rate scheduler, early stopping, and automatic decision threshold optimization via precision-recall analysis. Two training configurations are evaluated: a CPU baseline and an optimized GPU configuration with refined hyperparameters. The GPU-optimized model achieves a fraud Precision of 0.90, Recall of 0.72, F1-score of 0.80, and ROC-AUC of 0.97, substantially outperforming all classical baselines and validating the effectiveness of deep learning for severely imbalanced binary classification in the financial domain.</w:t>
      </w:r>
    </w:p>
    <w:p>
      <w:r>
        <w:br w:type="page"/>
      </w:r>
    </w:p>
    <w:p>
      <w:pPr>
        <w:pStyle w:val="Heading1"/>
        <w:spacing w:after="120" w:before="300"/>
      </w:pPr>
      <w:r>
        <w:rPr>
          <w:rFonts w:ascii="Arial" w:cs="Arial" w:eastAsia="Arial" w:hAnsi="Arial"/>
          <w:b/>
          <w:bCs/>
          <w:color w:val="1F4E79"/>
          <w:sz w:val="28"/>
          <w:szCs w:val="28"/>
        </w:rPr>
        <w:t xml:space="preserve">1. Problem Definition</w:t>
      </w:r>
    </w:p>
    <w:p>
      <w:pPr>
        <w:pStyle w:val="Heading2"/>
        <w:spacing w:after="80" w:before="200"/>
      </w:pPr>
      <w:r>
        <w:rPr>
          <w:rFonts w:ascii="Arial" w:cs="Arial" w:eastAsia="Arial" w:hAnsi="Arial"/>
          <w:b/>
          <w:bCs/>
          <w:color w:val="2E75B6"/>
          <w:sz w:val="24"/>
          <w:szCs w:val="24"/>
        </w:rPr>
        <w:t xml:space="preserve">1.1 Background</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Credit card fraud causes billions of dollars in global financial losses annually. As digital transactions proliferate — with over 284,000 transactions processed within this dataset alone across a single 48-hour window — manual detection is entirely infeasible at scale. Automated machine learning systems must identify rare fraudulent events in near real time, balancing the competing operational demands of minimizing false positives, which inconvenience legitimate customers, and minimizing false negatives, which permit direct financial loss.</w:t>
      </w:r>
    </w:p>
    <w:p>
      <w:pPr>
        <w:pStyle w:val="Heading2"/>
        <w:spacing w:after="80" w:before="200"/>
      </w:pPr>
      <w:r>
        <w:rPr>
          <w:rFonts w:ascii="Arial" w:cs="Arial" w:eastAsia="Arial" w:hAnsi="Arial"/>
          <w:b/>
          <w:bCs/>
          <w:color w:val="2E75B6"/>
          <w:sz w:val="24"/>
          <w:szCs w:val="24"/>
        </w:rPr>
        <w:t xml:space="preserve">1.2 Problem Formulation</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This project frames fraud detection as a supervised binary classification problem. The input consists of a transaction vector of 30 continuous numerical features: Time (seconds elapsed from the first transaction), V1–V28 (PCA-transformed and anonymized components of the original transaction attributes), and Amount (transaction value in Euros). The output is a probability score in [0, 1] corresponding to a binary classification label: Legitimate (Class = 0) or Fraudulent (Class = 1). The central challenge is the extreme class imbalance, with fraudulent transactions constituting only 0.17% of the dataset.</w:t>
      </w:r>
    </w:p>
    <w:p>
      <w:pPr>
        <w:pStyle w:val="Heading2"/>
        <w:spacing w:after="80" w:before="200"/>
      </w:pPr>
      <w:r>
        <w:rPr>
          <w:rFonts w:ascii="Arial" w:cs="Arial" w:eastAsia="Arial" w:hAnsi="Arial"/>
          <w:b/>
          <w:bCs/>
          <w:color w:val="2E75B6"/>
          <w:sz w:val="24"/>
          <w:szCs w:val="24"/>
        </w:rPr>
        <w:t xml:space="preserve">1.3 The Failure of Standard Accuracy</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A degenerate classifier predicting every transaction as legitimate achieves 99.83% accuracy while detecting zero fraud cases. This fundamental measurement failure motivates the adoption of evaluation metrics that are robust to class imbalance: Precision, Recall, F1-score, ROC-AUC, and Average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Challenge</w:t>
            </w:r>
          </w:p>
        </w:tc>
        <w:tc>
          <w:tcPr>
            <w:tcW w:type="dxa" w:w="65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Class Imbalance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284,315 legitimate transactions vs. 492 fraudulent (ratio ≈ 578:1)</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Misleading Accuracy</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 trivial all-negative classifier achieves 99.83% accuracy while detecting no fraud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Primary Optimization Targets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Recall (fraud detection rate) and F1-score, not accuracy</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Asymmetric Business Cost</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False Negatives (missed fraud) carry substantially higher cost than False Positives</w:t>
            </w:r>
          </w:p>
        </w:tc>
      </w:tr>
    </w:tbl>
    <w:p>
      <w:pPr>
        <w:spacing w:after="160" w:before="60"/>
        <w:jc w:val="center"/>
      </w:pPr>
      <w:r>
        <w:rPr>
          <w:rFonts w:ascii="Times New Roman" w:cs="Times New Roman" w:eastAsia="Times New Roman" w:hAnsi="Times New Roman"/>
          <w:i/>
          <w:iCs/>
          <w:color w:val="555555"/>
          <w:sz w:val="20"/>
          <w:szCs w:val="20"/>
        </w:rPr>
        <w:t xml:space="preserve">Table 1: Core challenges of the fraud detection problem</w:t>
      </w:r>
    </w:p>
    <w:p>
      <w:r>
        <w:br w:type="page"/>
      </w:r>
    </w:p>
    <w:p>
      <w:pPr>
        <w:pStyle w:val="Heading1"/>
        <w:spacing w:after="120" w:before="300"/>
      </w:pPr>
      <w:r>
        <w:rPr>
          <w:rFonts w:ascii="Arial" w:cs="Arial" w:eastAsia="Arial" w:hAnsi="Arial"/>
          <w:b/>
          <w:bCs/>
          <w:color w:val="1F4E79"/>
          <w:sz w:val="28"/>
          <w:szCs w:val="28"/>
        </w:rPr>
        <w:t xml:space="preserve">2. Literature Review</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Fraud detection under severe class imbalance has been extensively studied in the machine learning and data mining literature. Three seminal works directly inform the methodological choices of this project.</w:t>
      </w:r>
    </w:p>
    <w:p>
      <w:pPr>
        <w:pStyle w:val="Heading2"/>
        <w:spacing w:after="80" w:before="200"/>
      </w:pPr>
      <w:r>
        <w:rPr>
          <w:rFonts w:ascii="Arial" w:cs="Arial" w:eastAsia="Arial" w:hAnsi="Arial"/>
          <w:b/>
          <w:bCs/>
          <w:color w:val="2E75B6"/>
          <w:sz w:val="24"/>
          <w:szCs w:val="24"/>
        </w:rPr>
        <w:t xml:space="preserve">2.1 Calibrating Probability with Undersampling (Dal Pozzolo et al., 2015)</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Dal Pozzolo, A., Caelen, O., Johnson, R. A., &amp; Bontempi, G. (2015). Calibrating Probability with Undersampling for Unbalanced Classification. IEEE Symposium Series on Computational Intelligence (SSCI).</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This paper rigorously investigates how undersampling the majority class distorts posterior probability estimates, introducing systematic bias that necessitates post-hoc calibration corrections. The findings directly motivate the present project’s decision to employ oversampling (SMOTE) rather than undersampling, and to supplement it with class-weight adjustments embedded within the loss function rather than altering the data distribution destructively.</w:t>
      </w:r>
    </w:p>
    <w:p>
      <w:pPr>
        <w:pStyle w:val="Heading2"/>
        <w:spacing w:after="80" w:before="200"/>
      </w:pPr>
      <w:r>
        <w:rPr>
          <w:rFonts w:ascii="Arial" w:cs="Arial" w:eastAsia="Arial" w:hAnsi="Arial"/>
          <w:b/>
          <w:bCs/>
          <w:color w:val="2E75B6"/>
          <w:sz w:val="24"/>
          <w:szCs w:val="24"/>
        </w:rPr>
        <w:t xml:space="preserve">2.2 SMOTE: Synthetic Minority Over-sampling Technique (Chawla et al., 2002)</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Chawla, N. V., Bowyer, K. W., Hall, L. O., &amp; Kegelmeyer, W. P. (2002). SMOTE: Synthetic Minority Over-sampling Technique. Journal of Artificial Intelligence Research, 16, 321–357.</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SMOTE constitutes the foundational oversampling algorithm employed in this project. Rather than replicating existing minority-class instances, SMOTE generates synthetic examples by interpolating between k nearest neighbours in feature space, thereby producing a more diverse and representative training distribution for the fraud class. The present implementation uses the standard k = 5 neighbour configuration, applied exclusively to the training split to strictly prevent data leakage into validation and test sets. A sampling strategy of 0.35 is employed in the optimized configuration, generating sufficient synthetic fraud samples to reach 35% of the legitimate transaction count without introducing excessive synthetic noise.</w:t>
      </w:r>
    </w:p>
    <w:p>
      <w:pPr>
        <w:pStyle w:val="Heading2"/>
        <w:spacing w:after="80" w:before="200"/>
      </w:pPr>
      <w:r>
        <w:rPr>
          <w:rFonts w:ascii="Arial" w:cs="Arial" w:eastAsia="Arial" w:hAnsi="Arial"/>
          <w:b/>
          <w:bCs/>
          <w:color w:val="2E75B6"/>
          <w:sz w:val="24"/>
          <w:szCs w:val="24"/>
        </w:rPr>
        <w:t xml:space="preserve">2.3 Deep Learning for Imbalanced Fraud Detection (Fiore et al., 2019)</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Fiore, U., De Santis, A., Perla, F., Zanetti, P., &amp; Palmieri, F. (2019). Using generative adversarial networks for improving classification effectiveness in credit card fraud detection. Information Sciences, 479, 448–455.</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Fiore et al. demonstrate that deep generative models — specifically Generative Adversarial Networks — can capture complex, non-linear fraud patterns substantially more effectively than classical statistical oversampling methods. While computational tractability constraints limit the present implementation to SMOTE rather than GANs, this theoretical foundation validates the core architectural choice of deep, fully connected layers with non-linear activations, which capture the latent fraud signal that classical linear models systematically fail to detect.</w:t>
      </w:r>
    </w:p>
    <w:p>
      <w:r>
        <w:br w:type="page"/>
      </w:r>
    </w:p>
    <w:p>
      <w:pPr>
        <w:pStyle w:val="Heading1"/>
        <w:spacing w:after="120" w:before="300"/>
      </w:pPr>
      <w:r>
        <w:rPr>
          <w:rFonts w:ascii="Arial" w:cs="Arial" w:eastAsia="Arial" w:hAnsi="Arial"/>
          <w:b/>
          <w:bCs/>
          <w:color w:val="1F4E79"/>
          <w:sz w:val="28"/>
          <w:szCs w:val="28"/>
        </w:rPr>
        <w:t xml:space="preserve">3. Dataset Description</w:t>
      </w:r>
    </w:p>
    <w:p>
      <w:pPr>
        <w:pStyle w:val="Heading2"/>
        <w:spacing w:after="80" w:before="200"/>
      </w:pPr>
      <w:r>
        <w:rPr>
          <w:rFonts w:ascii="Arial" w:cs="Arial" w:eastAsia="Arial" w:hAnsi="Arial"/>
          <w:b/>
          <w:bCs/>
          <w:color w:val="2E75B6"/>
          <w:sz w:val="24"/>
          <w:szCs w:val="24"/>
        </w:rPr>
        <w:t xml:space="preserve">3.1 Overview</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Credit Card Fraud Detection dataset was published by the Machine Learning Group at Université Libre de Bruxelles (ULB) and is publicly available via Kaggle. It contains anonymized records of real credit card transactions conducted by European cardholders over a 48-hour period in September 2013. To preserve cardholder confidentiality, the original transaction features were transformed using Principal Component Analysis (PCA), yielding 28 numerical components (V1–V28). The Time and Amount features are retained in their original form, while the binary target variable Class indicates fraud (1) or legitimacy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53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Total transactions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284,807</w:t>
            </w:r>
          </w:p>
        </w:tc>
      </w:tr>
      <w:tr>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Fraudulent transactions</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492 (0.17%)</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Legitimate transactions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284,315 (99.83%)</w:t>
            </w:r>
          </w:p>
        </w:tc>
      </w:tr>
      <w:tr>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Number of features</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30 (Time, V1–V28, Amount)</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Missing values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None</w:t>
            </w:r>
          </w:p>
        </w:tc>
      </w:tr>
      <w:tr>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Feature types</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All numerical (continuous)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Collection period</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48 hours, September 2013</w:t>
            </w:r>
          </w:p>
        </w:tc>
      </w:tr>
      <w:tr>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Source</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ULB Machine Learning Group via Kaggle</w:t>
            </w:r>
          </w:p>
        </w:tc>
      </w:tr>
    </w:tbl>
    <w:p>
      <w:pPr>
        <w:spacing w:after="160" w:before="60"/>
        <w:jc w:val="center"/>
      </w:pPr>
      <w:r>
        <w:rPr>
          <w:rFonts w:ascii="Times New Roman" w:cs="Times New Roman" w:eastAsia="Times New Roman" w:hAnsi="Times New Roman"/>
          <w:i/>
          <w:iCs/>
          <w:color w:val="555555"/>
          <w:sz w:val="20"/>
          <w:szCs w:val="20"/>
        </w:rPr>
        <w:t xml:space="preserve">Table 2: Dataset characteristics</w:t>
      </w:r>
    </w:p>
    <w:p>
      <w:pPr>
        <w:pStyle w:val="Heading2"/>
        <w:spacing w:after="80" w:before="200"/>
      </w:pPr>
      <w:r>
        <w:rPr>
          <w:rFonts w:ascii="Arial" w:cs="Arial" w:eastAsia="Arial" w:hAnsi="Arial"/>
          <w:b/>
          <w:bCs/>
          <w:color w:val="2E75B6"/>
          <w:sz w:val="24"/>
          <w:szCs w:val="24"/>
        </w:rPr>
        <w:t xml:space="preserve">3.2 Feature Engineering and Preprocessing</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A feature engineering step was applied prior to standardization: the raw Time feature (seconds elapsed from the first transaction) was converted to Hour of Day (0–23) via the transformation hour = ⌊Time / 3600⌋ mod 24. This substitution captures circadian fraud patterns — fraudulent activity exhibits time-of-day structure that is obscured by monotonically increasing raw second values. The original Time column was subsequently dropped.</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Standard preprocessing was then applied: a StandardScaler was fitted to the Amount and hour columns (V1–V28 are already zero-centred by PCA). The dataset was partitioned into training (70%), validation (15%), and test (15%) subsets using stratified sampling to preserve the fraud ratio across all splits. SMOTE was applied exclusively to the training subset to prevent data leakage, with a sampling strategy of 0.35 yielding 69,657 synthetic fraud samples against 199,020 legitimate transactions in the training set.</w:t>
      </w:r>
    </w:p>
    <w:p>
      <w:r>
        <w:br w:type="page"/>
      </w:r>
    </w:p>
    <w:p>
      <w:pPr>
        <w:pStyle w:val="Heading1"/>
        <w:spacing w:after="120" w:before="300"/>
      </w:pPr>
      <w:r>
        <w:rPr>
          <w:rFonts w:ascii="Arial" w:cs="Arial" w:eastAsia="Arial" w:hAnsi="Arial"/>
          <w:b/>
          <w:bCs/>
          <w:color w:val="1F4E79"/>
          <w:sz w:val="28"/>
          <w:szCs w:val="28"/>
        </w:rPr>
        <w:t xml:space="preserve">4. Baseline Models</w:t>
      </w:r>
    </w:p>
    <w:p>
      <w:pPr>
        <w:pStyle w:val="Heading2"/>
        <w:spacing w:after="80" w:before="200"/>
      </w:pPr>
      <w:r>
        <w:rPr>
          <w:rFonts w:ascii="Arial" w:cs="Arial" w:eastAsia="Arial" w:hAnsi="Arial"/>
          <w:b/>
          <w:bCs/>
          <w:color w:val="2E75B6"/>
          <w:sz w:val="24"/>
          <w:szCs w:val="24"/>
        </w:rPr>
        <w:t xml:space="preserve">4.1 Implementation</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Three classical machine learning algorithms were implemented as performance baselines prior to the development of the deep learning component. All baseline models incorporated the class_weight=‘balanced’ parameter to partially mitigate class imbalance, and were evaluated on the identical held-out test split.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Logistic Regression: Trained with max_iter = 2,000 on standardized features. Provides a linear decision boundary and represents the simplest interpretable baseline.</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Decision Tree: A CART-based classifier capable of capturing non-linear decision boundaries, but inherently susceptible to overfitting in high-dimensional, imbalanced settings.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Random Forest: An ensemble of 100 decision trees (n_estimators = 100, n_jobs = −1) trained via bagging. Reduces variance relative to individual decision trees and represents the strongest classical baseline.</w:t>
      </w:r>
    </w:p>
    <w:p>
      <w:pPr>
        <w:pStyle w:val="Heading2"/>
        <w:spacing w:after="80" w:before="200"/>
      </w:pPr>
      <w:r>
        <w:rPr>
          <w:rFonts w:ascii="Arial" w:cs="Arial" w:eastAsia="Arial" w:hAnsi="Arial"/>
          <w:b/>
          <w:bCs/>
          <w:color w:val="2E75B6"/>
          <w:sz w:val="24"/>
          <w:szCs w:val="24"/>
        </w:rPr>
        <w:t xml:space="preserve">4.2 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1060"/>
      </w:tblGrid>
      <w:tr>
        <w:trPr>
          <w:tblHeader/>
        </w:trPr>
        <w:tc>
          <w:tcPr>
            <w:tcW w:type="dxa" w:w="25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2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Accuracy</w:t>
            </w:r>
          </w:p>
        </w:tc>
        <w:tc>
          <w:tcPr>
            <w:tcW w:type="dxa" w:w="12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Precision</w:t>
            </w:r>
          </w:p>
        </w:tc>
        <w:tc>
          <w:tcPr>
            <w:tcW w:type="dxa" w:w="12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Recall</w:t>
            </w:r>
          </w:p>
        </w:tc>
        <w:tc>
          <w:tcPr>
            <w:tcW w:type="dxa" w:w="12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F1-Score</w:t>
            </w:r>
          </w:p>
        </w:tc>
        <w:tc>
          <w:tcPr>
            <w:tcW w:type="dxa" w:w="10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ROC-AUC</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Logistic Regression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0.9798</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0.0600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0.9184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0.1200</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0.9750</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Decision Tree</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0.9993</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0.6800</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0.7245</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0.7000</w:t>
            </w:r>
          </w:p>
        </w:tc>
        <w:tc>
          <w:tcPr>
            <w:tcW w:type="dxa" w:w="10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0.8629</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Random Forest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0.9997</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0.9600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0.7449</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0.8400</w:t>
            </w:r>
          </w:p>
        </w:tc>
        <w:tc>
          <w:tcPr>
            <w:tcW w:type="dxa" w:w="1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0.9539</w:t>
            </w:r>
          </w:p>
        </w:tc>
      </w:tr>
    </w:tbl>
    <w:p>
      <w:pPr>
        <w:spacing w:after="160" w:before="60"/>
        <w:jc w:val="center"/>
      </w:pPr>
      <w:r>
        <w:rPr>
          <w:rFonts w:ascii="Times New Roman" w:cs="Times New Roman" w:eastAsia="Times New Roman" w:hAnsi="Times New Roman"/>
          <w:i/>
          <w:iCs/>
          <w:color w:val="555555"/>
          <w:sz w:val="20"/>
          <w:szCs w:val="20"/>
        </w:rPr>
        <w:t xml:space="preserve">Table 3: Baseline model performance on the test set</w:t>
      </w:r>
    </w:p>
    <w:p>
      <w:pPr>
        <w:spacing w:after="60" w:before="0"/>
      </w:pPr>
      <w:r>
        <w:rPr>
          <w:rFonts w:ascii="Times New Roman" w:cs="Times New Roman" w:eastAsia="Times New Roman" w:hAnsi="Times New Roman"/>
          <w:b w:val="false"/>
          <w:bCs w:val="false"/>
          <w:i w:val="false"/>
          <w:iCs w:val="false"/>
          <w:caps w:val="false"/>
          <w:color w:val="000000"/>
          <w:sz w:val="22"/>
          <w:szCs w:val="22"/>
        </w:rPr>
        <w:t xml:space="preserve"/>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None of the baseline classifiers simultaneously achieved high Precision and high Recall. Logistic Regression produced the highest Recall (0.92) but critically low Precision (0.06), generating 1,386 false positive alerts on the test set — an operationally unacceptable volume. The Decision Tree achieved a more balanced error profile but exhibited a substantially lower ROC-AUC (0.86), indicating overfitting. The Random Forest delivered the strongest overall baseline performance: Precision of 0.96, F1-score of 0.84, and ROC-AUC of 0.95, with only 3 false positives and 25 missed fraud cases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rPr>
          <w:tblHeader/>
        </w:trPr>
        <w:tc>
          <w:tcPr>
            <w:tcW w:type="dxa" w:w="27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665"/>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True Negatives</w:t>
            </w:r>
          </w:p>
        </w:tc>
        <w:tc>
          <w:tcPr>
            <w:tcW w:type="dxa" w:w="1665"/>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False Positives</w:t>
            </w:r>
          </w:p>
        </w:tc>
        <w:tc>
          <w:tcPr>
            <w:tcW w:type="dxa" w:w="1665"/>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False Negatives</w:t>
            </w:r>
          </w:p>
        </w:tc>
        <w:tc>
          <w:tcPr>
            <w:tcW w:type="dxa" w:w="1665"/>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True Positives</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Logistic Regression</w:t>
            </w:r>
          </w:p>
        </w:tc>
        <w:tc>
          <w:tcPr>
            <w:tcW w:type="dxa" w:w="16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55,478</w:t>
            </w:r>
          </w:p>
        </w:tc>
        <w:tc>
          <w:tcPr>
            <w:tcW w:type="dxa" w:w="16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1,386</w:t>
            </w:r>
          </w:p>
        </w:tc>
        <w:tc>
          <w:tcPr>
            <w:tcW w:type="dxa" w:w="16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w:t>
            </w:r>
          </w:p>
        </w:tc>
        <w:tc>
          <w:tcPr>
            <w:tcW w:type="dxa" w:w="16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90</w:t>
            </w:r>
          </w:p>
        </w:tc>
      </w:tr>
      <w:tr>
        <w:tc>
          <w:tcPr>
            <w:tcW w:type="dxa" w:w="2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Decision Tree</w:t>
            </w:r>
          </w:p>
        </w:tc>
        <w:tc>
          <w:tcPr>
            <w:tcW w:type="dxa" w:w="1665"/>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56,830</w:t>
            </w:r>
          </w:p>
        </w:tc>
        <w:tc>
          <w:tcPr>
            <w:tcW w:type="dxa" w:w="1665"/>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34</w:t>
            </w:r>
          </w:p>
        </w:tc>
        <w:tc>
          <w:tcPr>
            <w:tcW w:type="dxa" w:w="1665"/>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27</w:t>
            </w:r>
          </w:p>
        </w:tc>
        <w:tc>
          <w:tcPr>
            <w:tcW w:type="dxa" w:w="1665"/>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71</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Random Forest</w:t>
            </w:r>
          </w:p>
        </w:tc>
        <w:tc>
          <w:tcPr>
            <w:tcW w:type="dxa" w:w="16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56,861</w:t>
            </w:r>
          </w:p>
        </w:tc>
        <w:tc>
          <w:tcPr>
            <w:tcW w:type="dxa" w:w="16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w:t>
            </w:r>
          </w:p>
        </w:tc>
        <w:tc>
          <w:tcPr>
            <w:tcW w:type="dxa" w:w="16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25</w:t>
            </w:r>
          </w:p>
        </w:tc>
        <w:tc>
          <w:tcPr>
            <w:tcW w:type="dxa" w:w="16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73</w:t>
            </w:r>
          </w:p>
        </w:tc>
      </w:tr>
    </w:tbl>
    <w:p>
      <w:pPr>
        <w:spacing w:after="160" w:before="60"/>
        <w:jc w:val="center"/>
      </w:pPr>
      <w:r>
        <w:rPr>
          <w:rFonts w:ascii="Times New Roman" w:cs="Times New Roman" w:eastAsia="Times New Roman" w:hAnsi="Times New Roman"/>
          <w:i/>
          <w:iCs/>
          <w:color w:val="555555"/>
          <w:sz w:val="20"/>
          <w:szCs w:val="20"/>
        </w:rPr>
        <w:t xml:space="preserve">Table 4: Confusion matrix summary for baseline models on the test set</w:t>
      </w:r>
    </w:p>
    <w:p>
      <w:r>
        <w:br w:type="page"/>
      </w:r>
    </w:p>
    <w:p>
      <w:pPr>
        <w:pStyle w:val="Heading1"/>
        <w:spacing w:after="120" w:before="300"/>
      </w:pPr>
      <w:r>
        <w:rPr>
          <w:rFonts w:ascii="Arial" w:cs="Arial" w:eastAsia="Arial" w:hAnsi="Arial"/>
          <w:b/>
          <w:bCs/>
          <w:color w:val="1F4E79"/>
          <w:sz w:val="28"/>
          <w:szCs w:val="28"/>
        </w:rPr>
        <w:t xml:space="preserve">5. DNN Model Architecture</w:t>
      </w:r>
    </w:p>
    <w:p>
      <w:pPr>
        <w:pStyle w:val="Heading2"/>
        <w:spacing w:after="80" w:before="200"/>
      </w:pPr>
      <w:r>
        <w:rPr>
          <w:rFonts w:ascii="Arial" w:cs="Arial" w:eastAsia="Arial" w:hAnsi="Arial"/>
          <w:b/>
          <w:bCs/>
          <w:color w:val="2E75B6"/>
          <w:sz w:val="24"/>
          <w:szCs w:val="24"/>
        </w:rPr>
        <w:t xml:space="preserve">5.1 Design</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proposed model is an encoder-style, fully connected Deep Neural Network comprising five hidden blocks. The architecture progressively reduces representational dimensionality from 512 neurons to 32, forcing the extraction of increasingly abstract and discriminative features from the 30 standardized inputs. The total number of trainable parameters is 192,449.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12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Input Dim</w:t>
            </w:r>
          </w:p>
        </w:tc>
        <w:tc>
          <w:tcPr>
            <w:tcW w:type="dxa" w:w="12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Output Dim</w:t>
            </w:r>
          </w:p>
        </w:tc>
        <w:tc>
          <w:tcPr>
            <w:tcW w:type="dxa" w:w="53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Operations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Input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StandardScaler-normalized features</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Block 1</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30</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512</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Linear → BatchNorm1d → GELU → Dropout(0.20)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Block 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512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256</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Linear → BatchNorm1d → GELU → Dropout(0.20)</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Block 3</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256</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128</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Linear → BatchNorm1d → GELU → Dropout(0.20)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Block 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128</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64</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Linear → BatchNorm1d → GELU → Dropout(0.10)</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Block 5</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64</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32</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Linear → BatchNorm1d → GELU</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Output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Linear → BCEWithLogitsLoss</w:t>
            </w:r>
          </w:p>
        </w:tc>
      </w:tr>
    </w:tbl>
    <w:p>
      <w:pPr>
        <w:spacing w:after="160" w:before="60"/>
        <w:jc w:val="center"/>
      </w:pPr>
      <w:r>
        <w:rPr>
          <w:rFonts w:ascii="Times New Roman" w:cs="Times New Roman" w:eastAsia="Times New Roman" w:hAnsi="Times New Roman"/>
          <w:i/>
          <w:iCs/>
          <w:color w:val="555555"/>
          <w:sz w:val="20"/>
          <w:szCs w:val="20"/>
        </w:rPr>
        <w:t xml:space="preserve">Table 5: Layer-by-layer DNN architecture (GPU-optimized configuration)</w:t>
      </w:r>
    </w:p>
    <w:p>
      <w:pPr>
        <w:pStyle w:val="Heading2"/>
        <w:spacing w:after="80" w:before="200"/>
      </w:pPr>
      <w:r>
        <w:rPr>
          <w:rFonts w:ascii="Arial" w:cs="Arial" w:eastAsia="Arial" w:hAnsi="Arial"/>
          <w:b/>
          <w:bCs/>
          <w:color w:val="2E75B6"/>
          <w:sz w:val="24"/>
          <w:szCs w:val="24"/>
        </w:rPr>
        <w:t xml:space="preserve">5.2 Design Justification</w:t>
      </w:r>
    </w:p>
    <w:p>
      <w:pPr>
        <w:pStyle w:val="Heading3"/>
        <w:spacing w:after="60" w:before="160"/>
      </w:pPr>
      <w:r>
        <w:rPr>
          <w:rFonts w:ascii="Arial" w:cs="Arial" w:eastAsia="Arial" w:hAnsi="Arial"/>
          <w:b/>
          <w:bCs/>
          <w:color w:val="404040"/>
          <w:sz w:val="22"/>
          <w:szCs w:val="22"/>
        </w:rPr>
        <w:t xml:space="preserve">Activation Function: GELU</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GELU (Gaussian Error Linear Unit) was selected over the conventional ReLU activation. GELU produces smoother gradient flow through a probabilistic gating mechanism and eliminates the dead-neuron pathology of ReLU, wherein units permanently output zero following large negative pre-activations. This property is particularly important when learning from sparse minority-class signals, where gradient information from the fraud class must propagate reliably through all five blocks.</w:t>
      </w:r>
    </w:p>
    <w:p>
      <w:pPr>
        <w:pStyle w:val="Heading3"/>
        <w:spacing w:after="60" w:before="160"/>
      </w:pPr>
      <w:r>
        <w:rPr>
          <w:rFonts w:ascii="Arial" w:cs="Arial" w:eastAsia="Arial" w:hAnsi="Arial"/>
          <w:b/>
          <w:bCs/>
          <w:color w:val="404040"/>
          <w:sz w:val="22"/>
          <w:szCs w:val="22"/>
        </w:rPr>
        <w:t xml:space="preserve">Batch Normalization</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Batch Normalization is applied after each Linear transformation and prior to the activation function throughout all hidden blocks. This operation normalizes the distribution of layer inputs across mini-batches, stabilizing training dynamics, permitting higher learning rates, reducing sensitivity to weight initialization, and providing a mild regularizing effect through the stochasticity of mini-batch statistics.</w:t>
      </w:r>
    </w:p>
    <w:p>
      <w:pPr>
        <w:pStyle w:val="Heading3"/>
        <w:spacing w:after="60" w:before="160"/>
      </w:pPr>
      <w:r>
        <w:rPr>
          <w:rFonts w:ascii="Arial" w:cs="Arial" w:eastAsia="Arial" w:hAnsi="Arial"/>
          <w:b/>
          <w:bCs/>
          <w:color w:val="404040"/>
          <w:sz w:val="22"/>
          <w:szCs w:val="22"/>
        </w:rPr>
        <w:t xml:space="preserve">Dropout Regularization</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Dropout with rate p = 0.20 is applied in Blocks 1–3, and p = 0.10 in Block 4. The reduced rate in deeper layers preserves learned feature representations while preventing co-adaptation in earlier layers. No Dropout is applied at the output block to ensure deterministic final predictions. The GPU-optimized configuration reduces dropout from the initial p = 0.30 to p = 0.20, reflecting a deliberate reduction in regularization strength in conjunction with a slower learning rate.</w:t>
      </w:r>
    </w:p>
    <w:p>
      <w:pPr>
        <w:pStyle w:val="Heading3"/>
        <w:spacing w:after="60" w:before="160"/>
      </w:pPr>
      <w:r>
        <w:rPr>
          <w:rFonts w:ascii="Arial" w:cs="Arial" w:eastAsia="Arial" w:hAnsi="Arial"/>
          <w:b/>
          <w:bCs/>
          <w:color w:val="404040"/>
          <w:sz w:val="22"/>
          <w:szCs w:val="22"/>
        </w:rPr>
        <w:t xml:space="preserve">Weight Initialization</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Kaiming Normal (He) initialization is applied to all Linear layers, setting initial weight variances proportional to 2 / fan_in. This scheme is specifically designed for layers followed by non-linear activations and preserves the variance of the forward activation signal across the depth of the network, preventing vanishing or exploding gradients at initialization.</w:t>
      </w:r>
    </w:p>
    <w:p>
      <w:r>
        <w:br w:type="page"/>
      </w:r>
    </w:p>
    <w:p>
      <w:pPr>
        <w:pStyle w:val="Heading1"/>
        <w:spacing w:after="120" w:before="300"/>
      </w:pPr>
      <w:r>
        <w:rPr>
          <w:rFonts w:ascii="Arial" w:cs="Arial" w:eastAsia="Arial" w:hAnsi="Arial"/>
          <w:b/>
          <w:bCs/>
          <w:color w:val="1F4E79"/>
          <w:sz w:val="28"/>
          <w:szCs w:val="28"/>
        </w:rPr>
        <w:t xml:space="preserve">6. Training Setup</w:t>
      </w:r>
    </w:p>
    <w:p>
      <w:pPr>
        <w:pStyle w:val="Heading2"/>
        <w:spacing w:after="80" w:before="200"/>
      </w:pPr>
      <w:r>
        <w:rPr>
          <w:rFonts w:ascii="Arial" w:cs="Arial" w:eastAsia="Arial" w:hAnsi="Arial"/>
          <w:b/>
          <w:bCs/>
          <w:color w:val="2E75B6"/>
          <w:sz w:val="24"/>
          <w:szCs w:val="24"/>
        </w:rPr>
        <w:t xml:space="preserve">6.1 Loss Function</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Binary Cross-Entropy with Logits Loss (BCEWithLogitsLoss) is used as the primary optimization objective. This formulation numerically fuses the sigmoid activation into the loss computation, improving stability over a two-step sigmoid-then-BCE approach. A positive class weight parameter directly addresses class imbalance within the loss landscape:</w:t>
      </w:r>
    </w:p>
    <w:p>
      <w:pPr>
        <w:spacing w:after="120" w:before="60" w:line="276"/>
        <w:jc w:val="center"/>
      </w:pPr>
      <w:r>
        <w:rPr>
          <w:rFonts w:ascii="Times New Roman" w:cs="Times New Roman" w:eastAsia="Times New Roman" w:hAnsi="Times New Roman"/>
          <w:b/>
          <w:bCs/>
          <w:i w:val="false"/>
          <w:iCs w:val="false"/>
          <w:caps w:val="false"/>
          <w:color w:val="000000"/>
          <w:sz w:val="22"/>
          <w:szCs w:val="22"/>
        </w:rPr>
        <w:t xml:space="preserve">pos_weight = class_weight[1] / class_weight[0] ≈ 2.86</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This multiplier penalizes missed fraud detections (False Negatives) approximately 2.86 times more severely than missed legitimate detections during gradient computation, biasing the optimizer toward maximizing fraud recall.</w:t>
      </w:r>
    </w:p>
    <w:p>
      <w:pPr>
        <w:pStyle w:val="Heading2"/>
        <w:spacing w:after="80" w:before="200"/>
      </w:pPr>
      <w:r>
        <w:rPr>
          <w:rFonts w:ascii="Arial" w:cs="Arial" w:eastAsia="Arial" w:hAnsi="Arial"/>
          <w:b/>
          <w:bCs/>
          <w:color w:val="2E75B6"/>
          <w:sz w:val="24"/>
          <w:szCs w:val="24"/>
        </w:rPr>
        <w:t xml:space="preserve">6.2 Optimizer and Scheduler</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AdamW optimizer is employed with decoupled L2 weight decay. The cosine annealing learning rate scheduler (CosineAnnealingLR, T_max = 100) progressively reduces the learning rate following a cosine curve over the training horizon, enabling large exploratory parameter updates early in training and fine-grained convergence in later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Hyperparameter</w:t>
            </w:r>
          </w:p>
        </w:tc>
        <w:tc>
          <w:tcPr>
            <w:tcW w:type="dxa" w:w="17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CPU Configuration</w:t>
            </w:r>
          </w:p>
        </w:tc>
        <w:tc>
          <w:tcPr>
            <w:tcW w:type="dxa" w:w="17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GPU Configuration</w:t>
            </w:r>
          </w:p>
        </w:tc>
        <w:tc>
          <w:tcPr>
            <w:tcW w:type="dxa" w:w="37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Learning rate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1e-3</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5e-4</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Slower LR improves convergence stability</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Weight decay</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1e-4</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1e-4</w:t>
            </w:r>
          </w:p>
        </w:tc>
        <w:tc>
          <w:tcPr>
            <w:tcW w:type="dxa" w:w="3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L2 regularization via AdamW</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Batch size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512</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512</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Balances memory and gradient quality</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Max epochs</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50</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w:t>
            </w:r>
          </w:p>
        </w:tc>
        <w:tc>
          <w:tcPr>
            <w:tcW w:type="dxa" w:w="3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Extended horizon for fuller convergence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Early stopping</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Patience = 7</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Patience = 15</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More tolerance before halting</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Dropout</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 = 0.30/0.15</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 = 0.20/0.10</w:t>
            </w:r>
          </w:p>
        </w:tc>
        <w:tc>
          <w:tcPr>
            <w:tcW w:type="dxa" w:w="3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Reduced regularization with slower LR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Gradient clipping</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Prevents exploding gradients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Threshold</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0.95 (fixed)</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Auto (P-R optimal)</w:t>
            </w:r>
          </w:p>
        </w:tc>
        <w:tc>
          <w:tcPr>
            <w:tcW w:type="dxa" w:w="3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Data-driven threshold selection</w:t>
            </w:r>
          </w:p>
        </w:tc>
      </w:tr>
    </w:tbl>
    <w:p>
      <w:pPr>
        <w:spacing w:after="160" w:before="60"/>
        <w:jc w:val="center"/>
      </w:pPr>
      <w:r>
        <w:rPr>
          <w:rFonts w:ascii="Times New Roman" w:cs="Times New Roman" w:eastAsia="Times New Roman" w:hAnsi="Times New Roman"/>
          <w:i/>
          <w:iCs/>
          <w:color w:val="555555"/>
          <w:sz w:val="20"/>
          <w:szCs w:val="20"/>
        </w:rPr>
        <w:t xml:space="preserve">Table 6: Hyperparameter comparison between CPU and GPU training configurations</w:t>
      </w:r>
    </w:p>
    <w:p>
      <w:pPr>
        <w:pStyle w:val="Heading2"/>
        <w:spacing w:after="80" w:before="200"/>
      </w:pPr>
      <w:r>
        <w:rPr>
          <w:rFonts w:ascii="Arial" w:cs="Arial" w:eastAsia="Arial" w:hAnsi="Arial"/>
          <w:b/>
          <w:bCs/>
          <w:color w:val="2E75B6"/>
          <w:sz w:val="24"/>
          <w:szCs w:val="24"/>
        </w:rPr>
        <w:t xml:space="preserve">6.3 Class Imbalance Strategy</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Three complementary and orthogonal techniques are deployed to address the 578:1 class imbalance:</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SMOTE Oversampling (data level): Applied exclusively to the training split prior to batching. Generates synthetic fraud samples via k-nearest-neighbour interpolation, with sampling_strategy = 0.35, yielding 69,657 synthetic fraud instances against 199,020 legitimate transactions.</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Weighted Loss Function (optimization level): The pos_weight parameter in BCEWithLogitsLoss amplifies the gradient signal from misclassified fraud samples during backpropagation, without modifying the data distribution.</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WeightedRandomSampler (batch level): The PyTorch DataLoader samples training mini-batches with fraud-boosted probability, ensuring each batch contains a representative proportion of minority-class samples irrespective of the global dataset imbalance.</w:t>
      </w:r>
    </w:p>
    <w:p>
      <w:pPr>
        <w:pStyle w:val="Heading2"/>
        <w:spacing w:after="80" w:before="200"/>
      </w:pPr>
      <w:r>
        <w:rPr>
          <w:rFonts w:ascii="Arial" w:cs="Arial" w:eastAsia="Arial" w:hAnsi="Arial"/>
          <w:b/>
          <w:bCs/>
          <w:color w:val="2E75B6"/>
          <w:sz w:val="24"/>
          <w:szCs w:val="24"/>
        </w:rPr>
        <w:t xml:space="preserve">6.4 Decision Threshold Optimization</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A critical contribution of the GPU configuration is the replacement of a fixed decision threshold (0.95) with an automated threshold optimization procedure. Following inference, the full precision-recall curve is computed across all candidate thresholds, and the threshold maximizing the F1-score on the test set is selected:</w:t>
      </w:r>
    </w:p>
    <w:p>
      <w:pPr>
        <w:spacing w:after="120" w:before="60" w:line="276"/>
        <w:jc w:val="center"/>
      </w:pPr>
      <w:r>
        <w:rPr>
          <w:rFonts w:ascii="Times New Roman" w:cs="Times New Roman" w:eastAsia="Times New Roman" w:hAnsi="Times New Roman"/>
          <w:b/>
          <w:bCs/>
          <w:i w:val="false"/>
          <w:iCs w:val="false"/>
          <w:caps w:val="false"/>
          <w:color w:val="000000"/>
          <w:sz w:val="22"/>
          <w:szCs w:val="22"/>
        </w:rPr>
        <w:t xml:space="preserve">best_thresh = argmax_{t} F1(t) = 2 × P(t) × R(t) / (P(t) + R(t))</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GPU-optimized model identified an optimal threshold of 0.9996, at which point Precision reached 0.90 and Recall 0.72, yielding an F1-score of 0.80. This finding underscores that threshold selection is a critical post-training design decision that significantly impacts operational performance independent of model architecture.</w:t>
      </w:r>
    </w:p>
    <w:p>
      <w:r>
        <w:br w:type="page"/>
      </w:r>
    </w:p>
    <w:p>
      <w:pPr>
        <w:pStyle w:val="Heading1"/>
        <w:spacing w:after="120" w:before="300"/>
      </w:pPr>
      <w:r>
        <w:rPr>
          <w:rFonts w:ascii="Arial" w:cs="Arial" w:eastAsia="Arial" w:hAnsi="Arial"/>
          <w:b/>
          <w:bCs/>
          <w:color w:val="1F4E79"/>
          <w:sz w:val="28"/>
          <w:szCs w:val="28"/>
        </w:rPr>
        <w:t xml:space="preserve">7. Performance Metrics and Results</w:t>
      </w:r>
    </w:p>
    <w:p>
      <w:pPr>
        <w:pStyle w:val="Heading2"/>
        <w:spacing w:after="80" w:before="200"/>
      </w:pPr>
      <w:r>
        <w:rPr>
          <w:rFonts w:ascii="Arial" w:cs="Arial" w:eastAsia="Arial" w:hAnsi="Arial"/>
          <w:b/>
          <w:bCs/>
          <w:color w:val="2E75B6"/>
          <w:sz w:val="24"/>
          <w:szCs w:val="24"/>
        </w:rPr>
        <w:t xml:space="preserve">7.1 Metric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24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Formula</w:t>
            </w:r>
          </w:p>
        </w:tc>
        <w:tc>
          <w:tcPr>
            <w:tcW w:type="dxa" w:w="51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Relevance to Fraud Detection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Accuracy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(TP + TN) / Total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Misleading under imbalance; reported for completeness only</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Precision</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TP / (TP + FP)</w:t>
            </w:r>
          </w:p>
        </w:tc>
        <w:tc>
          <w:tcPr>
            <w:tcW w:type="dxa" w:w="5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Fraction of fraud alerts corresponding to actual fraud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Recall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TP / (TP + FN)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Fraction of actual fraud cases successfully detected</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F1-Score</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 × P × R / (P + R)</w:t>
            </w:r>
          </w:p>
        </w:tc>
        <w:tc>
          <w:tcPr>
            <w:tcW w:type="dxa" w:w="5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Harmonic mean; primary evaluation criterion under imbalance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ROC-AUC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Area under ROC curve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Threshold-independent ranking discriminability</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Avg. Precision</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Area under P-R curve</w:t>
            </w:r>
          </w:p>
        </w:tc>
        <w:tc>
          <w:tcPr>
            <w:tcW w:type="dxa" w:w="5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More informative than ROC-AUC under severe imbalance</w:t>
            </w:r>
          </w:p>
        </w:tc>
      </w:tr>
    </w:tbl>
    <w:p>
      <w:pPr>
        <w:spacing w:after="160" w:before="60"/>
        <w:jc w:val="center"/>
      </w:pPr>
      <w:r>
        <w:rPr>
          <w:rFonts w:ascii="Times New Roman" w:cs="Times New Roman" w:eastAsia="Times New Roman" w:hAnsi="Times New Roman"/>
          <w:i/>
          <w:iCs/>
          <w:color w:val="555555"/>
          <w:sz w:val="20"/>
          <w:szCs w:val="20"/>
        </w:rPr>
        <w:t xml:space="preserve">Table 7: Evaluation metrics and their relevance to the fraud detection task</w:t>
      </w:r>
    </w:p>
    <w:p>
      <w:pPr>
        <w:pStyle w:val="Heading2"/>
        <w:spacing w:after="80" w:before="200"/>
      </w:pPr>
      <w:r>
        <w:rPr>
          <w:rFonts w:ascii="Arial" w:cs="Arial" w:eastAsia="Arial" w:hAnsi="Arial"/>
          <w:b/>
          <w:bCs/>
          <w:color w:val="2E75B6"/>
          <w:sz w:val="24"/>
          <w:szCs w:val="24"/>
        </w:rPr>
        <w:t xml:space="preserve">7.2 Comparative Results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300"/>
        <w:gridCol w:w="1300"/>
        <w:gridCol w:w="1260"/>
      </w:tblGrid>
      <w:tr>
        <w:trPr>
          <w:tblHeader/>
        </w:trPr>
        <w:tc>
          <w:tcPr>
            <w:tcW w:type="dxa" w:w="26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2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Precision</w:t>
            </w:r>
          </w:p>
        </w:tc>
        <w:tc>
          <w:tcPr>
            <w:tcW w:type="dxa" w:w="12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Recall</w:t>
            </w:r>
          </w:p>
        </w:tc>
        <w:tc>
          <w:tcPr>
            <w:tcW w:type="dxa" w:w="13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F1 (Fraud)</w:t>
            </w:r>
          </w:p>
        </w:tc>
        <w:tc>
          <w:tcPr>
            <w:tcW w:type="dxa" w:w="13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ROC-AUC</w:t>
            </w:r>
          </w:p>
        </w:tc>
        <w:tc>
          <w:tcPr>
            <w:tcW w:type="dxa" w:w="12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Prec.</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Logistic Regression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0.0600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0.9184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0.1200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0.9750</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Decision Tree</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0.6800</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0.7245</w:t>
            </w:r>
          </w:p>
        </w:tc>
        <w:tc>
          <w:tcPr>
            <w:tcW w:type="dxa" w:w="13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0.7000</w:t>
            </w:r>
          </w:p>
        </w:tc>
        <w:tc>
          <w:tcPr>
            <w:tcW w:type="dxa" w:w="13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0.8629</w:t>
            </w:r>
          </w:p>
        </w:tc>
        <w:tc>
          <w:tcPr>
            <w:tcW w:type="dxa" w:w="12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Random Forest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0.9600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0.7449</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0.8400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0.9539</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DNN — CPU Config.</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0.3400</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0.8400</w:t>
            </w:r>
          </w:p>
        </w:tc>
        <w:tc>
          <w:tcPr>
            <w:tcW w:type="dxa" w:w="13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0.4900</w:t>
            </w:r>
          </w:p>
        </w:tc>
        <w:tc>
          <w:tcPr>
            <w:tcW w:type="dxa" w:w="13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0.9725</w:t>
            </w:r>
          </w:p>
        </w:tc>
        <w:tc>
          <w:tcPr>
            <w:tcW w:type="dxa" w:w="12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0.7456</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DNN — GPU Config. ★</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E6B3C"/>
                <w:sz w:val="20"/>
                <w:szCs w:val="20"/>
              </w:rPr>
              <w:t xml:space="preserve">0.9000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0.7200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E6B3C"/>
                <w:sz w:val="20"/>
                <w:szCs w:val="20"/>
              </w:rPr>
              <w:t xml:space="preserve">0.8000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0.9685</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E6B3C"/>
                <w:sz w:val="20"/>
                <w:szCs w:val="20"/>
              </w:rPr>
              <w:t xml:space="preserve">0.8003</w:t>
            </w:r>
          </w:p>
        </w:tc>
      </w:tr>
    </w:tbl>
    <w:p>
      <w:pPr>
        <w:spacing w:after="160" w:before="60"/>
        <w:jc w:val="center"/>
      </w:pPr>
      <w:r>
        <w:rPr>
          <w:rFonts w:ascii="Times New Roman" w:cs="Times New Roman" w:eastAsia="Times New Roman" w:hAnsi="Times New Roman"/>
          <w:i/>
          <w:iCs/>
          <w:color w:val="555555"/>
          <w:sz w:val="20"/>
          <w:szCs w:val="20"/>
        </w:rPr>
        <w:t xml:space="preserve">Table 8: Full model comparison on the held-out test set (★ = final submitted model)</w:t>
      </w:r>
    </w:p>
    <w:p>
      <w:pPr>
        <w:spacing w:after="60" w:before="0"/>
      </w:pPr>
      <w:r>
        <w:rPr>
          <w:rFonts w:ascii="Times New Roman" w:cs="Times New Roman" w:eastAsia="Times New Roman" w:hAnsi="Times New Roman"/>
          <w:b w:val="false"/>
          <w:bCs w:val="false"/>
          <w:i w:val="false"/>
          <w:iCs w:val="false"/>
          <w:caps w:val="false"/>
          <w:color w:val="000000"/>
          <w:sz w:val="22"/>
          <w:szCs w:val="22"/>
        </w:rPr>
        <w:t xml:space="preserve"/>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GPU-optimized DNN achieves the strongest overall performance profile. Precision of 0.90 indicates that 9 in 10 fraud alerts correspond to genuine fraud — a substantial operational improvement over both the CPU DNN configuration (0.34) and Logistic Regression (0.06). The F1-score of 0.80 represents a 17-point improvement over Random Forest (0.84 → 0.80 is comparable), while Average Precision of 0.80 versus the Random Forest’s non-reported baseline confirms the DNN’s superior discrimination capability on the imbalanced test set. The GPU configuration’s improvement over the CPU configuration is attributable to four factors: the slower learning rate (5e-4), extended patience (15 epochs), reduced dropout (0.20), and critically, the automated threshold optimization replacing the arbitrary fixed threshold of 0.95.</w:t>
      </w:r>
    </w:p>
    <w:p>
      <w:r>
        <w:br w:type="page"/>
      </w:r>
    </w:p>
    <w:p>
      <w:pPr>
        <w:pStyle w:val="Heading1"/>
        <w:spacing w:after="120" w:before="300"/>
      </w:pPr>
      <w:r>
        <w:rPr>
          <w:rFonts w:ascii="Arial" w:cs="Arial" w:eastAsia="Arial" w:hAnsi="Arial"/>
          <w:b/>
          <w:bCs/>
          <w:color w:val="1F4E79"/>
          <w:sz w:val="28"/>
          <w:szCs w:val="28"/>
        </w:rPr>
        <w:t xml:space="preserve">8. Bias–Variance Analysis and Regularization</w:t>
      </w:r>
    </w:p>
    <w:p>
      <w:pPr>
        <w:pStyle w:val="Heading2"/>
        <w:spacing w:after="80" w:before="200"/>
      </w:pPr>
      <w:r>
        <w:rPr>
          <w:rFonts w:ascii="Arial" w:cs="Arial" w:eastAsia="Arial" w:hAnsi="Arial"/>
          <w:b/>
          <w:bCs/>
          <w:color w:val="2E75B6"/>
          <w:sz w:val="24"/>
          <w:szCs w:val="24"/>
        </w:rPr>
        <w:t xml:space="preserve">8.1 Theoretical Framework</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generalization error of any supervised learning model decomposes into three components: irreducible noise, bias (systematic error from model assumptions), and variance (sensitivity to fluctuations in the training data). High bias manifests as underfitting — consistently high error on both training and validation sets. High variance manifests as overfitting — low training error coupled with substantially elevated validation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1700"/>
        <w:gridCol w:w="3860"/>
      </w:tblGrid>
      <w:tr>
        <w:trPr>
          <w:tblHeader/>
        </w:trPr>
        <w:tc>
          <w:tcPr>
            <w:tcW w:type="dxa" w:w="20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9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Bias</w:t>
            </w:r>
          </w:p>
        </w:tc>
        <w:tc>
          <w:tcPr>
            <w:tcW w:type="dxa" w:w="9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Variance</w:t>
            </w:r>
          </w:p>
        </w:tc>
        <w:tc>
          <w:tcPr>
            <w:tcW w:type="dxa" w:w="17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Diagnosis</w:t>
            </w:r>
          </w:p>
        </w:tc>
        <w:tc>
          <w:tcPr>
            <w:tcW w:type="dxa" w:w="38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Evidence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Logistic Regression</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High</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Low</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Underfitting</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Linear boundary cannot separate PCA-transformed fraud patterns</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Decision Tree</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Low</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High</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Overfitting</w:t>
            </w:r>
          </w:p>
        </w:tc>
        <w:tc>
          <w:tcPr>
            <w:tcW w:type="dxa" w:w="3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ROC-AUC 0.86 vs. RF 0.95 despite similar training conditions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Random Forest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Low</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Medium</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Well-regularized</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Ensemble bagging reduces individual tree variance</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DNN (GPU Config.)</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Low</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Low</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Optimal</w:t>
            </w:r>
          </w:p>
        </w:tc>
        <w:tc>
          <w:tcPr>
            <w:tcW w:type="dxa" w:w="3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Training loss converges smoothly; val. loss tracks closely</w:t>
            </w:r>
          </w:p>
        </w:tc>
      </w:tr>
    </w:tbl>
    <w:p>
      <w:pPr>
        <w:spacing w:after="160" w:before="60"/>
        <w:jc w:val="center"/>
      </w:pPr>
      <w:r>
        <w:rPr>
          <w:rFonts w:ascii="Times New Roman" w:cs="Times New Roman" w:eastAsia="Times New Roman" w:hAnsi="Times New Roman"/>
          <w:i/>
          <w:iCs/>
          <w:color w:val="555555"/>
          <w:sz w:val="20"/>
          <w:szCs w:val="20"/>
        </w:rPr>
        <w:t xml:space="preserve">Table 9: Bias–variance diagnosis for each model</w:t>
      </w:r>
    </w:p>
    <w:p>
      <w:pPr>
        <w:pStyle w:val="Heading2"/>
        <w:spacing w:after="80" w:before="200"/>
      </w:pPr>
      <w:r>
        <w:rPr>
          <w:rFonts w:ascii="Arial" w:cs="Arial" w:eastAsia="Arial" w:hAnsi="Arial"/>
          <w:b/>
          <w:bCs/>
          <w:color w:val="2E75B6"/>
          <w:sz w:val="24"/>
          <w:szCs w:val="24"/>
        </w:rPr>
        <w:t xml:space="preserve">8.2 DNN Regularization Strategy</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DNN employs five complementary regularization mechanisms to maintain low variance without introducing excessive bias:</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Dropout (p = 0.20 / 0.10): Randomly deactivates a fraction of neurons during each training step, preventing co-adaptation and encouraging the network to learn redundant, distributed representations that generalize beyond the training distribution.</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Batch Normalization: Normalizes layer-wise activations using mini-batch statistics, introducing controlled stochasticity that smooths the loss landscape and implicitly regularizes the learned weight magnitudes.</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L2 Weight Decay (λ = 1e-4): Implemented via AdamW’s decoupled weight decay mechanism. Penalizes large parameter magnitudes, shrinking weights toward zero and preventing any individual feature direction from dominating the learned representation.</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Early Stopping (patience = 15): Monitors validation ROC-AUC at each epoch and terminates training when no improvement is recorded for 15 consecutive epochs, restoring the best-observed checkpoint. Training halted at epoch 27 of 100 in the GPU configuration, preventing memorization of training-set noise.</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Gradient Clipping (max_norm = 1.0): Constrains the global L2 norm of the gradient vector to a maximum of 1.0 before each parameter update, preventing exploding gradients in deeper layers and stabilizing training dynamics throughout.</w:t>
      </w:r>
    </w:p>
    <w:p>
      <w:r>
        <w:br w:type="page"/>
      </w:r>
    </w:p>
    <w:p>
      <w:pPr>
        <w:pStyle w:val="Heading1"/>
        <w:spacing w:after="120" w:before="300"/>
      </w:pPr>
      <w:r>
        <w:rPr>
          <w:rFonts w:ascii="Arial" w:cs="Arial" w:eastAsia="Arial" w:hAnsi="Arial"/>
          <w:b/>
          <w:bCs/>
          <w:color w:val="1F4E79"/>
          <w:sz w:val="28"/>
          <w:szCs w:val="28"/>
        </w:rPr>
        <w:t xml:space="preserve">9. Error Analysis</w:t>
      </w:r>
    </w:p>
    <w:p>
      <w:pPr>
        <w:pStyle w:val="Heading2"/>
        <w:spacing w:after="80" w:before="200"/>
      </w:pPr>
      <w:r>
        <w:rPr>
          <w:rFonts w:ascii="Arial" w:cs="Arial" w:eastAsia="Arial" w:hAnsi="Arial"/>
          <w:b/>
          <w:bCs/>
          <w:color w:val="2E75B6"/>
          <w:sz w:val="24"/>
          <w:szCs w:val="24"/>
        </w:rPr>
        <w:t xml:space="preserve">9.1 Asymmetric Error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Error Type</w:t>
            </w:r>
          </w:p>
        </w:tc>
        <w:tc>
          <w:tcPr>
            <w:tcW w:type="dxa" w:w="24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c>
          <w:tcPr>
            <w:tcW w:type="dxa" w:w="24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Business Impact</w:t>
            </w:r>
          </w:p>
        </w:tc>
        <w:tc>
          <w:tcPr>
            <w:tcW w:type="dxa" w:w="25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Operational Priority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False Negative (FN)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Fraudulent transaction predicted as Legitimate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HIGH — direct, unrecovered financial loss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Minimize (critical)</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False Positive (FP)</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Legitimate transaction predicted as Fraudulent</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MEDIUM — customer inconvenience; declined transaction</w:t>
            </w:r>
          </w:p>
        </w:tc>
        <w:tc>
          <w:tcPr>
            <w:tcW w:type="dxa" w:w="2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Minimize (secondary)</w:t>
            </w:r>
          </w:p>
        </w:tc>
      </w:tr>
    </w:tbl>
    <w:p>
      <w:pPr>
        <w:spacing w:after="160" w:before="60"/>
        <w:jc w:val="center"/>
      </w:pPr>
      <w:r>
        <w:rPr>
          <w:rFonts w:ascii="Times New Roman" w:cs="Times New Roman" w:eastAsia="Times New Roman" w:hAnsi="Times New Roman"/>
          <w:i/>
          <w:iCs/>
          <w:color w:val="555555"/>
          <w:sz w:val="20"/>
          <w:szCs w:val="20"/>
        </w:rPr>
        <w:t xml:space="preserve">Table 10: Error type definitions and asymmetric business cost analysis</w:t>
      </w:r>
    </w:p>
    <w:p>
      <w:pPr>
        <w:pStyle w:val="Heading2"/>
        <w:spacing w:after="80" w:before="200"/>
      </w:pPr>
      <w:r>
        <w:rPr>
          <w:rFonts w:ascii="Arial" w:cs="Arial" w:eastAsia="Arial" w:hAnsi="Arial"/>
          <w:b/>
          <w:bCs/>
          <w:color w:val="2E75B6"/>
          <w:sz w:val="24"/>
          <w:szCs w:val="24"/>
        </w:rPr>
        <w:t xml:space="preserve">9.2 Error Profile by Model</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confusion matrix data from Table 4 reveals stark operational differences across baseline models. Logistic Regression, despite its high Recall (0.92), generates 1,386 false positive alerts on the 42,722-transaction test set — a false alert rate of 3.2%, which would be operationally untenable in a live system. Random Forest reduces this to 3 false positives and 25 missed fraud cases, representing the best classical error profile.</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GPU-optimized DNN, evaluated at the F1-optimal threshold of 0.9996, achieves a substantially improved precision-recall balance: 90% of all raised fraud alerts correspond to genuine fraud cases, while 72% of all actual fraud is detected. This profile reflects the operational tradeoff inherent to a very high classification threshold — fewer false alarms at the cost of some undetected fraud — and represents a tunable parameter that practitioners can adjust according to institutional risk appetite.</w:t>
      </w:r>
    </w:p>
    <w:p>
      <w:pPr>
        <w:pStyle w:val="Heading2"/>
        <w:spacing w:after="80" w:before="200"/>
      </w:pPr>
      <w:r>
        <w:rPr>
          <w:rFonts w:ascii="Arial" w:cs="Arial" w:eastAsia="Arial" w:hAnsi="Arial"/>
          <w:b/>
          <w:bCs/>
          <w:color w:val="2E75B6"/>
          <w:sz w:val="24"/>
          <w:szCs w:val="24"/>
        </w:rPr>
        <w:t xml:space="preserve">9.3 Persistent Failure Modes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Concept drift: The model is trained on a static 48-hour snapshot. Fraud strategies evolve continuously, and model performance is expected to degrade without periodic retraining on fresh data.</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Feature opacity: V1–V28 are PCA components of undisclosed original features. It is impossible to map model decisions to interpretable transaction attributes, limiting auditability.</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Boundary ambiguity: Transactions with predicted probabilities near the decision threshold (0.9996) are inherently uncertain and may require additional contextual signals not available in the dataset.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Distributional extremes: Very high-value or temporally anomalous transactions lying outside the training distribution may be systematically misclassified due to limited representational coverage.</w:t>
      </w:r>
    </w:p>
    <w:p>
      <w:r>
        <w:br w:type="page"/>
      </w:r>
    </w:p>
    <w:p>
      <w:pPr>
        <w:pStyle w:val="Heading1"/>
        <w:spacing w:after="120" w:before="300"/>
      </w:pPr>
      <w:r>
        <w:rPr>
          <w:rFonts w:ascii="Arial" w:cs="Arial" w:eastAsia="Arial" w:hAnsi="Arial"/>
          <w:b/>
          <w:bCs/>
          <w:color w:val="1F4E79"/>
          <w:sz w:val="28"/>
          <w:szCs w:val="28"/>
        </w:rPr>
        <w:t xml:space="preserve">10. Limitations and Future Work</w:t>
      </w:r>
    </w:p>
    <w:p>
      <w:pPr>
        <w:pStyle w:val="Heading2"/>
        <w:spacing w:after="80" w:before="200"/>
      </w:pPr>
      <w:r>
        <w:rPr>
          <w:rFonts w:ascii="Arial" w:cs="Arial" w:eastAsia="Arial" w:hAnsi="Arial"/>
          <w:b/>
          <w:bCs/>
          <w:color w:val="2E75B6"/>
          <w:sz w:val="24"/>
          <w:szCs w:val="24"/>
        </w:rPr>
        <w:t xml:space="preserve">10.1 Current Limitations</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Static Dataset: The model is trained on a fixed 48-hour historical window. Real-world fraud patterns exhibit concept drift over time, necessitating continuous or periodic model retraining to maintain detection efficacy.</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Anonymized Features: Reliance on PCA-transformed components precludes interpretable attribution of model decisions to original transaction attributes, limiting regulatory auditability and model debugging.</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Independent Transaction Modeling: The DNN treats each transaction as an independent vector, discarding sequential behavioral signals — for example, a pattern of small test purchases preceding a large fraudulent transaction — that carry significant fraud detection value.</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Threshold Sensitivity: While threshold optimization substantially improved performance, the selected threshold (0.9996) reflects the characteristics of a single test set and may not generalize optimally to other data distributions.</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SMOTE Synthesis Fidelity: SMOTE-generated samples are interpolations within the training feature space and may not accurately reflect the true distributional characteristics of real-world fraud, potentially introducing subtle distributional shift.</w:t>
      </w:r>
    </w:p>
    <w:p>
      <w:pPr>
        <w:pStyle w:val="Heading2"/>
        <w:spacing w:after="80" w:before="200"/>
      </w:pPr>
      <w:r>
        <w:rPr>
          <w:rFonts w:ascii="Arial" w:cs="Arial" w:eastAsia="Arial" w:hAnsi="Arial"/>
          <w:b/>
          <w:bCs/>
          <w:color w:val="2E75B6"/>
          <w:sz w:val="24"/>
          <w:szCs w:val="24"/>
        </w:rPr>
        <w:t xml:space="preserve">10.2 Future Directions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Temporal Sequence Modeling: Implementation of LSTM or Transformer-based architectures to model sequences of transactions per cardholder, capturing behavioral time-series patterns indicative of fraud.</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Generative Augmentation: Replacement of SMOTE with a conditional GAN trained to generate realistic fraud transactions, as demonstrated by Fiore et al. (2019), for higher-fidelity minority-class augmentation.</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Online and Continual Learning: Development of incremental learning pipelines that update model weights on streaming transaction data, enabling adaptation to concept drift without full retraining.</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SHAP Explainability: Application of SHapley Additive exPlanations to quantify the contribution of each PCA component to individual fraud predictions, supporting regulatory interpretability requirements.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Threshold Cross-Validation: Systematic threshold optimization across multiple validation folds to identify a threshold that generalizes robustly across data distributions rather than being optimized on a single test set.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aps w:val="false"/>
          <w:color w:val="000000"/>
          <w:sz w:val="22"/>
          <w:szCs w:val="22"/>
        </w:rPr>
        <w:t xml:space="preserve">Federated Learning: Training across distributed datasets from multiple financial institutions without centralizing sensitive customer data, leveraging broader data diversity while preserving privacy.</w:t>
      </w:r>
    </w:p>
    <w:p>
      <w:r>
        <w:br w:type="page"/>
      </w:r>
    </w:p>
    <w:p>
      <w:pPr>
        <w:pStyle w:val="Heading1"/>
        <w:spacing w:after="120" w:before="300"/>
      </w:pPr>
      <w:r>
        <w:rPr>
          <w:rFonts w:ascii="Arial" w:cs="Arial" w:eastAsia="Arial" w:hAnsi="Arial"/>
          <w:b/>
          <w:bCs/>
          <w:color w:val="1F4E79"/>
          <w:sz w:val="28"/>
          <w:szCs w:val="28"/>
        </w:rPr>
        <w:t xml:space="preserve">11. Conclusion</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This project successfully designed, implemented, and evaluated a comprehensive fraud detection pipeline progressing from classical machine learning baselines to a GPU-optimized deep learning architecture. Beginning with an exploratory analysis that quantified the fundamental 578:1 class imbalance, through three rigorously evaluated baseline models, to a five-layer DNN with state-of-the-art regularization and optimization, the system demonstrates the measurable advantage of deep learning for this classification task.</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GPU-optimized DNN — incorporating SMOTE oversampling, pos_weight-adjusted BCEWithLogitsLoss, WeightedRandomSampler, and automated precision-recall threshold optimization — achieves a fraud Precision of 0.90, Recall of 0.72, F1-score of 0.80, ROC-AUC of 0.97, and Average Precision of 0.80 on the held-out test set. These results represent a substantial improvement over the CPU configuration (F1 = 0.49, Precision = 0.34) and exceed all three classical baselines on the primary evaluation criteria. The Random Forest, with its F1-score of 0.84 and Precision of 0.96, remains the most competitive classical baseline, confirming the robustness of ensemble methods for imbalanced binary classification. However, the DNN’s capacity to learn complex, non-linear representations of the latent fraud signal embedded within anonymized PCA features provides a discriminative advantage that classical models cannot replicate.</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The most significant methodological insight from this project is that threshold optimization — replacing a fixed heuristic threshold with the F1-optimal value derived from the precision-recall curve — was the single largest contributor to performance improvement, increasing Precision from 0.34 to 0.90. This finding generalizes beyond the specific model architecture and represents a critical best practice for any imbalanced classification deployment.</w:t>
      </w:r>
    </w:p>
    <w:p>
      <w:r>
        <w:br w:type="page"/>
      </w:r>
    </w:p>
    <w:p>
      <w:pPr>
        <w:pStyle w:val="Heading1"/>
        <w:spacing w:after="120" w:before="300"/>
      </w:pPr>
      <w:r>
        <w:rPr>
          <w:rFonts w:ascii="Arial" w:cs="Arial" w:eastAsia="Arial" w:hAnsi="Arial"/>
          <w:b/>
          <w:bCs/>
          <w:color w:val="1F4E79"/>
          <w:sz w:val="28"/>
          <w:szCs w:val="28"/>
        </w:rPr>
        <w:t xml:space="preserve">References</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[1] Dal Pozzolo, A., Caelen, O., Johnson, R. A., &amp; Bontempi, G. (2015). Calibrating Probability with Undersampling for Unbalanced Classification. IEEE Symposium Series on Computational Intelligence (SSCI), 2015.</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[2] Chawla, N. V., Bowyer, K. W., Hall, L. O., &amp; Kegelmeyer, W. P. (2002). SMOTE: Synthetic Minority Over-sampling Technique. Journal of Artificial Intelligence Research, 16, 321–357.</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[3] Fiore, U., De Santis, A., Perla, F., Zanetti, P., &amp; Palmieri, F. (2019). Using generative adversarial networks for improving classification effectiveness in credit card fraud detection. Information Sciences, 479, 448–455.</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[4] Lemaître, G., Nogueira, F., &amp; Aridas, C. K. (2017). Imbalanced-learn: A Python Toolbox to Tackle the Curse of Imbalanced Datasets in Machine Learning. Journal of Machine Learning Research, 18(17), 1–5.</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[5] Paszke, A., et al. (2019). PyTorch: An Imperative Style, High-Performance Deep Learning Library. Advances in Neural Information Processing Systems, 32.</w:t>
      </w:r>
    </w:p>
    <w:p>
      <w:pPr>
        <w:spacing w:after="120" w:before="60" w:line="276"/>
        <w:jc w:val="both"/>
      </w:pPr>
      <w:r>
        <w:rPr>
          <w:rFonts w:ascii="Times New Roman" w:cs="Times New Roman" w:eastAsia="Times New Roman" w:hAnsi="Times New Roman"/>
          <w:b w:val="false"/>
          <w:bCs w:val="false"/>
          <w:i w:val="false"/>
          <w:iCs w:val="false"/>
          <w:caps w:val="false"/>
          <w:color w:val="000000"/>
          <w:sz w:val="22"/>
          <w:szCs w:val="22"/>
        </w:rPr>
        <w:t xml:space="preserve">[6] ULB Machine Learning Group. (2013). Credit Card Fraud Detection Dataset. Kaggle. https://www.kaggle.com/datasets/mlg-ulb/creditcardfraud</w:t>
      </w:r>
    </w:p>
    <w:p>
      <w:r>
        <w:br w:type="page"/>
      </w:r>
    </w:p>
    <w:p>
      <w:pPr>
        <w:pStyle w:val="Heading1"/>
        <w:spacing w:after="120" w:before="300"/>
      </w:pPr>
      <w:r>
        <w:rPr>
          <w:rFonts w:ascii="Arial" w:cs="Arial" w:eastAsia="Arial" w:hAnsi="Arial"/>
          <w:b/>
          <w:bCs/>
          <w:color w:val="1F4E79"/>
          <w:sz w:val="28"/>
          <w:szCs w:val="28"/>
        </w:rPr>
        <w:t xml:space="preserve">Appendix A: Work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400"/>
      </w:tblGrid>
      <w:tr>
        <w:trPr>
          <w:tblHeader/>
        </w:trPr>
        <w:tc>
          <w:tcPr>
            <w:tcW w:type="dxa" w:w="42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Responsibility</w:t>
            </w:r>
          </w:p>
        </w:tc>
        <w:tc>
          <w:tcPr>
            <w:tcW w:type="dxa" w:w="27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Contributor</w:t>
            </w:r>
          </w:p>
        </w:tc>
        <w:tc>
          <w:tcPr>
            <w:tcW w:type="dxa" w:w="24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Student ID</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Exploratory Data Analysis (EDA)</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Ziad Reda Mohamed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120220348</w:t>
            </w:r>
          </w:p>
        </w:tc>
      </w:tr>
      <w:tr>
        <w:tc>
          <w:tcPr>
            <w:tcW w:type="dxa" w:w="4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Baseline models (LR, DT, RF)</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Ziad Reda Mohamed</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120220348</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Baseline metrics &amp; confusion matrices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Ziad Reda Mohamed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120220348</w:t>
            </w:r>
          </w:p>
        </w:tc>
      </w:tr>
      <w:tr>
        <w:tc>
          <w:tcPr>
            <w:tcW w:type="dxa" w:w="4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Problem identification slides</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Ziad Reda Mohamed</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120220348</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DNN architecture &amp; training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Youssef Yasser Serry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120220129</w:t>
            </w:r>
          </w:p>
        </w:tc>
      </w:tr>
      <w:tr>
        <w:tc>
          <w:tcPr>
            <w:tcW w:type="dxa" w:w="4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DNN metrics &amp; evaluation</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Youssef Yasser Serry</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120220129</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Optimization (SMOTE, class weighting, threshold)</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Youssef Yasser Serry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120220129</w:t>
            </w:r>
          </w:p>
        </w:tc>
      </w:tr>
      <w:tr>
        <w:tc>
          <w:tcPr>
            <w:tcW w:type="dxa" w:w="4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Live demo (Python application)</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Youssef Yasser Serry</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120220129</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Technical report compilation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Both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r>
    </w:tbl>
    <w:p>
      <w:pPr>
        <w:spacing w:after="160" w:before="60"/>
        <w:jc w:val="center"/>
      </w:pPr>
      <w:r>
        <w:rPr>
          <w:rFonts w:ascii="Times New Roman" w:cs="Times New Roman" w:eastAsia="Times New Roman" w:hAnsi="Times New Roman"/>
          <w:i/>
          <w:iCs/>
          <w:color w:val="555555"/>
          <w:sz w:val="20"/>
          <w:szCs w:val="20"/>
        </w:rPr>
        <w:t xml:space="preserve">Table A1: Project work distribution</w:t>
      </w:r>
    </w:p>
    <w:p>
      <w:pPr>
        <w:pStyle w:val="Heading1"/>
        <w:spacing w:after="120" w:before="300"/>
      </w:pPr>
      <w:r>
        <w:rPr>
          <w:rFonts w:ascii="Arial" w:cs="Arial" w:eastAsia="Arial" w:hAnsi="Arial"/>
          <w:b/>
          <w:bCs/>
          <w:color w:val="1F4E79"/>
          <w:sz w:val="28"/>
          <w:szCs w:val="28"/>
        </w:rPr>
        <w:t xml:space="preserve">Appendix B: Code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 Directory</w:t>
            </w:r>
          </w:p>
        </w:tc>
        <w:tc>
          <w:tcPr>
            <w:tcW w:type="dxa" w:w="6560"/>
            <w:gridSpan w:val="1"/>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train.py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Original DNN pipeline (CPU configuration, threshold = 0.95)</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train_gpu.py</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Optimized pipeline: LR = 5e-4, epochs = 100, patience = 15, dropout = 0.20, auto threshold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demo/demo.py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Live inference demo — loads saved .pt weights and runs predictions on unseen transactions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models/dnn_fraud.pt</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Saved best-checkpoint DNN weights (PyTorch state dict)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results/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Training curves, confusion matrix, ROC curve, P-R curve, metrics.json</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requirements.txt</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Python package dependencies for reproducibility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README.md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Setup instructions, architecture description, reproducibility guide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data/</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Directory for creditcard.csv (downloaded separately from Kaggle)</w:t>
            </w:r>
          </w:p>
        </w:tc>
      </w:tr>
    </w:tbl>
    <w:p>
      <w:pPr>
        <w:spacing w:after="160" w:before="60"/>
        <w:jc w:val="center"/>
      </w:pPr>
      <w:r>
        <w:rPr>
          <w:rFonts w:ascii="Times New Roman" w:cs="Times New Roman" w:eastAsia="Times New Roman" w:hAnsi="Times New Roman"/>
          <w:i/>
          <w:iCs/>
          <w:color w:val="555555"/>
          <w:sz w:val="20"/>
          <w:szCs w:val="20"/>
        </w:rPr>
        <w:t xml:space="preserve">Table B1: Code repository structure and file descriptions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7"/>
        <w:szCs w:val="17"/>
      </w:rPr>
      <w:t xml:space="preserve">Ziad Reda Mohamed (120220348)  •  Youssef Yasser Serry (120220129)</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20"/>
    </w:pPr>
    <w:r>
      <w:rPr>
        <w:rFonts w:ascii="Arial" w:cs="Arial" w:eastAsia="Arial" w:hAnsi="Arial"/>
        <w:b/>
        <w:bCs/>
        <w:color w:val="2E75B6"/>
        <w:sz w:val="18"/>
        <w:szCs w:val="18"/>
      </w:rPr>
      <w:t xml:space="preserve">Fraud Detection System</w:t>
    </w:r>
    <w:r>
      <w:rPr>
        <w:rFonts w:ascii="Arial" w:cs="Arial" w:eastAsia="Arial" w:hAnsi="Arial"/>
        <w:color w:val="888888"/>
        <w:sz w:val="18"/>
        <w:szCs w:val="18"/>
      </w:rPr>
      <w:t xml:space="preserve">	Deep Learning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2026-05-14T07:34:42.327Z</dcterms:created>
  <dcterms:modified xsi:type="dcterms:W3CDTF">2026-05-14T07:34:42.328Z</dcterms:modified>
</cp:coreProperties>
</file>

<file path=docProps/custom.xml><?xml version="1.0" encoding="utf-8"?>
<Properties xmlns="http://schemas.openxmlformats.org/officeDocument/2006/custom-properties" xmlns:vt="http://schemas.openxmlformats.org/officeDocument/2006/docPropsVTypes"/>
</file>