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Scenario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tourists will enter the museum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The tourist approaches a statue of a pharaoh and wants to know more about that figure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tourist will open the smart museum application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application will automatically open his phones camera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tourist will scan the TUIO code with his/her camera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 picture of this pharaoh will appear on his mobile phone along with description of this pharaoh</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tourist will have an option to play this description on audio format, which would be useful in certain cases such as visually impaired individuals or people who are unable to read</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tourist can do all the previous steps with all the status and figures within the museum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