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4E8CF" w14:textId="2B334A00" w:rsidR="00E81978" w:rsidRDefault="00B556CB" w:rsidP="00E92B66">
      <w:pPr>
        <w:pStyle w:val="Title"/>
      </w:pPr>
      <w:sdt>
        <w:sdtPr>
          <w:alias w:val="Title:"/>
          <w:tag w:val="Title:"/>
          <w:id w:val="726351117"/>
          <w:placeholder>
            <w:docPart w:val="BABD897EA3B24337ABE8AAFB56F842E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3472C">
            <w:t>A comparison between COVID-19 variants (Delta and Omicron)</w:t>
          </w:r>
        </w:sdtContent>
      </w:sdt>
    </w:p>
    <w:p w14:paraId="511E8156" w14:textId="77777777" w:rsidR="0071020B" w:rsidRDefault="0071020B" w:rsidP="00B823AA">
      <w:pPr>
        <w:pStyle w:val="Title2"/>
      </w:pPr>
    </w:p>
    <w:p w14:paraId="0E443F9E" w14:textId="4CFAD72B" w:rsidR="00B823AA" w:rsidRDefault="000B3190" w:rsidP="00B823AA">
      <w:pPr>
        <w:pStyle w:val="Title2"/>
      </w:pPr>
      <w:proofErr w:type="spellStart"/>
      <w:r>
        <w:t>Safwa</w:t>
      </w:r>
      <w:bookmarkStart w:id="0" w:name="_GoBack"/>
      <w:bookmarkEnd w:id="0"/>
      <w:r>
        <w:t>n</w:t>
      </w:r>
      <w:proofErr w:type="spellEnd"/>
      <w:r>
        <w:t xml:space="preserve"> Mohamed</w:t>
      </w:r>
      <w:r w:rsidR="0071020B">
        <w:t>, Sec: 1, BN: 43</w:t>
      </w:r>
    </w:p>
    <w:p w14:paraId="0905C270" w14:textId="5AE37D38" w:rsidR="000B3190" w:rsidRDefault="000B3190" w:rsidP="00B823AA">
      <w:pPr>
        <w:pStyle w:val="Title2"/>
      </w:pPr>
      <w:proofErr w:type="spellStart"/>
      <w:r>
        <w:t>Laila</w:t>
      </w:r>
      <w:proofErr w:type="spellEnd"/>
      <w:r>
        <w:t xml:space="preserve"> Hamdy</w:t>
      </w:r>
      <w:r w:rsidR="0071020B">
        <w:t>, Sec: 2, BN: 8</w:t>
      </w:r>
    </w:p>
    <w:p w14:paraId="722812A5" w14:textId="6447B8CA" w:rsidR="000B3190" w:rsidRDefault="000B3190" w:rsidP="00B823AA">
      <w:pPr>
        <w:pStyle w:val="Title2"/>
      </w:pPr>
      <w:proofErr w:type="spellStart"/>
      <w:r>
        <w:t>Nouran</w:t>
      </w:r>
      <w:proofErr w:type="spellEnd"/>
      <w:r>
        <w:t xml:space="preserve"> </w:t>
      </w:r>
      <w:proofErr w:type="spellStart"/>
      <w:r w:rsidR="004068C3">
        <w:t>FakhrEldin</w:t>
      </w:r>
      <w:proofErr w:type="spellEnd"/>
      <w:r w:rsidR="0071020B">
        <w:t>, Sec: 2, BN: 40</w:t>
      </w:r>
    </w:p>
    <w:p w14:paraId="0DD0FA27" w14:textId="5A38B815" w:rsidR="000B3190" w:rsidRDefault="000B3190" w:rsidP="00B823AA">
      <w:pPr>
        <w:pStyle w:val="Title2"/>
      </w:pPr>
      <w:r>
        <w:t xml:space="preserve">Youssef </w:t>
      </w:r>
      <w:proofErr w:type="spellStart"/>
      <w:r>
        <w:t>Shawki</w:t>
      </w:r>
      <w:proofErr w:type="spellEnd"/>
      <w:r w:rsidR="0071020B">
        <w:t>, Sec: 2, BN: 51</w:t>
      </w:r>
    </w:p>
    <w:p w14:paraId="6B4951E2" w14:textId="291CAA7F" w:rsidR="00E81978" w:rsidRDefault="000B3190" w:rsidP="00B823AA">
      <w:pPr>
        <w:pStyle w:val="Title2"/>
      </w:pPr>
      <w:r>
        <w:t>Under Supervision of:</w:t>
      </w:r>
    </w:p>
    <w:p w14:paraId="4BC59298" w14:textId="1E43C30A" w:rsidR="000B3190" w:rsidRPr="000B3190" w:rsidRDefault="000B3190" w:rsidP="00B823AA">
      <w:pPr>
        <w:pStyle w:val="Title2"/>
        <w:rPr>
          <w:b/>
          <w:bCs/>
        </w:rPr>
      </w:pPr>
      <w:r w:rsidRPr="000B3190">
        <w:rPr>
          <w:b/>
          <w:bCs/>
        </w:rPr>
        <w:t>Dr. Ibrahim Mohamed Youssef, PhD</w:t>
      </w:r>
    </w:p>
    <w:p w14:paraId="76D741DC" w14:textId="535FE28A" w:rsidR="00E81978" w:rsidRDefault="00E81978">
      <w:pPr>
        <w:pStyle w:val="Title"/>
      </w:pPr>
    </w:p>
    <w:p w14:paraId="3B069161" w14:textId="76A383F7" w:rsidR="00E81978" w:rsidRDefault="00E81978" w:rsidP="00B823AA">
      <w:pPr>
        <w:pStyle w:val="Title2"/>
      </w:pPr>
    </w:p>
    <w:sdt>
      <w:sdtPr>
        <w:alias w:val="Abstract:"/>
        <w:tag w:val="Abstract:"/>
        <w:id w:val="202146031"/>
        <w:placeholder>
          <w:docPart w:val="9812EDC52F4A40DA836EEFA8837D8D80"/>
        </w:placeholder>
        <w:temporary/>
        <w:showingPlcHdr/>
      </w:sdtPr>
      <w:sdtEndPr/>
      <w:sdtContent>
        <w:p w14:paraId="060404D8" w14:textId="77777777" w:rsidR="00E81978" w:rsidRDefault="005D3A03">
          <w:pPr>
            <w:pStyle w:val="SectionTitle"/>
          </w:pPr>
          <w:r w:rsidRPr="002C7407">
            <w:rPr>
              <w:b/>
              <w:bCs/>
            </w:rPr>
            <w:t>Abstract</w:t>
          </w:r>
        </w:p>
      </w:sdtContent>
    </w:sdt>
    <w:p w14:paraId="633A7456" w14:textId="734FF1A4" w:rsidR="00E81978" w:rsidRDefault="0080203D">
      <w:pPr>
        <w:pStyle w:val="NoSpacing"/>
      </w:pPr>
      <w:r w:rsidRPr="0080203D">
        <w:t>In this paper, we are examining the similarities and differences between Delta and Omicron variants of SARS-COV-2 virus. In order to do that, we have constructed a consensus sequence for 10 sequences of SARS-COV-2 Delta variant, called the reference sequence, and applied multiple sequence alignment for our 10 sequences of SARS-COV-2 Omicron variant being the case sequences</w:t>
      </w:r>
      <w:r w:rsidR="00064FC9">
        <w:t>, all the sequences were obtained from Ghana</w:t>
      </w:r>
      <w:r w:rsidRPr="0080203D">
        <w:t>. We have executed several methods for comparison: Constructed a phylogenetic tree, calculated average percentage of the chemical constituents (C, G, T, and A) and the CG content and extracted the dissimilar regions</w:t>
      </w:r>
      <w:r>
        <w:t xml:space="preserve"> between the aligned omicron sequences and the consensus sequence</w:t>
      </w:r>
      <w:r w:rsidRPr="0080203D">
        <w:t xml:space="preserve">. </w:t>
      </w:r>
      <w:r w:rsidRPr="002C7407">
        <w:t>The results of the comparison show that there are indeed similarities between the two variants.</w:t>
      </w:r>
    </w:p>
    <w:p w14:paraId="548DE4FA" w14:textId="3CEF9E3B" w:rsidR="00E81978" w:rsidRDefault="005D3A03">
      <w:r>
        <w:rPr>
          <w:rStyle w:val="Emphasis"/>
        </w:rPr>
        <w:t>Keywords</w:t>
      </w:r>
      <w:r>
        <w:t xml:space="preserve">:  </w:t>
      </w:r>
      <w:r w:rsidR="00A41D08" w:rsidRPr="0080203D">
        <w:t>SARS-COV-2</w:t>
      </w:r>
      <w:r w:rsidR="00A41D08">
        <w:t>, Delta, Omicron</w:t>
      </w:r>
    </w:p>
    <w:p w14:paraId="62962D93" w14:textId="066AB523" w:rsidR="00E81978" w:rsidRPr="002C7407" w:rsidRDefault="00B556CB">
      <w:pPr>
        <w:pStyle w:val="SectionTitle"/>
        <w:rPr>
          <w:b/>
          <w:bCs/>
        </w:rPr>
      </w:pPr>
      <w:sdt>
        <w:sdtPr>
          <w:rPr>
            <w:b/>
            <w:bCs/>
          </w:rPr>
          <w:alias w:val="Section title:"/>
          <w:tag w:val="Section title:"/>
          <w:id w:val="984196707"/>
          <w:placeholder>
            <w:docPart w:val="3F9D92C7D836453ABE1DCDB7C6D1872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E92B66">
            <w:rPr>
              <w:rFonts w:hint="cs"/>
              <w:b/>
              <w:bCs/>
              <w:lang w:bidi="ar-EG"/>
            </w:rPr>
            <w:t>A comparison between COVID-19 variants (Delta and Omicron</w:t>
          </w:r>
          <w:r w:rsidR="00E92B66">
            <w:rPr>
              <w:rFonts w:hint="cs"/>
              <w:b/>
              <w:bCs/>
              <w:rtl/>
              <w:lang w:bidi="ar-EG"/>
            </w:rPr>
            <w:t>)</w:t>
          </w:r>
        </w:sdtContent>
      </w:sdt>
    </w:p>
    <w:p w14:paraId="47070DE4" w14:textId="74ACC8E7" w:rsidR="00835330" w:rsidRPr="00835330" w:rsidRDefault="00835330" w:rsidP="00835330">
      <w:pPr>
        <w:ind w:firstLine="0"/>
        <w:jc w:val="center"/>
        <w:rPr>
          <w:b/>
          <w:bCs/>
        </w:rPr>
      </w:pPr>
      <w:r w:rsidRPr="00835330">
        <w:rPr>
          <w:b/>
          <w:bCs/>
        </w:rPr>
        <w:t>Introduction</w:t>
      </w:r>
    </w:p>
    <w:p w14:paraId="365F49AD" w14:textId="5B9757CC" w:rsidR="00E81978" w:rsidRDefault="00073466">
      <w:r>
        <w:t>Since the start of COVID-19 pandemic era, the mentioned virus has undergone multiple mutations as it spreads across countries worldwide, which le</w:t>
      </w:r>
      <w:r w:rsidR="00D91E52">
        <w:t xml:space="preserve">d to emergence of variants with new characteristics other than the first variant. However, the most concerning variants are considered to be Delta and Omicron, with the latter being the last </w:t>
      </w:r>
      <w:r w:rsidR="006F45BC">
        <w:t>variant to be discovered. The common factor between these two variants which puts them on top of the danger scale is the spreading rate, which is being rising to its spike recently, thanks to the Omicron variant that was discovered first in Botswana and South Africa.</w:t>
      </w:r>
    </w:p>
    <w:p w14:paraId="542693EF" w14:textId="53F6A811" w:rsidR="009B1280" w:rsidRDefault="009B1280" w:rsidP="009B1280">
      <w:pPr>
        <w:rPr>
          <w:rtl/>
          <w:lang w:bidi="ar-EG"/>
        </w:rPr>
      </w:pPr>
      <w:r>
        <w:t>It is necessary to utilize techniques of bioinformatics such as sequence alignment and phylogenetic trees to differentiate between Delta and Omicron in terms of genetics, and hence, capture an idea on the current situation scientifically and how to deal with it.</w:t>
      </w:r>
    </w:p>
    <w:p w14:paraId="009A538F" w14:textId="14B5AB29" w:rsidR="00E81978" w:rsidRDefault="002264D5">
      <w:pPr>
        <w:pStyle w:val="Heading1"/>
      </w:pPr>
      <w:r>
        <w:t>Methods</w:t>
      </w:r>
    </w:p>
    <w:p w14:paraId="6FEB05E8" w14:textId="34B3F0C8" w:rsidR="005A4A76" w:rsidRDefault="00F7543C" w:rsidP="005A4A76">
      <w:pPr>
        <w:ind w:firstLine="0"/>
      </w:pPr>
      <w:r>
        <w:tab/>
        <w:t xml:space="preserve">In order to acquire a general overview on the difference between Delta and Omicron through construction of a phylogenetic tree as well as inspecting the chemical constituents of the gathered set of nucleotide sequences, </w:t>
      </w:r>
      <w:r w:rsidR="005A4A76">
        <w:t>an optimized mixture of coding as well as software techniques were involved in such a process.</w:t>
      </w:r>
    </w:p>
    <w:p w14:paraId="5C0C5895" w14:textId="3D51428D" w:rsidR="00E81978" w:rsidRPr="00C31D30" w:rsidRDefault="005A4A76" w:rsidP="00C31D30">
      <w:pPr>
        <w:pStyle w:val="Heading2"/>
      </w:pPr>
      <w:r>
        <w:t>MEGA</w:t>
      </w:r>
    </w:p>
    <w:p w14:paraId="60AF26CA" w14:textId="65C0F083" w:rsidR="00E81978" w:rsidRDefault="005A4A76">
      <w:pPr>
        <w:pStyle w:val="NoSpacing"/>
      </w:pPr>
      <w:r>
        <w:t xml:space="preserve">MEGA (Molecular Evolutionary Genetics Analysis), is a </w:t>
      </w:r>
      <w:r w:rsidR="002B151B">
        <w:t xml:space="preserve">computer software released initially in 1993 by </w:t>
      </w:r>
      <w:r w:rsidR="002B151B" w:rsidRPr="002B151B">
        <w:t>Pennsylvania State University</w:t>
      </w:r>
      <w:r w:rsidR="002B151B">
        <w:t>. MEGA is used for conducting statistical analysis of molecular evolution as well as construction of phylogenetic trees.</w:t>
      </w:r>
    </w:p>
    <w:p w14:paraId="32227B3B" w14:textId="30D0C595" w:rsidR="00A55184" w:rsidRPr="00C31D30" w:rsidRDefault="00A55184" w:rsidP="00A55184">
      <w:pPr>
        <w:pStyle w:val="Heading2"/>
      </w:pPr>
      <w:proofErr w:type="spellStart"/>
      <w:r>
        <w:lastRenderedPageBreak/>
        <w:t>Biopython</w:t>
      </w:r>
      <w:proofErr w:type="spellEnd"/>
    </w:p>
    <w:p w14:paraId="35D7C80D" w14:textId="13DBD9A6" w:rsidR="00A55184" w:rsidRDefault="00A55184" w:rsidP="00A55184">
      <w:pPr>
        <w:pStyle w:val="NoSpacing"/>
      </w:pPr>
      <w:proofErr w:type="spellStart"/>
      <w:r>
        <w:t>Biopython</w:t>
      </w:r>
      <w:proofErr w:type="spellEnd"/>
      <w:r>
        <w:t xml:space="preserve"> is a set of open-source tools written in Python</w:t>
      </w:r>
      <w:r w:rsidR="00F140CF">
        <w:t xml:space="preserve"> by international team of developers</w:t>
      </w:r>
      <w:r>
        <w:t xml:space="preserve"> used in </w:t>
      </w:r>
      <w:r w:rsidR="00F140CF">
        <w:t>b</w:t>
      </w:r>
      <w:r>
        <w:t xml:space="preserve">iological </w:t>
      </w:r>
      <w:r w:rsidR="00F140CF">
        <w:t>computation. It is considered as the most popular python library in terms of serving the bioinformatics field.</w:t>
      </w:r>
    </w:p>
    <w:p w14:paraId="57F74387" w14:textId="4A94DB3E" w:rsidR="00F140CF" w:rsidRPr="00C31D30" w:rsidRDefault="005E112F" w:rsidP="00F140CF">
      <w:pPr>
        <w:pStyle w:val="Heading2"/>
      </w:pPr>
      <w:r>
        <w:t>P</w:t>
      </w:r>
      <w:r w:rsidR="00F140CF">
        <w:t>rocedure</w:t>
      </w:r>
    </w:p>
    <w:p w14:paraId="74395ED0" w14:textId="06D77159" w:rsidR="00F140CF" w:rsidRDefault="00B63B58" w:rsidP="00F140CF">
      <w:pPr>
        <w:pStyle w:val="NoSpacing"/>
      </w:pPr>
      <w:r>
        <w:t xml:space="preserve">The data used in the analysis is </w:t>
      </w:r>
      <w:bookmarkStart w:id="1" w:name="_Hlk92618138"/>
      <w:r>
        <w:t>10 sequences of SARS-COV-2 Delta variant and 10 sequences of SARS-COV-2 Omicron variant,</w:t>
      </w:r>
      <w:bookmarkEnd w:id="1"/>
      <w:r>
        <w:t xml:space="preserve"> both of which are obtained from Ghana.</w:t>
      </w:r>
    </w:p>
    <w:p w14:paraId="122406DA" w14:textId="7D813643" w:rsidR="00B63B58" w:rsidRDefault="00B63B58" w:rsidP="00F140CF">
      <w:pPr>
        <w:pStyle w:val="NoSpacing"/>
      </w:pPr>
      <w:r>
        <w:t xml:space="preserve">Initially, MEGA was used to apply MSA (Multiple Sequence Alignment) to the </w:t>
      </w:r>
      <w:r w:rsidR="00B65BA6">
        <w:t>D</w:t>
      </w:r>
      <w:r>
        <w:t>elta variant sequence</w:t>
      </w:r>
      <w:r w:rsidR="007F4234">
        <w:t>s (Reference Sequences)</w:t>
      </w:r>
      <w:r w:rsidR="00B65BA6">
        <w:t>, as well as Omicron variant sequences (Case Sequences)</w:t>
      </w:r>
      <w:r>
        <w:t xml:space="preserve">, which leads to the next step of constructing </w:t>
      </w:r>
      <w:r w:rsidR="001824F1">
        <w:t>a representative</w:t>
      </w:r>
      <w:r>
        <w:t xml:space="preserve"> sequence</w:t>
      </w:r>
      <w:r w:rsidR="001824F1">
        <w:t xml:space="preserve"> from the alignment result </w:t>
      </w:r>
      <w:r w:rsidR="00B65BA6">
        <w:t xml:space="preserve">of the reference sequences </w:t>
      </w:r>
      <w:r w:rsidR="001824F1">
        <w:t>which is called “Consensus Sequence”.</w:t>
      </w:r>
    </w:p>
    <w:p w14:paraId="58C00342" w14:textId="77777777" w:rsidR="00263023" w:rsidRDefault="001824F1" w:rsidP="00F140CF">
      <w:pPr>
        <w:pStyle w:val="NoSpacing"/>
      </w:pPr>
      <w:r>
        <w:t>The consensus sequence is acquired through a python code which takes the output of the MSA</w:t>
      </w:r>
      <w:r w:rsidR="00B65BA6">
        <w:t xml:space="preserve"> of reference sequences</w:t>
      </w:r>
      <w:r>
        <w:t xml:space="preserve"> and computes the most dominant nucleotide across the sequences at a specific location, and concatenating them together</w:t>
      </w:r>
      <w:r w:rsidR="00B65BA6">
        <w:t xml:space="preserve"> eventually.</w:t>
      </w:r>
    </w:p>
    <w:p w14:paraId="5853788E" w14:textId="45CB9773" w:rsidR="00263023" w:rsidRDefault="00263023" w:rsidP="00F140CF">
      <w:pPr>
        <w:pStyle w:val="NoSpacing"/>
      </w:pPr>
      <w:r>
        <w:t>Next, MEGA was used again to construct a phylogenetic tree between all the 20 sequences, which will be later used in discussion of the results of the analysis</w:t>
      </w:r>
      <w:r w:rsidR="0010295C">
        <w:t>.</w:t>
      </w:r>
    </w:p>
    <w:p w14:paraId="1D929F17" w14:textId="68BFF9D7" w:rsidR="001824F1" w:rsidRDefault="00263023" w:rsidP="00F140CF">
      <w:pPr>
        <w:pStyle w:val="NoSpacing"/>
      </w:pPr>
      <w:r>
        <w:t>For the sake of having a deeper view for the d</w:t>
      </w:r>
      <w:r w:rsidR="00841A7D">
        <w:t>ata as well as obtaining more evidence on the genetic difference between Delta and Omicron, chemical constituents (C,</w:t>
      </w:r>
      <w:r w:rsidR="0010295C">
        <w:t xml:space="preserve"> </w:t>
      </w:r>
      <w:r w:rsidR="00841A7D">
        <w:t>G,</w:t>
      </w:r>
      <w:r w:rsidR="0010295C">
        <w:t xml:space="preserve"> </w:t>
      </w:r>
      <w:r w:rsidR="00841A7D">
        <w:t>A and T) of the 20 sequences were computed in average, exhibited and analyzed with the help of the Python library Pandas and Microsoft Excel</w:t>
      </w:r>
      <w:r w:rsidR="0010295C">
        <w:t>.</w:t>
      </w:r>
    </w:p>
    <w:p w14:paraId="27E09F73" w14:textId="43C6DDEA" w:rsidR="00FE4542" w:rsidRDefault="00FE4542" w:rsidP="00F140CF">
      <w:pPr>
        <w:pStyle w:val="NoSpacing"/>
      </w:pPr>
    </w:p>
    <w:p w14:paraId="5F220CA9" w14:textId="384C8FE7" w:rsidR="004068C3" w:rsidRDefault="004068C3" w:rsidP="00F140CF">
      <w:pPr>
        <w:pStyle w:val="NoSpacing"/>
      </w:pPr>
    </w:p>
    <w:p w14:paraId="6C3968F5" w14:textId="77777777" w:rsidR="004068C3" w:rsidRDefault="004068C3" w:rsidP="00F140CF">
      <w:pPr>
        <w:pStyle w:val="NoSpacing"/>
      </w:pPr>
    </w:p>
    <w:p w14:paraId="63E06C5F" w14:textId="083F8EB4" w:rsidR="0010295C" w:rsidRDefault="00B97ACE" w:rsidP="00E0555D">
      <w:pPr>
        <w:pStyle w:val="NoSpacing"/>
      </w:pPr>
      <w:r w:rsidRPr="00A41D08">
        <w:lastRenderedPageBreak/>
        <w:t xml:space="preserve">Lastly, the case sequences were aligned with the consensus sequence using MEGA, then the output was passed to a python code which computed the dissimilar regions between them. </w:t>
      </w:r>
      <w:r w:rsidR="00E0555D">
        <w:t xml:space="preserve">In order to enable us to compare between the 10 case sequences and the consensus sequence, we had to construct a sequence which should represent the case sequences to ease the comparison. This representative sequence was constructed through checking for </w:t>
      </w:r>
      <w:r w:rsidR="00B45CFC" w:rsidRPr="00A41D08">
        <w:t xml:space="preserve">a minimum threshold of 70% of similarity between nucleotides of the case sequences in each column in order to be taken into </w:t>
      </w:r>
      <w:bookmarkStart w:id="2" w:name="_Hlk92620025"/>
      <w:r w:rsidR="00B45CFC" w:rsidRPr="00A41D08">
        <w:t xml:space="preserve">consideration </w:t>
      </w:r>
      <w:bookmarkEnd w:id="2"/>
      <w:r w:rsidR="00B45CFC" w:rsidRPr="00A41D08">
        <w:t>during comparison with the consensus sequence</w:t>
      </w:r>
      <w:r w:rsidR="00B52D5D" w:rsidRPr="00A41D08">
        <w:t>.</w:t>
      </w:r>
      <w:r w:rsidR="00E0555D">
        <w:t xml:space="preserve"> If this threshold is met</w:t>
      </w:r>
      <w:r w:rsidR="002D4DDF">
        <w:t>,</w:t>
      </w:r>
      <w:r w:rsidR="00E0555D">
        <w:t xml:space="preserve"> the dominant nucleotide is placed in the </w:t>
      </w:r>
      <w:r w:rsidR="001E279C">
        <w:t xml:space="preserve">resulting </w:t>
      </w:r>
      <w:r w:rsidR="00E0555D">
        <w:t>representative</w:t>
      </w:r>
      <w:r w:rsidR="001E279C">
        <w:t xml:space="preserve"> at the same location</w:t>
      </w:r>
      <w:r w:rsidR="00E0555D">
        <w:t xml:space="preserve">, if the threshold is not met, ‘D’ is placed, which stands for “don’t care”, which wouldn’t be taken in </w:t>
      </w:r>
      <w:r w:rsidR="00E0555D" w:rsidRPr="00E0555D">
        <w:t xml:space="preserve">consideration </w:t>
      </w:r>
      <w:r w:rsidR="00E0555D">
        <w:t xml:space="preserve">in </w:t>
      </w:r>
      <w:r w:rsidR="001E279C">
        <w:t xml:space="preserve">the process of </w:t>
      </w:r>
      <w:r w:rsidR="00E0555D">
        <w:t xml:space="preserve">extracting the dissimilar regions. </w:t>
      </w:r>
      <w:r w:rsidR="00B52D5D" w:rsidRPr="00A41D08">
        <w:t xml:space="preserve">This assumption </w:t>
      </w:r>
      <w:r w:rsidR="00E0555D">
        <w:t>might be</w:t>
      </w:r>
      <w:r w:rsidR="00B52D5D" w:rsidRPr="00A41D08">
        <w:t xml:space="preserve"> considered a compromise between the accuracy of the output and the ease of coding.</w:t>
      </w:r>
      <w:r w:rsidR="001E279C">
        <w:t xml:space="preserve"> An </w:t>
      </w:r>
      <w:r w:rsidR="00F3472C">
        <w:t>example</w:t>
      </w:r>
      <w:r w:rsidR="001E279C">
        <w:t xml:space="preserve"> for how the function works is shown in the figure below, where the sequences are random for the sake of illustration, and the result is considered their representative sequence. </w:t>
      </w:r>
    </w:p>
    <w:p w14:paraId="554AFE86" w14:textId="3EE484C9" w:rsidR="00A7058D" w:rsidRDefault="00A7058D" w:rsidP="00FE4542">
      <w:pPr>
        <w:pStyle w:val="NoSpacing"/>
        <w:jc w:val="center"/>
      </w:pPr>
      <w:r>
        <w:rPr>
          <w:noProof/>
          <w:lang w:eastAsia="en-US"/>
        </w:rPr>
        <w:drawing>
          <wp:inline distT="0" distB="0" distL="0" distR="0" wp14:anchorId="4B80A134" wp14:editId="7F4619A8">
            <wp:extent cx="4667250" cy="27370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2737023"/>
                    </a:xfrm>
                    <a:prstGeom prst="rect">
                      <a:avLst/>
                    </a:prstGeom>
                  </pic:spPr>
                </pic:pic>
              </a:graphicData>
            </a:graphic>
          </wp:inline>
        </w:drawing>
      </w:r>
    </w:p>
    <w:p w14:paraId="5FC6EF54" w14:textId="75CD58AC" w:rsidR="00FE4542" w:rsidRDefault="00FE4542" w:rsidP="00FE4542">
      <w:pPr>
        <w:pStyle w:val="NoSpacing"/>
        <w:jc w:val="center"/>
      </w:pPr>
      <w:r>
        <w:t>Example for the representative sequence at 70% threshold.</w:t>
      </w:r>
    </w:p>
    <w:p w14:paraId="2F889672" w14:textId="1110CF51" w:rsidR="005E112F" w:rsidRDefault="001E279C" w:rsidP="00FE4542">
      <w:pPr>
        <w:pStyle w:val="NoSpacing"/>
      </w:pPr>
      <w:r>
        <w:lastRenderedPageBreak/>
        <w:t xml:space="preserve">After getting the representative of the case sequences, </w:t>
      </w:r>
      <w:r w:rsidR="00F3472C">
        <w:t>the resultant sequence was passed</w:t>
      </w:r>
      <w:r w:rsidR="00375AA1">
        <w:t xml:space="preserve"> to</w:t>
      </w:r>
      <w:r>
        <w:t xml:space="preserve"> another function that extracts the dissimilar regions/columns, where it returns the dissimilar region in both the case representative and the reference sequence and the indices of the start and end of the dissimilar region.</w:t>
      </w:r>
      <w:r w:rsidR="00FE4542">
        <w:t xml:space="preserve"> The dissimilar regions were then exported in an excel sheet with the format shown in the figure below. 230 dissimilar regions/columns were found.</w:t>
      </w:r>
    </w:p>
    <w:p w14:paraId="73E3BBA2" w14:textId="42730B07" w:rsidR="00FE4542" w:rsidRDefault="004B4A63" w:rsidP="004B4A63">
      <w:pPr>
        <w:pStyle w:val="NoSpacing"/>
      </w:pPr>
      <w:r>
        <w:rPr>
          <w:noProof/>
          <w:lang w:eastAsia="en-US"/>
        </w:rPr>
        <w:drawing>
          <wp:inline distT="0" distB="0" distL="0" distR="0" wp14:anchorId="527AEDA0" wp14:editId="3B079FCF">
            <wp:extent cx="5943600" cy="452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2755"/>
                    </a:xfrm>
                    <a:prstGeom prst="rect">
                      <a:avLst/>
                    </a:prstGeom>
                  </pic:spPr>
                </pic:pic>
              </a:graphicData>
            </a:graphic>
          </wp:inline>
        </w:drawing>
      </w:r>
    </w:p>
    <w:p w14:paraId="027BF704" w14:textId="77777777" w:rsidR="00FE4542" w:rsidRPr="00FE4542" w:rsidRDefault="00FE4542" w:rsidP="00FE4542">
      <w:pPr>
        <w:pStyle w:val="NoSpacing"/>
      </w:pPr>
    </w:p>
    <w:p w14:paraId="789771DA" w14:textId="588DCAA3" w:rsidR="005E112F" w:rsidRDefault="005E112F" w:rsidP="008E1A0F">
      <w:pPr>
        <w:pStyle w:val="Heading1"/>
        <w:rPr>
          <w:rtl/>
        </w:rPr>
      </w:pPr>
      <w:bookmarkStart w:id="3" w:name="_Hlk92625443"/>
      <w:r>
        <w:t>Results and Discussion</w:t>
      </w:r>
    </w:p>
    <w:bookmarkEnd w:id="3"/>
    <w:p w14:paraId="6D2404A3" w14:textId="74D78886" w:rsidR="00B52D5D" w:rsidRDefault="00BE6AC1" w:rsidP="00E92B66">
      <w:r>
        <w:t>I</w:t>
      </w:r>
      <w:r w:rsidR="002D2037">
        <w:t>n terms of comparison, the output data from the techniques mentioned in the previous section was collected and analyzed, and to be discussed below.</w:t>
      </w:r>
    </w:p>
    <w:p w14:paraId="7084BA52" w14:textId="3BDFD076" w:rsidR="00B97ACE" w:rsidRPr="00B97ACE" w:rsidRDefault="008E1A0F" w:rsidP="00B52D5D">
      <w:pPr>
        <w:pStyle w:val="Heading3"/>
      </w:pPr>
      <w:r>
        <w:t>Chemical Constituents</w:t>
      </w:r>
    </w:p>
    <w:tbl>
      <w:tblPr>
        <w:tblW w:w="8640" w:type="dxa"/>
        <w:jc w:val="center"/>
        <w:tblLook w:val="04A0" w:firstRow="1" w:lastRow="0" w:firstColumn="1" w:lastColumn="0" w:noHBand="0" w:noVBand="1"/>
      </w:tblPr>
      <w:tblGrid>
        <w:gridCol w:w="2880"/>
        <w:gridCol w:w="1180"/>
        <w:gridCol w:w="1180"/>
        <w:gridCol w:w="1087"/>
        <w:gridCol w:w="1140"/>
        <w:gridCol w:w="1300"/>
      </w:tblGrid>
      <w:tr w:rsidR="00BE6AC1" w:rsidRPr="00BE6AC1" w14:paraId="28B7DB83" w14:textId="77777777" w:rsidTr="00BE6AC1">
        <w:trPr>
          <w:trHeight w:val="315"/>
          <w:jc w:val="center"/>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A98791" w14:textId="77777777" w:rsidR="00BE6AC1" w:rsidRPr="00BE6AC1" w:rsidRDefault="00BE6AC1" w:rsidP="00BE6AC1">
            <w:pPr>
              <w:spacing w:line="240" w:lineRule="auto"/>
              <w:ind w:firstLine="0"/>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 </w:t>
            </w:r>
          </w:p>
        </w:tc>
        <w:tc>
          <w:tcPr>
            <w:tcW w:w="1180" w:type="dxa"/>
            <w:tcBorders>
              <w:top w:val="single" w:sz="8" w:space="0" w:color="auto"/>
              <w:left w:val="nil"/>
              <w:bottom w:val="single" w:sz="8" w:space="0" w:color="auto"/>
              <w:right w:val="single" w:sz="8" w:space="0" w:color="auto"/>
            </w:tcBorders>
            <w:shd w:val="clear" w:color="auto" w:fill="auto"/>
            <w:noWrap/>
            <w:hideMark/>
          </w:tcPr>
          <w:p w14:paraId="5DC28F41" w14:textId="77777777"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A content%</w:t>
            </w:r>
          </w:p>
        </w:tc>
        <w:tc>
          <w:tcPr>
            <w:tcW w:w="1180" w:type="dxa"/>
            <w:tcBorders>
              <w:top w:val="single" w:sz="8" w:space="0" w:color="auto"/>
              <w:left w:val="nil"/>
              <w:bottom w:val="single" w:sz="8" w:space="0" w:color="auto"/>
              <w:right w:val="single" w:sz="8" w:space="0" w:color="auto"/>
            </w:tcBorders>
            <w:shd w:val="clear" w:color="auto" w:fill="auto"/>
            <w:noWrap/>
            <w:hideMark/>
          </w:tcPr>
          <w:p w14:paraId="0BFE98B1" w14:textId="77777777"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C Content%</w:t>
            </w:r>
          </w:p>
        </w:tc>
        <w:tc>
          <w:tcPr>
            <w:tcW w:w="960" w:type="dxa"/>
            <w:tcBorders>
              <w:top w:val="single" w:sz="8" w:space="0" w:color="auto"/>
              <w:left w:val="nil"/>
              <w:bottom w:val="single" w:sz="8" w:space="0" w:color="auto"/>
              <w:right w:val="single" w:sz="8" w:space="0" w:color="auto"/>
            </w:tcBorders>
            <w:shd w:val="clear" w:color="auto" w:fill="auto"/>
            <w:noWrap/>
            <w:hideMark/>
          </w:tcPr>
          <w:p w14:paraId="41347D3E" w14:textId="77777777"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G content%</w:t>
            </w:r>
          </w:p>
        </w:tc>
        <w:tc>
          <w:tcPr>
            <w:tcW w:w="1140" w:type="dxa"/>
            <w:tcBorders>
              <w:top w:val="single" w:sz="8" w:space="0" w:color="auto"/>
              <w:left w:val="nil"/>
              <w:bottom w:val="single" w:sz="8" w:space="0" w:color="auto"/>
              <w:right w:val="single" w:sz="8" w:space="0" w:color="auto"/>
            </w:tcBorders>
            <w:shd w:val="clear" w:color="auto" w:fill="auto"/>
            <w:noWrap/>
            <w:hideMark/>
          </w:tcPr>
          <w:p w14:paraId="15B57D2E" w14:textId="77777777"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T content%</w:t>
            </w:r>
          </w:p>
        </w:tc>
        <w:tc>
          <w:tcPr>
            <w:tcW w:w="1300" w:type="dxa"/>
            <w:tcBorders>
              <w:top w:val="single" w:sz="8" w:space="0" w:color="auto"/>
              <w:left w:val="nil"/>
              <w:bottom w:val="single" w:sz="8" w:space="0" w:color="auto"/>
              <w:right w:val="single" w:sz="8" w:space="0" w:color="auto"/>
            </w:tcBorders>
            <w:shd w:val="clear" w:color="auto" w:fill="auto"/>
            <w:noWrap/>
            <w:hideMark/>
          </w:tcPr>
          <w:p w14:paraId="6E901664" w14:textId="77777777"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CG content%</w:t>
            </w:r>
          </w:p>
        </w:tc>
      </w:tr>
      <w:tr w:rsidR="00BE6AC1" w:rsidRPr="00BE6AC1" w14:paraId="1B12CC8E" w14:textId="77777777" w:rsidTr="00BE6AC1">
        <w:trPr>
          <w:trHeight w:val="315"/>
          <w:jc w:val="center"/>
        </w:trPr>
        <w:tc>
          <w:tcPr>
            <w:tcW w:w="2880" w:type="dxa"/>
            <w:tcBorders>
              <w:top w:val="nil"/>
              <w:left w:val="single" w:sz="8" w:space="0" w:color="auto"/>
              <w:bottom w:val="single" w:sz="8" w:space="0" w:color="auto"/>
              <w:right w:val="single" w:sz="8" w:space="0" w:color="auto"/>
            </w:tcBorders>
            <w:shd w:val="clear" w:color="auto" w:fill="auto"/>
            <w:noWrap/>
            <w:hideMark/>
          </w:tcPr>
          <w:p w14:paraId="306CFAB2" w14:textId="77777777"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Consensus Sequence</w:t>
            </w:r>
          </w:p>
        </w:tc>
        <w:tc>
          <w:tcPr>
            <w:tcW w:w="1180" w:type="dxa"/>
            <w:tcBorders>
              <w:top w:val="nil"/>
              <w:left w:val="nil"/>
              <w:bottom w:val="single" w:sz="8" w:space="0" w:color="auto"/>
              <w:right w:val="single" w:sz="8" w:space="0" w:color="auto"/>
            </w:tcBorders>
            <w:shd w:val="clear" w:color="auto" w:fill="auto"/>
            <w:noWrap/>
            <w:vAlign w:val="bottom"/>
            <w:hideMark/>
          </w:tcPr>
          <w:p w14:paraId="5FDA4ACA"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29.84</w:t>
            </w:r>
          </w:p>
        </w:tc>
        <w:tc>
          <w:tcPr>
            <w:tcW w:w="1180" w:type="dxa"/>
            <w:tcBorders>
              <w:top w:val="nil"/>
              <w:left w:val="nil"/>
              <w:bottom w:val="single" w:sz="8" w:space="0" w:color="auto"/>
              <w:right w:val="single" w:sz="8" w:space="0" w:color="auto"/>
            </w:tcBorders>
            <w:shd w:val="clear" w:color="auto" w:fill="auto"/>
            <w:noWrap/>
            <w:vAlign w:val="bottom"/>
            <w:hideMark/>
          </w:tcPr>
          <w:p w14:paraId="54741633"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18.29</w:t>
            </w:r>
          </w:p>
        </w:tc>
        <w:tc>
          <w:tcPr>
            <w:tcW w:w="960" w:type="dxa"/>
            <w:tcBorders>
              <w:top w:val="nil"/>
              <w:left w:val="nil"/>
              <w:bottom w:val="single" w:sz="8" w:space="0" w:color="auto"/>
              <w:right w:val="single" w:sz="8" w:space="0" w:color="auto"/>
            </w:tcBorders>
            <w:shd w:val="clear" w:color="auto" w:fill="auto"/>
            <w:noWrap/>
            <w:vAlign w:val="bottom"/>
            <w:hideMark/>
          </w:tcPr>
          <w:p w14:paraId="0484952C"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19.58</w:t>
            </w:r>
          </w:p>
        </w:tc>
        <w:tc>
          <w:tcPr>
            <w:tcW w:w="1140" w:type="dxa"/>
            <w:tcBorders>
              <w:top w:val="nil"/>
              <w:left w:val="nil"/>
              <w:bottom w:val="single" w:sz="8" w:space="0" w:color="auto"/>
              <w:right w:val="single" w:sz="8" w:space="0" w:color="auto"/>
            </w:tcBorders>
            <w:shd w:val="clear" w:color="auto" w:fill="auto"/>
            <w:noWrap/>
            <w:vAlign w:val="bottom"/>
            <w:hideMark/>
          </w:tcPr>
          <w:p w14:paraId="6D5B6903"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32.29</w:t>
            </w:r>
          </w:p>
        </w:tc>
        <w:tc>
          <w:tcPr>
            <w:tcW w:w="1300" w:type="dxa"/>
            <w:tcBorders>
              <w:top w:val="nil"/>
              <w:left w:val="nil"/>
              <w:bottom w:val="single" w:sz="8" w:space="0" w:color="auto"/>
              <w:right w:val="single" w:sz="8" w:space="0" w:color="auto"/>
            </w:tcBorders>
            <w:shd w:val="clear" w:color="auto" w:fill="auto"/>
            <w:noWrap/>
            <w:vAlign w:val="bottom"/>
            <w:hideMark/>
          </w:tcPr>
          <w:p w14:paraId="66D8827C"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37.87</w:t>
            </w:r>
          </w:p>
        </w:tc>
      </w:tr>
      <w:tr w:rsidR="00BE6AC1" w:rsidRPr="00BE6AC1" w14:paraId="323B9C6D" w14:textId="77777777" w:rsidTr="00BE6AC1">
        <w:trPr>
          <w:trHeight w:val="315"/>
          <w:jc w:val="center"/>
        </w:trPr>
        <w:tc>
          <w:tcPr>
            <w:tcW w:w="2880" w:type="dxa"/>
            <w:tcBorders>
              <w:top w:val="nil"/>
              <w:left w:val="single" w:sz="8" w:space="0" w:color="auto"/>
              <w:bottom w:val="single" w:sz="8" w:space="0" w:color="auto"/>
              <w:right w:val="single" w:sz="8" w:space="0" w:color="auto"/>
            </w:tcBorders>
            <w:shd w:val="clear" w:color="auto" w:fill="auto"/>
            <w:noWrap/>
            <w:hideMark/>
          </w:tcPr>
          <w:p w14:paraId="3B3E2094" w14:textId="71EC3718" w:rsidR="00BE6AC1" w:rsidRPr="00BE6AC1" w:rsidRDefault="00BE6AC1" w:rsidP="00BE6AC1">
            <w:pPr>
              <w:spacing w:line="240" w:lineRule="auto"/>
              <w:ind w:firstLine="0"/>
              <w:jc w:val="center"/>
              <w:rPr>
                <w:rFonts w:ascii="Calibri" w:eastAsia="Times New Roman" w:hAnsi="Calibri" w:cs="Calibri"/>
                <w:b/>
                <w:bCs/>
                <w:kern w:val="0"/>
                <w:sz w:val="22"/>
                <w:szCs w:val="22"/>
                <w:lang w:eastAsia="en-US"/>
              </w:rPr>
            </w:pPr>
            <w:r w:rsidRPr="00BE6AC1">
              <w:rPr>
                <w:rFonts w:ascii="Calibri" w:eastAsia="Times New Roman" w:hAnsi="Calibri" w:cs="Calibri"/>
                <w:b/>
                <w:bCs/>
                <w:kern w:val="0"/>
                <w:sz w:val="22"/>
                <w:szCs w:val="22"/>
                <w:lang w:eastAsia="en-US"/>
              </w:rPr>
              <w:t>Omicron Sequence</w:t>
            </w:r>
            <w:r w:rsidR="008E10B3">
              <w:rPr>
                <w:rFonts w:ascii="Calibri" w:eastAsia="Times New Roman" w:hAnsi="Calibri" w:cs="Calibri"/>
                <w:b/>
                <w:bCs/>
                <w:kern w:val="0"/>
                <w:sz w:val="22"/>
                <w:szCs w:val="22"/>
                <w:lang w:eastAsia="en-US"/>
              </w:rPr>
              <w:t xml:space="preserve"> </w:t>
            </w:r>
            <w:r w:rsidRPr="00BE6AC1">
              <w:rPr>
                <w:rFonts w:ascii="Calibri" w:eastAsia="Times New Roman" w:hAnsi="Calibri" w:cs="Calibri"/>
                <w:b/>
                <w:bCs/>
                <w:kern w:val="0"/>
                <w:sz w:val="22"/>
                <w:szCs w:val="22"/>
                <w:lang w:eastAsia="en-US"/>
              </w:rPr>
              <w:t>(Average)</w:t>
            </w:r>
          </w:p>
        </w:tc>
        <w:tc>
          <w:tcPr>
            <w:tcW w:w="1180" w:type="dxa"/>
            <w:tcBorders>
              <w:top w:val="nil"/>
              <w:left w:val="nil"/>
              <w:bottom w:val="single" w:sz="8" w:space="0" w:color="auto"/>
              <w:right w:val="single" w:sz="8" w:space="0" w:color="auto"/>
            </w:tcBorders>
            <w:shd w:val="clear" w:color="auto" w:fill="auto"/>
            <w:noWrap/>
            <w:vAlign w:val="bottom"/>
            <w:hideMark/>
          </w:tcPr>
          <w:p w14:paraId="5974A20F"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29.148</w:t>
            </w:r>
          </w:p>
        </w:tc>
        <w:tc>
          <w:tcPr>
            <w:tcW w:w="1180" w:type="dxa"/>
            <w:tcBorders>
              <w:top w:val="nil"/>
              <w:left w:val="nil"/>
              <w:bottom w:val="single" w:sz="8" w:space="0" w:color="auto"/>
              <w:right w:val="single" w:sz="8" w:space="0" w:color="auto"/>
            </w:tcBorders>
            <w:shd w:val="clear" w:color="auto" w:fill="auto"/>
            <w:noWrap/>
            <w:vAlign w:val="bottom"/>
            <w:hideMark/>
          </w:tcPr>
          <w:p w14:paraId="6A7A008C"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17.862</w:t>
            </w:r>
          </w:p>
        </w:tc>
        <w:tc>
          <w:tcPr>
            <w:tcW w:w="960" w:type="dxa"/>
            <w:tcBorders>
              <w:top w:val="nil"/>
              <w:left w:val="nil"/>
              <w:bottom w:val="single" w:sz="8" w:space="0" w:color="auto"/>
              <w:right w:val="single" w:sz="8" w:space="0" w:color="auto"/>
            </w:tcBorders>
            <w:shd w:val="clear" w:color="auto" w:fill="auto"/>
            <w:noWrap/>
            <w:vAlign w:val="bottom"/>
            <w:hideMark/>
          </w:tcPr>
          <w:p w14:paraId="6573F8A9"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19.087</w:t>
            </w:r>
          </w:p>
        </w:tc>
        <w:tc>
          <w:tcPr>
            <w:tcW w:w="1140" w:type="dxa"/>
            <w:tcBorders>
              <w:top w:val="nil"/>
              <w:left w:val="nil"/>
              <w:bottom w:val="single" w:sz="8" w:space="0" w:color="auto"/>
              <w:right w:val="single" w:sz="8" w:space="0" w:color="auto"/>
            </w:tcBorders>
            <w:shd w:val="clear" w:color="auto" w:fill="auto"/>
            <w:noWrap/>
            <w:vAlign w:val="bottom"/>
            <w:hideMark/>
          </w:tcPr>
          <w:p w14:paraId="2D176AA0"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31.53</w:t>
            </w:r>
          </w:p>
        </w:tc>
        <w:tc>
          <w:tcPr>
            <w:tcW w:w="1300" w:type="dxa"/>
            <w:tcBorders>
              <w:top w:val="nil"/>
              <w:left w:val="nil"/>
              <w:bottom w:val="single" w:sz="8" w:space="0" w:color="auto"/>
              <w:right w:val="single" w:sz="8" w:space="0" w:color="auto"/>
            </w:tcBorders>
            <w:shd w:val="clear" w:color="auto" w:fill="auto"/>
            <w:noWrap/>
            <w:vAlign w:val="bottom"/>
            <w:hideMark/>
          </w:tcPr>
          <w:p w14:paraId="76623FEF"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36.951</w:t>
            </w:r>
          </w:p>
        </w:tc>
      </w:tr>
      <w:tr w:rsidR="00BE6AC1" w:rsidRPr="00BE6AC1" w14:paraId="2B9A5434" w14:textId="77777777" w:rsidTr="00BE6AC1">
        <w:trPr>
          <w:trHeight w:val="315"/>
          <w:jc w:val="center"/>
        </w:trPr>
        <w:tc>
          <w:tcPr>
            <w:tcW w:w="2880" w:type="dxa"/>
            <w:tcBorders>
              <w:top w:val="nil"/>
              <w:left w:val="single" w:sz="8" w:space="0" w:color="auto"/>
              <w:bottom w:val="single" w:sz="8" w:space="0" w:color="auto"/>
              <w:right w:val="single" w:sz="8" w:space="0" w:color="auto"/>
            </w:tcBorders>
            <w:shd w:val="clear" w:color="auto" w:fill="auto"/>
            <w:noWrap/>
            <w:hideMark/>
          </w:tcPr>
          <w:p w14:paraId="33ECCAF4" w14:textId="77777777" w:rsidR="00BE6AC1" w:rsidRPr="00BE6AC1" w:rsidRDefault="00BE6AC1" w:rsidP="00BE6AC1">
            <w:pPr>
              <w:spacing w:line="240" w:lineRule="auto"/>
              <w:ind w:firstLine="0"/>
              <w:jc w:val="center"/>
              <w:rPr>
                <w:rFonts w:ascii="Calibri" w:eastAsia="Times New Roman" w:hAnsi="Calibri" w:cs="Calibri"/>
                <w:b/>
                <w:bCs/>
                <w:color w:val="000000"/>
                <w:kern w:val="0"/>
                <w:sz w:val="22"/>
                <w:szCs w:val="22"/>
                <w:lang w:eastAsia="en-US"/>
              </w:rPr>
            </w:pPr>
            <w:r w:rsidRPr="00BE6AC1">
              <w:rPr>
                <w:rFonts w:ascii="Calibri" w:eastAsia="Times New Roman" w:hAnsi="Calibri" w:cs="Calibri"/>
                <w:b/>
                <w:bCs/>
                <w:color w:val="000000"/>
                <w:kern w:val="0"/>
                <w:sz w:val="22"/>
                <w:szCs w:val="22"/>
                <w:lang w:eastAsia="en-US"/>
              </w:rPr>
              <w:t>Difference</w:t>
            </w:r>
          </w:p>
        </w:tc>
        <w:tc>
          <w:tcPr>
            <w:tcW w:w="1180" w:type="dxa"/>
            <w:tcBorders>
              <w:top w:val="nil"/>
              <w:left w:val="nil"/>
              <w:bottom w:val="single" w:sz="8" w:space="0" w:color="auto"/>
              <w:right w:val="single" w:sz="8" w:space="0" w:color="auto"/>
            </w:tcBorders>
            <w:shd w:val="clear" w:color="auto" w:fill="auto"/>
            <w:noWrap/>
            <w:vAlign w:val="bottom"/>
            <w:hideMark/>
          </w:tcPr>
          <w:p w14:paraId="1E32C5D0"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0.692</w:t>
            </w:r>
          </w:p>
        </w:tc>
        <w:tc>
          <w:tcPr>
            <w:tcW w:w="1180" w:type="dxa"/>
            <w:tcBorders>
              <w:top w:val="nil"/>
              <w:left w:val="nil"/>
              <w:bottom w:val="single" w:sz="8" w:space="0" w:color="auto"/>
              <w:right w:val="single" w:sz="8" w:space="0" w:color="auto"/>
            </w:tcBorders>
            <w:shd w:val="clear" w:color="auto" w:fill="auto"/>
            <w:noWrap/>
            <w:vAlign w:val="bottom"/>
            <w:hideMark/>
          </w:tcPr>
          <w:p w14:paraId="1CDB87DE"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0.428</w:t>
            </w:r>
          </w:p>
        </w:tc>
        <w:tc>
          <w:tcPr>
            <w:tcW w:w="960" w:type="dxa"/>
            <w:tcBorders>
              <w:top w:val="nil"/>
              <w:left w:val="nil"/>
              <w:bottom w:val="single" w:sz="8" w:space="0" w:color="auto"/>
              <w:right w:val="single" w:sz="8" w:space="0" w:color="auto"/>
            </w:tcBorders>
            <w:shd w:val="clear" w:color="auto" w:fill="auto"/>
            <w:noWrap/>
            <w:vAlign w:val="bottom"/>
            <w:hideMark/>
          </w:tcPr>
          <w:p w14:paraId="2CF8182E"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0.493</w:t>
            </w:r>
          </w:p>
        </w:tc>
        <w:tc>
          <w:tcPr>
            <w:tcW w:w="1140" w:type="dxa"/>
            <w:tcBorders>
              <w:top w:val="nil"/>
              <w:left w:val="nil"/>
              <w:bottom w:val="single" w:sz="8" w:space="0" w:color="auto"/>
              <w:right w:val="single" w:sz="8" w:space="0" w:color="auto"/>
            </w:tcBorders>
            <w:shd w:val="clear" w:color="auto" w:fill="auto"/>
            <w:noWrap/>
            <w:vAlign w:val="bottom"/>
            <w:hideMark/>
          </w:tcPr>
          <w:p w14:paraId="44C46FF5"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0.76</w:t>
            </w:r>
          </w:p>
        </w:tc>
        <w:tc>
          <w:tcPr>
            <w:tcW w:w="1300" w:type="dxa"/>
            <w:tcBorders>
              <w:top w:val="nil"/>
              <w:left w:val="nil"/>
              <w:bottom w:val="single" w:sz="8" w:space="0" w:color="auto"/>
              <w:right w:val="single" w:sz="8" w:space="0" w:color="auto"/>
            </w:tcBorders>
            <w:shd w:val="clear" w:color="auto" w:fill="auto"/>
            <w:noWrap/>
            <w:vAlign w:val="bottom"/>
            <w:hideMark/>
          </w:tcPr>
          <w:p w14:paraId="3F07DC47" w14:textId="77777777" w:rsidR="00BE6AC1" w:rsidRPr="00BE6AC1" w:rsidRDefault="00BE6AC1" w:rsidP="00BE6AC1">
            <w:pPr>
              <w:spacing w:line="240" w:lineRule="auto"/>
              <w:ind w:firstLine="0"/>
              <w:jc w:val="right"/>
              <w:rPr>
                <w:rFonts w:ascii="Calibri" w:eastAsia="Times New Roman" w:hAnsi="Calibri" w:cs="Calibri"/>
                <w:color w:val="000000"/>
                <w:kern w:val="0"/>
                <w:sz w:val="22"/>
                <w:szCs w:val="22"/>
                <w:lang w:eastAsia="en-US"/>
              </w:rPr>
            </w:pPr>
            <w:r w:rsidRPr="00BE6AC1">
              <w:rPr>
                <w:rFonts w:ascii="Calibri" w:eastAsia="Times New Roman" w:hAnsi="Calibri" w:cs="Calibri"/>
                <w:color w:val="000000"/>
                <w:kern w:val="0"/>
                <w:sz w:val="22"/>
                <w:szCs w:val="22"/>
                <w:lang w:eastAsia="en-US"/>
              </w:rPr>
              <w:t>0.919</w:t>
            </w:r>
          </w:p>
        </w:tc>
      </w:tr>
    </w:tbl>
    <w:p w14:paraId="0B9D7BB0" w14:textId="77777777" w:rsidR="00E92B66" w:rsidRDefault="002D2037" w:rsidP="00BA1F43">
      <w:pPr>
        <w:ind w:firstLine="0"/>
      </w:pPr>
      <w:r>
        <w:tab/>
      </w:r>
    </w:p>
    <w:p w14:paraId="752CF2F1" w14:textId="339EBDEB" w:rsidR="00BA1F43" w:rsidRDefault="004B101D" w:rsidP="00E92B66">
      <w:pPr>
        <w:rPr>
          <w:rtl/>
        </w:rPr>
      </w:pPr>
      <w:r>
        <w:t>The previous table exh</w:t>
      </w:r>
      <w:r w:rsidR="009D7962">
        <w:t xml:space="preserve">ibits </w:t>
      </w:r>
      <w:r w:rsidR="008E10B3">
        <w:t xml:space="preserve">a comparison between the </w:t>
      </w:r>
      <w:proofErr w:type="gramStart"/>
      <w:r w:rsidR="008E10B3">
        <w:t>amount</w:t>
      </w:r>
      <w:proofErr w:type="gramEnd"/>
      <w:r w:rsidR="008E10B3">
        <w:t xml:space="preserve"> of chemical constituents as a percentage of the sequence </w:t>
      </w:r>
      <w:r w:rsidR="00143A5A">
        <w:t>length for each the consensus sequence as well as the average of the same parameter computed for the multiple alignment of the case sequence, the table also shows the difference between them.</w:t>
      </w:r>
      <w:r w:rsidR="00BA1F43">
        <w:rPr>
          <w:noProof/>
          <w:lang w:eastAsia="en-US"/>
        </w:rPr>
        <w:drawing>
          <wp:anchor distT="0" distB="0" distL="114300" distR="114300" simplePos="0" relativeHeight="251658240" behindDoc="0" locked="0" layoutInCell="1" allowOverlap="1" wp14:anchorId="2E559AAC" wp14:editId="2E030BFB">
            <wp:simplePos x="0" y="0"/>
            <wp:positionH relativeFrom="column">
              <wp:posOffset>2876550</wp:posOffset>
            </wp:positionH>
            <wp:positionV relativeFrom="paragraph">
              <wp:posOffset>3175</wp:posOffset>
            </wp:positionV>
            <wp:extent cx="3067050" cy="2200275"/>
            <wp:effectExtent l="0" t="0" r="0" b="9525"/>
            <wp:wrapSquare wrapText="bothSides"/>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E154A82-5F75-422E-B42B-688A2CA7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6C2A8688" w14:textId="66DD14E3" w:rsidR="00E31EF1" w:rsidRPr="00255E33" w:rsidRDefault="009B5A50" w:rsidP="00A45A9F">
      <w:pPr>
        <w:rPr>
          <w:rtl/>
          <w:lang w:bidi="ar-EG"/>
        </w:rPr>
      </w:pPr>
      <w:r>
        <w:lastRenderedPageBreak/>
        <w:t xml:space="preserve">The data analysis above shows a difference of approximately 1% between the </w:t>
      </w:r>
      <w:r w:rsidR="002D4DDF">
        <w:t>CG</w:t>
      </w:r>
      <w:r>
        <w:t xml:space="preserve"> Content values</w:t>
      </w:r>
      <w:r w:rsidR="00995B68">
        <w:t xml:space="preserve"> in favor of Reference sequences.</w:t>
      </w:r>
      <w:r w:rsidR="002D4DDF">
        <w:t xml:space="preserve"> CG</w:t>
      </w:r>
      <w:r w:rsidR="00995B68">
        <w:t xml:space="preserve"> content is</w:t>
      </w:r>
      <w:r w:rsidR="00EC0CBD">
        <w:t xml:space="preserve"> known generally to encode for higher DNA stability. The reason behind this is the fact that there is a triple hydrogen bond between G and C, which makes it harder to denature than the double hydrogen bond between A and T.</w:t>
      </w:r>
      <w:r w:rsidR="00995B68">
        <w:t xml:space="preserve"> Nevertheless, the 1% difference is insignificant to </w:t>
      </w:r>
      <w:r w:rsidR="00995B68">
        <w:rPr>
          <w:lang w:bidi="ar-EG"/>
        </w:rPr>
        <w:t>conclude any biological difference.</w:t>
      </w:r>
    </w:p>
    <w:p w14:paraId="61AA56A6" w14:textId="3268C537" w:rsidR="00A45A9F" w:rsidRPr="00E31EF1" w:rsidRDefault="00E31EF1" w:rsidP="00A45A9F">
      <w:pPr>
        <w:pStyle w:val="Heading3"/>
      </w:pPr>
      <w:bookmarkStart w:id="4" w:name="_Hlk92625463"/>
      <w:r>
        <w:t>Phylogenetic tree</w:t>
      </w:r>
      <w:bookmarkEnd w:id="4"/>
      <w:r w:rsidR="00EB407C">
        <w:rPr>
          <w:noProof/>
          <w:lang w:eastAsia="en-US"/>
        </w:rPr>
        <w:drawing>
          <wp:inline distT="0" distB="0" distL="0" distR="0" wp14:anchorId="1DDD9849" wp14:editId="3B3C37AA">
            <wp:extent cx="6415191" cy="4475509"/>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432154" cy="4487343"/>
                    </a:xfrm>
                    <a:prstGeom prst="rect">
                      <a:avLst/>
                    </a:prstGeom>
                  </pic:spPr>
                </pic:pic>
              </a:graphicData>
            </a:graphic>
          </wp:inline>
        </w:drawing>
      </w:r>
    </w:p>
    <w:p w14:paraId="4B82574D" w14:textId="180E7FAE" w:rsidR="00E81978" w:rsidRDefault="00A45A9F" w:rsidP="006B1656">
      <w:pPr>
        <w:rPr>
          <w:b/>
          <w:bCs/>
        </w:rPr>
      </w:pPr>
      <w:r>
        <w:t>After observing</w:t>
      </w:r>
      <w:r w:rsidR="00C04183">
        <w:t xml:space="preserve"> the phylogenetic tree</w:t>
      </w:r>
      <w:r>
        <w:t xml:space="preserve"> constructed by MEGA between the 20 sequences</w:t>
      </w:r>
      <w:r w:rsidR="00C04183">
        <w:t>,</w:t>
      </w:r>
      <w:r>
        <w:t xml:space="preserve"> we can tell that</w:t>
      </w:r>
      <w:r w:rsidR="00C04183">
        <w:t xml:space="preserve"> the distance</w:t>
      </w:r>
      <w:r>
        <w:t>s</w:t>
      </w:r>
      <w:r w:rsidR="00C04183">
        <w:t xml:space="preserve"> between the sequences </w:t>
      </w:r>
      <w:r w:rsidR="00375AA1">
        <w:t>are</w:t>
      </w:r>
      <w:r w:rsidR="00C04183">
        <w:t xml:space="preserve"> very small. Thus, </w:t>
      </w:r>
      <w:r w:rsidR="00787D30">
        <w:t xml:space="preserve">it </w:t>
      </w:r>
      <w:r w:rsidR="00C04183">
        <w:t>can</w:t>
      </w:r>
      <w:r w:rsidR="00787D30">
        <w:t xml:space="preserve"> be</w:t>
      </w:r>
      <w:r w:rsidR="00C04183">
        <w:t xml:space="preserve"> deduce</w:t>
      </w:r>
      <w:r w:rsidR="00787D30">
        <w:t>d</w:t>
      </w:r>
      <w:r w:rsidR="00C04183">
        <w:t xml:space="preserve"> </w:t>
      </w:r>
      <w:r w:rsidR="00787D30">
        <w:t xml:space="preserve">that the omicron variant is </w:t>
      </w:r>
      <w:r w:rsidR="006B1656">
        <w:t>very similar</w:t>
      </w:r>
      <w:r w:rsidR="00787D30">
        <w:t xml:space="preserve"> to delta variant. However, one important limiting factor </w:t>
      </w:r>
      <w:r w:rsidR="00787D30">
        <w:lastRenderedPageBreak/>
        <w:t>needed to be taken into consideration is that the sample collected and used for the data analysis process is very small in size since time is needed to obtain more data from different countries.</w:t>
      </w:r>
    </w:p>
    <w:p w14:paraId="625BFB70" w14:textId="16762567" w:rsidR="00355DCA" w:rsidRPr="00FE4542" w:rsidRDefault="00FE4542" w:rsidP="00C31D30">
      <w:pPr>
        <w:pStyle w:val="Heading5"/>
        <w:rPr>
          <w:b/>
          <w:bCs/>
          <w:i w:val="0"/>
          <w:iCs w:val="0"/>
        </w:rPr>
      </w:pPr>
      <w:bookmarkStart w:id="5" w:name="_Hlk92625413"/>
      <w:r w:rsidRPr="00FE4542">
        <w:rPr>
          <w:b/>
          <w:bCs/>
          <w:i w:val="0"/>
          <w:iCs w:val="0"/>
        </w:rPr>
        <w:t>Dissimilar Regions Extraction</w:t>
      </w:r>
    </w:p>
    <w:bookmarkEnd w:id="5"/>
    <w:p w14:paraId="5AD7D565" w14:textId="04BD83C1" w:rsidR="00100B0D" w:rsidRDefault="00C34884" w:rsidP="006B1656">
      <w:pPr>
        <w:rPr>
          <w:noProof/>
        </w:rPr>
      </w:pPr>
      <w:r>
        <w:rPr>
          <w:noProof/>
          <w:lang w:eastAsia="en-US"/>
        </w:rPr>
        <w:drawing>
          <wp:anchor distT="0" distB="0" distL="114300" distR="114300" simplePos="0" relativeHeight="251659264" behindDoc="0" locked="0" layoutInCell="1" allowOverlap="1" wp14:anchorId="152C252C" wp14:editId="325321B4">
            <wp:simplePos x="0" y="0"/>
            <wp:positionH relativeFrom="margin">
              <wp:align>right</wp:align>
            </wp:positionH>
            <wp:positionV relativeFrom="paragraph">
              <wp:posOffset>11430</wp:posOffset>
            </wp:positionV>
            <wp:extent cx="3419475" cy="2352675"/>
            <wp:effectExtent l="0" t="0" r="9525" b="9525"/>
            <wp:wrapThrough wrapText="bothSides">
              <wp:wrapPolygon edited="0">
                <wp:start x="0" y="0"/>
                <wp:lineTo x="0" y="21513"/>
                <wp:lineTo x="21540" y="21513"/>
                <wp:lineTo x="21540" y="0"/>
                <wp:lineTo x="0" y="0"/>
              </wp:wrapPolygon>
            </wp:wrapThrough>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3E01C98-8518-4233-AE8D-190FA7FC6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After applying the technique mentioned </w:t>
      </w:r>
      <w:r w:rsidR="006B1656">
        <w:t>above</w:t>
      </w:r>
      <w:r>
        <w:t xml:space="preserve"> and analyzing the exported excel sheet data, we have found that out of 230 variations: 108 of them were short indels of varying length, 86 were point mutations and 36 were different regions</w:t>
      </w:r>
      <w:r w:rsidR="00C04183">
        <w:t xml:space="preserve"> of short length</w:t>
      </w:r>
      <w:r>
        <w:t xml:space="preserve"> in both sequences.</w:t>
      </w:r>
      <w:r w:rsidRPr="00C34884">
        <w:rPr>
          <w:noProof/>
        </w:rPr>
        <w:t xml:space="preserve"> </w:t>
      </w:r>
    </w:p>
    <w:p w14:paraId="119B8879" w14:textId="1227EA5D" w:rsidR="00A45A9F" w:rsidRDefault="00D559B7" w:rsidP="006B1656">
      <w:pPr>
        <w:rPr>
          <w:noProof/>
        </w:rPr>
      </w:pPr>
      <w:r w:rsidRPr="002D4DDF">
        <w:rPr>
          <w:noProof/>
        </w:rPr>
        <w:t xml:space="preserve">The </w:t>
      </w:r>
      <w:r w:rsidR="004B4A63">
        <w:rPr>
          <w:noProof/>
        </w:rPr>
        <w:t xml:space="preserve">total </w:t>
      </w:r>
      <w:r w:rsidRPr="002D4DDF">
        <w:rPr>
          <w:noProof/>
        </w:rPr>
        <w:t xml:space="preserve">length of </w:t>
      </w:r>
      <w:r w:rsidR="00C04183" w:rsidRPr="002D4DDF">
        <w:rPr>
          <w:noProof/>
        </w:rPr>
        <w:t>all the variations</w:t>
      </w:r>
      <w:r w:rsidRPr="002D4DDF">
        <w:rPr>
          <w:noProof/>
        </w:rPr>
        <w:t xml:space="preserve"> was</w:t>
      </w:r>
      <w:r w:rsidR="004B4A63">
        <w:rPr>
          <w:noProof/>
        </w:rPr>
        <w:t xml:space="preserve"> calculated through excel, it was found to be 2091 bases, which is</w:t>
      </w:r>
      <w:r w:rsidRPr="002D4DDF">
        <w:rPr>
          <w:noProof/>
        </w:rPr>
        <w:t xml:space="preserve"> relatively small in comparison with the length of the</w:t>
      </w:r>
      <w:r w:rsidR="006B1656">
        <w:rPr>
          <w:noProof/>
        </w:rPr>
        <w:t xml:space="preserve"> aligned</w:t>
      </w:r>
      <w:r w:rsidRPr="002D4DDF">
        <w:rPr>
          <w:noProof/>
        </w:rPr>
        <w:t xml:space="preserve"> sequences</w:t>
      </w:r>
      <w:r w:rsidR="00643EC7">
        <w:rPr>
          <w:noProof/>
        </w:rPr>
        <w:t xml:space="preserve"> (</w:t>
      </w:r>
      <w:r w:rsidR="006B1656">
        <w:rPr>
          <w:noProof/>
        </w:rPr>
        <w:t>above</w:t>
      </w:r>
      <w:r w:rsidR="00643EC7">
        <w:rPr>
          <w:noProof/>
        </w:rPr>
        <w:t xml:space="preserve"> 30K bases)</w:t>
      </w:r>
      <w:r w:rsidRPr="002D4DDF">
        <w:rPr>
          <w:noProof/>
        </w:rPr>
        <w:t>.</w:t>
      </w:r>
      <w:r w:rsidR="004B4A63">
        <w:rPr>
          <w:noProof/>
        </w:rPr>
        <w:t xml:space="preserve"> </w:t>
      </w:r>
    </w:p>
    <w:p w14:paraId="38286BC4" w14:textId="7C6FA757" w:rsidR="00643EC7" w:rsidRDefault="00643EC7" w:rsidP="00A45A9F">
      <w:pPr>
        <w:rPr>
          <w:noProof/>
        </w:rPr>
      </w:pPr>
      <w:r>
        <w:rPr>
          <w:noProof/>
          <w:lang w:eastAsia="en-US"/>
        </w:rPr>
        <w:drawing>
          <wp:inline distT="0" distB="0" distL="0" distR="0" wp14:anchorId="62739DF4" wp14:editId="087F8278">
            <wp:extent cx="53816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209550"/>
                    </a:xfrm>
                    <a:prstGeom prst="rect">
                      <a:avLst/>
                    </a:prstGeom>
                  </pic:spPr>
                </pic:pic>
              </a:graphicData>
            </a:graphic>
          </wp:inline>
        </w:drawing>
      </w:r>
    </w:p>
    <w:p w14:paraId="48BCA3C5" w14:textId="084A74B2" w:rsidR="00A45A9F" w:rsidRDefault="00A45A9F" w:rsidP="00A45A9F">
      <w:pPr>
        <w:pStyle w:val="Heading1"/>
      </w:pPr>
      <w:r>
        <w:t>Conclusion</w:t>
      </w:r>
    </w:p>
    <w:p w14:paraId="3F3B7976" w14:textId="55CCFEC6" w:rsidR="00A45A9F" w:rsidRDefault="00A45A9F" w:rsidP="00EE21BF">
      <w:r>
        <w:t>After this analysis that followed multiple steps, from constructing a phylogenetic tree to analyzing the content of the cases and the reference, ending with extracting the dissimilar regions, we can safely say that</w:t>
      </w:r>
      <w:r w:rsidR="00EE21BF">
        <w:t xml:space="preserve"> _quantitively_</w:t>
      </w:r>
      <w:r>
        <w:t xml:space="preserve"> the Omicron variant is not so different from the Delta variant</w:t>
      </w:r>
      <w:r w:rsidR="00EE21BF">
        <w:t xml:space="preserve">. </w:t>
      </w:r>
    </w:p>
    <w:p w14:paraId="28A90590" w14:textId="4C2618DC" w:rsidR="00C34884" w:rsidRDefault="00A20715" w:rsidP="002D4DDF">
      <w:r>
        <w:t>Analyzing where the differences lie, can show us how the effect of each of them on the patient differs. On the other hand,</w:t>
      </w:r>
      <w:r w:rsidR="00EE21BF">
        <w:t xml:space="preserve"> seeing how similar they are, sheds the light on the possibility that the same procedures that are applied on finding the vaccine for Delta may </w:t>
      </w:r>
      <w:r w:rsidR="00746A34">
        <w:t>also be efficient</w:t>
      </w:r>
      <w:r w:rsidR="00EE21BF">
        <w:t xml:space="preserve"> </w:t>
      </w:r>
      <w:r w:rsidR="00EE21BF">
        <w:lastRenderedPageBreak/>
        <w:t>on Omicron.</w:t>
      </w:r>
      <w:r>
        <w:t xml:space="preserve"> In the end, r</w:t>
      </w:r>
      <w:r w:rsidRPr="00A20715">
        <w:t xml:space="preserve">ecognizing where the two variants differ could </w:t>
      </w:r>
      <w:r>
        <w:t xml:space="preserve">indeed </w:t>
      </w:r>
      <w:r w:rsidRPr="00A20715">
        <w:t>be the key to finding the correct procedure to deal</w:t>
      </w:r>
      <w:r>
        <w:t>ing with</w:t>
      </w:r>
      <w:r w:rsidRPr="00A20715">
        <w:t xml:space="preserve"> and treat</w:t>
      </w:r>
      <w:r>
        <w:t>ing</w:t>
      </w:r>
      <w:r w:rsidR="006B1656">
        <w:t xml:space="preserve"> </w:t>
      </w:r>
      <w:r w:rsidRPr="00A20715">
        <w:t>the Omicron variant</w:t>
      </w:r>
      <w:r w:rsidR="00746A34">
        <w:t xml:space="preserve"> patients</w:t>
      </w:r>
      <w:r w:rsidRPr="00A20715">
        <w:t>.</w:t>
      </w:r>
    </w:p>
    <w:p w14:paraId="7F616784" w14:textId="2590AA90" w:rsidR="00746A34" w:rsidRDefault="00746A34" w:rsidP="00746A34">
      <w:pPr>
        <w:ind w:firstLine="0"/>
      </w:pPr>
    </w:p>
    <w:p w14:paraId="39EC2609" w14:textId="4142D211" w:rsidR="00746A34" w:rsidRDefault="00746A34" w:rsidP="00746A34">
      <w:pPr>
        <w:ind w:firstLine="0"/>
        <w:rPr>
          <w:b/>
          <w:bCs/>
          <w:u w:val="single"/>
        </w:rPr>
      </w:pPr>
      <w:r w:rsidRPr="00746A34">
        <w:rPr>
          <w:b/>
          <w:bCs/>
          <w:u w:val="single"/>
        </w:rPr>
        <w:t>Members Contribution</w:t>
      </w:r>
    </w:p>
    <w:p w14:paraId="3B819EA2" w14:textId="0A42E290" w:rsidR="00746A34" w:rsidRPr="00746A34" w:rsidRDefault="00746A34" w:rsidP="00746A34">
      <w:pPr>
        <w:ind w:firstLine="0"/>
        <w:rPr>
          <w:b/>
          <w:bCs/>
        </w:rPr>
      </w:pPr>
      <w:r>
        <w:rPr>
          <w:b/>
          <w:bCs/>
        </w:rPr>
        <w:t>All team members have contributed equally and efficiently in</w:t>
      </w:r>
      <w:r w:rsidR="001B5234">
        <w:rPr>
          <w:b/>
          <w:bCs/>
        </w:rPr>
        <w:t>to</w:t>
      </w:r>
      <w:r>
        <w:rPr>
          <w:b/>
          <w:bCs/>
        </w:rPr>
        <w:t xml:space="preserve"> producing the output from the project with all its requirements</w:t>
      </w:r>
      <w:r w:rsidR="001B5234">
        <w:rPr>
          <w:b/>
          <w:bCs/>
        </w:rPr>
        <w:t>, from coding to reporting and presentation.</w:t>
      </w:r>
    </w:p>
    <w:sectPr w:rsidR="00746A34" w:rsidRPr="00746A34">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9FE0F" w14:textId="77777777" w:rsidR="00B556CB" w:rsidRDefault="00B556CB">
      <w:pPr>
        <w:spacing w:line="240" w:lineRule="auto"/>
      </w:pPr>
      <w:r>
        <w:separator/>
      </w:r>
    </w:p>
    <w:p w14:paraId="65146308" w14:textId="77777777" w:rsidR="00B556CB" w:rsidRDefault="00B556CB"/>
  </w:endnote>
  <w:endnote w:type="continuationSeparator" w:id="0">
    <w:p w14:paraId="5123AE82" w14:textId="77777777" w:rsidR="00B556CB" w:rsidRDefault="00B556CB">
      <w:pPr>
        <w:spacing w:line="240" w:lineRule="auto"/>
      </w:pPr>
      <w:r>
        <w:continuationSeparator/>
      </w:r>
    </w:p>
    <w:p w14:paraId="60EA922F" w14:textId="77777777" w:rsidR="00B556CB" w:rsidRDefault="00B55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2D3F9" w14:textId="77777777" w:rsidR="00B556CB" w:rsidRDefault="00B556CB">
      <w:pPr>
        <w:spacing w:line="240" w:lineRule="auto"/>
      </w:pPr>
      <w:r>
        <w:separator/>
      </w:r>
    </w:p>
    <w:p w14:paraId="7A9ADA82" w14:textId="77777777" w:rsidR="00B556CB" w:rsidRDefault="00B556CB"/>
  </w:footnote>
  <w:footnote w:type="continuationSeparator" w:id="0">
    <w:p w14:paraId="0570DE2D" w14:textId="77777777" w:rsidR="00B556CB" w:rsidRDefault="00B556CB">
      <w:pPr>
        <w:spacing w:line="240" w:lineRule="auto"/>
      </w:pPr>
      <w:r>
        <w:continuationSeparator/>
      </w:r>
    </w:p>
    <w:p w14:paraId="56081AE5" w14:textId="77777777" w:rsidR="00B556CB" w:rsidRDefault="00B556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D7613" w14:textId="1BBA37F2" w:rsidR="00E81978" w:rsidRDefault="00B556CB">
    <w:pPr>
      <w:pStyle w:val="Header"/>
    </w:pPr>
    <w:sdt>
      <w:sdtPr>
        <w:rPr>
          <w:rStyle w:val="Strong"/>
        </w:rPr>
        <w:alias w:val="Running head"/>
        <w:tag w:val=""/>
        <w:id w:val="12739865"/>
        <w:placeholder>
          <w:docPart w:val="BAC0871ECB254A05A250F3CF62DF19D1"/>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B3190">
          <w:rPr>
            <w:rStyle w:val="Strong"/>
          </w:rPr>
          <w:t>how different is omicron?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35330">
      <w:rPr>
        <w:rStyle w:val="Strong"/>
        <w:noProof/>
      </w:rPr>
      <w:t>2</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9CF84" w14:textId="24D20114" w:rsidR="00E81978" w:rsidRDefault="00B556CB">
    <w:pPr>
      <w:pStyle w:val="Header"/>
      <w:rPr>
        <w:rStyle w:val="Strong"/>
      </w:rPr>
    </w:pPr>
    <w:sdt>
      <w:sdtPr>
        <w:rPr>
          <w:rStyle w:val="Strong"/>
        </w:rPr>
        <w:alias w:val="Running head"/>
        <w:tag w:val=""/>
        <w:id w:val="-696842620"/>
        <w:placeholder>
          <w:docPart w:val="3EA36729C82A41D7B448FCE3DF7D6745"/>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B3190">
          <w:rPr>
            <w:rStyle w:val="Strong"/>
          </w:rPr>
          <w:t>how different is omicron?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35330">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D0"/>
    <w:rsid w:val="00056CCA"/>
    <w:rsid w:val="00064FC9"/>
    <w:rsid w:val="00073466"/>
    <w:rsid w:val="000B3190"/>
    <w:rsid w:val="000D3F41"/>
    <w:rsid w:val="000E0CE8"/>
    <w:rsid w:val="00100B0D"/>
    <w:rsid w:val="0010295C"/>
    <w:rsid w:val="0010479A"/>
    <w:rsid w:val="001056E0"/>
    <w:rsid w:val="00143A5A"/>
    <w:rsid w:val="00160900"/>
    <w:rsid w:val="001824F1"/>
    <w:rsid w:val="001B5234"/>
    <w:rsid w:val="001E279C"/>
    <w:rsid w:val="002264D5"/>
    <w:rsid w:val="00230950"/>
    <w:rsid w:val="00255E33"/>
    <w:rsid w:val="00263023"/>
    <w:rsid w:val="002A3004"/>
    <w:rsid w:val="002B151B"/>
    <w:rsid w:val="002C7407"/>
    <w:rsid w:val="002D2037"/>
    <w:rsid w:val="002D4DDF"/>
    <w:rsid w:val="002E2583"/>
    <w:rsid w:val="003127A9"/>
    <w:rsid w:val="003511BC"/>
    <w:rsid w:val="00355DCA"/>
    <w:rsid w:val="00375AA1"/>
    <w:rsid w:val="004068C3"/>
    <w:rsid w:val="004B101D"/>
    <w:rsid w:val="004B4A63"/>
    <w:rsid w:val="00551A02"/>
    <w:rsid w:val="005534FA"/>
    <w:rsid w:val="005A4A76"/>
    <w:rsid w:val="005D3A03"/>
    <w:rsid w:val="005E112F"/>
    <w:rsid w:val="00643EC7"/>
    <w:rsid w:val="006B1656"/>
    <w:rsid w:val="006F45BC"/>
    <w:rsid w:val="0071020B"/>
    <w:rsid w:val="0073140F"/>
    <w:rsid w:val="00745310"/>
    <w:rsid w:val="00746A34"/>
    <w:rsid w:val="00787D30"/>
    <w:rsid w:val="007A0395"/>
    <w:rsid w:val="007F4234"/>
    <w:rsid w:val="008002C0"/>
    <w:rsid w:val="0080203D"/>
    <w:rsid w:val="00835330"/>
    <w:rsid w:val="00841A7D"/>
    <w:rsid w:val="008C5323"/>
    <w:rsid w:val="008E10B3"/>
    <w:rsid w:val="008E1A0F"/>
    <w:rsid w:val="00995B68"/>
    <w:rsid w:val="009A10D0"/>
    <w:rsid w:val="009A6A3B"/>
    <w:rsid w:val="009B1280"/>
    <w:rsid w:val="009B5A50"/>
    <w:rsid w:val="009D7962"/>
    <w:rsid w:val="00A20715"/>
    <w:rsid w:val="00A41D08"/>
    <w:rsid w:val="00A45A9F"/>
    <w:rsid w:val="00A55184"/>
    <w:rsid w:val="00A6093E"/>
    <w:rsid w:val="00A7058D"/>
    <w:rsid w:val="00AB7454"/>
    <w:rsid w:val="00B45CFC"/>
    <w:rsid w:val="00B52D5D"/>
    <w:rsid w:val="00B556CB"/>
    <w:rsid w:val="00B63B58"/>
    <w:rsid w:val="00B65BA6"/>
    <w:rsid w:val="00B823AA"/>
    <w:rsid w:val="00B97ACE"/>
    <w:rsid w:val="00BA1F43"/>
    <w:rsid w:val="00BA45DB"/>
    <w:rsid w:val="00BE6AC1"/>
    <w:rsid w:val="00BF4184"/>
    <w:rsid w:val="00C04183"/>
    <w:rsid w:val="00C0601E"/>
    <w:rsid w:val="00C31D30"/>
    <w:rsid w:val="00C34884"/>
    <w:rsid w:val="00C562F7"/>
    <w:rsid w:val="00CD6E39"/>
    <w:rsid w:val="00CF6E91"/>
    <w:rsid w:val="00D03208"/>
    <w:rsid w:val="00D20958"/>
    <w:rsid w:val="00D559B7"/>
    <w:rsid w:val="00D85B68"/>
    <w:rsid w:val="00D91E52"/>
    <w:rsid w:val="00DF5F38"/>
    <w:rsid w:val="00E03A40"/>
    <w:rsid w:val="00E0555D"/>
    <w:rsid w:val="00E31EF1"/>
    <w:rsid w:val="00E6004D"/>
    <w:rsid w:val="00E66824"/>
    <w:rsid w:val="00E81978"/>
    <w:rsid w:val="00E92B66"/>
    <w:rsid w:val="00EB407C"/>
    <w:rsid w:val="00EC0CBD"/>
    <w:rsid w:val="00EE21BF"/>
    <w:rsid w:val="00F140CF"/>
    <w:rsid w:val="00F23EE1"/>
    <w:rsid w:val="00F3472C"/>
    <w:rsid w:val="00F379B7"/>
    <w:rsid w:val="00F525FA"/>
    <w:rsid w:val="00F7543C"/>
    <w:rsid w:val="00FE454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8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54158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22902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3546145">
      <w:bodyDiv w:val="1"/>
      <w:marLeft w:val="0"/>
      <w:marRight w:val="0"/>
      <w:marTop w:val="0"/>
      <w:marBottom w:val="0"/>
      <w:divBdr>
        <w:top w:val="none" w:sz="0" w:space="0" w:color="auto"/>
        <w:left w:val="none" w:sz="0" w:space="0" w:color="auto"/>
        <w:bottom w:val="none" w:sz="0" w:space="0" w:color="auto"/>
        <w:right w:val="none" w:sz="0" w:space="0" w:color="auto"/>
      </w:divBdr>
    </w:div>
    <w:div w:id="890381737">
      <w:bodyDiv w:val="1"/>
      <w:marLeft w:val="0"/>
      <w:marRight w:val="0"/>
      <w:marTop w:val="0"/>
      <w:marBottom w:val="0"/>
      <w:divBdr>
        <w:top w:val="none" w:sz="0" w:space="0" w:color="auto"/>
        <w:left w:val="none" w:sz="0" w:space="0" w:color="auto"/>
        <w:bottom w:val="none" w:sz="0" w:space="0" w:color="auto"/>
        <w:right w:val="none" w:sz="0" w:space="0" w:color="auto"/>
      </w:divBdr>
    </w:div>
    <w:div w:id="101318787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0584224">
      <w:bodyDiv w:val="1"/>
      <w:marLeft w:val="0"/>
      <w:marRight w:val="0"/>
      <w:marTop w:val="0"/>
      <w:marBottom w:val="0"/>
      <w:divBdr>
        <w:top w:val="none" w:sz="0" w:space="0" w:color="auto"/>
        <w:left w:val="none" w:sz="0" w:space="0" w:color="auto"/>
        <w:bottom w:val="none" w:sz="0" w:space="0" w:color="auto"/>
        <w:right w:val="none" w:sz="0" w:space="0" w:color="auto"/>
      </w:divBdr>
      <w:divsChild>
        <w:div w:id="1660884441">
          <w:marLeft w:val="0"/>
          <w:marRight w:val="0"/>
          <w:marTop w:val="0"/>
          <w:marBottom w:val="0"/>
          <w:divBdr>
            <w:top w:val="none" w:sz="0" w:space="0" w:color="auto"/>
            <w:left w:val="none" w:sz="0" w:space="0" w:color="auto"/>
            <w:bottom w:val="none" w:sz="0" w:space="0" w:color="auto"/>
            <w:right w:val="none" w:sz="0" w:space="0" w:color="auto"/>
          </w:divBdr>
          <w:divsChild>
            <w:div w:id="2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979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41359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Templates\APA%20style%20report%20(6th%20edition).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BME3\Term%201\Bioinformatics\Final%20Project\Delta_Content%20(1).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Difference of Chemical Constituents</a:t>
            </a:r>
            <a:endParaRPr lang="en-US"/>
          </a:p>
        </c:rich>
      </c:tx>
      <c:overlay val="0"/>
      <c:spPr>
        <a:noFill/>
        <a:ln>
          <a:noFill/>
        </a:ln>
        <a:effectLst/>
      </c:spPr>
    </c:title>
    <c:autoTitleDeleted val="0"/>
    <c:plotArea>
      <c:layout/>
      <c:barChart>
        <c:barDir val="col"/>
        <c:grouping val="clustered"/>
        <c:varyColors val="0"/>
        <c:ser>
          <c:idx val="0"/>
          <c:order val="0"/>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A content%</c:v>
                </c:pt>
                <c:pt idx="1">
                  <c:v>C Content%</c:v>
                </c:pt>
                <c:pt idx="2">
                  <c:v>G content%</c:v>
                </c:pt>
                <c:pt idx="3">
                  <c:v>T content%</c:v>
                </c:pt>
                <c:pt idx="4">
                  <c:v>CG content%</c:v>
                </c:pt>
              </c:strCache>
            </c:strRef>
          </c:cat>
          <c:val>
            <c:numRef>
              <c:f>Sheet1!$B$4:$F$4</c:f>
              <c:numCache>
                <c:formatCode>General</c:formatCode>
                <c:ptCount val="5"/>
                <c:pt idx="0">
                  <c:v>0.69199999999999662</c:v>
                </c:pt>
                <c:pt idx="1">
                  <c:v>0.42799999999999727</c:v>
                </c:pt>
                <c:pt idx="2">
                  <c:v>0.492999999999995</c:v>
                </c:pt>
                <c:pt idx="3">
                  <c:v>0.75999999999999801</c:v>
                </c:pt>
                <c:pt idx="4">
                  <c:v>0.91900000000000404</c:v>
                </c:pt>
              </c:numCache>
            </c:numRef>
          </c:val>
          <c:extLst xmlns:c16r2="http://schemas.microsoft.com/office/drawing/2015/06/chart">
            <c:ext xmlns:c16="http://schemas.microsoft.com/office/drawing/2014/chart" uri="{C3380CC4-5D6E-409C-BE32-E72D297353CC}">
              <c16:uniqueId val="{00000000-C017-4C8E-8D10-1E114F89BAC4}"/>
            </c:ext>
          </c:extLst>
        </c:ser>
        <c:dLbls>
          <c:showLegendKey val="0"/>
          <c:showVal val="0"/>
          <c:showCatName val="0"/>
          <c:showSerName val="0"/>
          <c:showPercent val="0"/>
          <c:showBubbleSize val="0"/>
        </c:dLbls>
        <c:gapWidth val="219"/>
        <c:overlap val="-27"/>
        <c:axId val="87042304"/>
        <c:axId val="87048192"/>
      </c:barChart>
      <c:catAx>
        <c:axId val="8704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87048192"/>
        <c:crosses val="autoZero"/>
        <c:auto val="1"/>
        <c:lblAlgn val="ctr"/>
        <c:lblOffset val="100"/>
        <c:noMultiLvlLbl val="0"/>
      </c:catAx>
      <c:valAx>
        <c:axId val="8704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8704230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ar-EG"/>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Variations</a:t>
            </a:r>
            <a:r>
              <a:rPr lang="en-US" baseline="0"/>
              <a:t> in Omicron</a:t>
            </a:r>
          </a:p>
          <a:p>
            <a:pPr>
              <a:defRPr sz="1400" b="0" i="0" u="none" strike="noStrike" kern="1200" spc="0" baseline="0">
                <a:solidFill>
                  <a:schemeClr val="tx1">
                    <a:lumMod val="65000"/>
                    <a:lumOff val="35000"/>
                  </a:schemeClr>
                </a:solidFill>
                <a:latin typeface="+mn-lt"/>
                <a:ea typeface="+mn-ea"/>
                <a:cs typeface="+mn-cs"/>
              </a:defRPr>
            </a:pPr>
            <a:r>
              <a:rPr lang="en-US" baseline="0"/>
              <a:t>(230 Total)</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Sheet1!$L$10:$N$10</c:f>
              <c:strCache>
                <c:ptCount val="3"/>
                <c:pt idx="0">
                  <c:v>Short Indels</c:v>
                </c:pt>
                <c:pt idx="1">
                  <c:v>Point Mutations</c:v>
                </c:pt>
                <c:pt idx="2">
                  <c:v>Rest of Mutations</c:v>
                </c:pt>
              </c:strCache>
            </c:strRef>
          </c:cat>
          <c:val>
            <c:numRef>
              <c:f>Sheet1!$L$11:$N$11</c:f>
              <c:numCache>
                <c:formatCode>General</c:formatCode>
                <c:ptCount val="3"/>
                <c:pt idx="0">
                  <c:v>108</c:v>
                </c:pt>
                <c:pt idx="1">
                  <c:v>86</c:v>
                </c:pt>
                <c:pt idx="2">
                  <c:v>36</c:v>
                </c:pt>
              </c:numCache>
            </c:numRef>
          </c:val>
          <c:extLst xmlns:c16r2="http://schemas.microsoft.com/office/drawing/2015/06/chart">
            <c:ext xmlns:c16="http://schemas.microsoft.com/office/drawing/2014/chart" uri="{C3380CC4-5D6E-409C-BE32-E72D297353CC}">
              <c16:uniqueId val="{00000000-4F71-4605-AB09-0A0607908066}"/>
            </c:ext>
          </c:extLst>
        </c:ser>
        <c:dLbls>
          <c:showLegendKey val="0"/>
          <c:showVal val="0"/>
          <c:showCatName val="0"/>
          <c:showSerName val="0"/>
          <c:showPercent val="0"/>
          <c:showBubbleSize val="0"/>
        </c:dLbls>
        <c:gapWidth val="219"/>
        <c:overlap val="-27"/>
        <c:axId val="109482752"/>
        <c:axId val="109484288"/>
      </c:barChart>
      <c:catAx>
        <c:axId val="10948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109484288"/>
        <c:crosses val="autoZero"/>
        <c:auto val="1"/>
        <c:lblAlgn val="ctr"/>
        <c:lblOffset val="100"/>
        <c:noMultiLvlLbl val="0"/>
      </c:catAx>
      <c:valAx>
        <c:axId val="10948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1094827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ar-EG"/>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BD897EA3B24337ABE8AAFB56F842EE"/>
        <w:category>
          <w:name w:val="General"/>
          <w:gallery w:val="placeholder"/>
        </w:category>
        <w:types>
          <w:type w:val="bbPlcHdr"/>
        </w:types>
        <w:behaviors>
          <w:behavior w:val="content"/>
        </w:behaviors>
        <w:guid w:val="{0E6191F7-0505-415C-BE32-18C60838995C}"/>
      </w:docPartPr>
      <w:docPartBody>
        <w:p w:rsidR="00D3360C" w:rsidRDefault="007E3EBA">
          <w:pPr>
            <w:pStyle w:val="BABD897EA3B24337ABE8AAFB56F842EE"/>
          </w:pPr>
          <w:r>
            <w:t>[Title Here, up to 12 Words, on One to Two Lines]</w:t>
          </w:r>
        </w:p>
      </w:docPartBody>
    </w:docPart>
    <w:docPart>
      <w:docPartPr>
        <w:name w:val="9812EDC52F4A40DA836EEFA8837D8D80"/>
        <w:category>
          <w:name w:val="General"/>
          <w:gallery w:val="placeholder"/>
        </w:category>
        <w:types>
          <w:type w:val="bbPlcHdr"/>
        </w:types>
        <w:behaviors>
          <w:behavior w:val="content"/>
        </w:behaviors>
        <w:guid w:val="{D16C6955-F7A8-4268-B952-2265C5BBCC0B}"/>
      </w:docPartPr>
      <w:docPartBody>
        <w:p w:rsidR="00D3360C" w:rsidRDefault="007E3EBA">
          <w:pPr>
            <w:pStyle w:val="9812EDC52F4A40DA836EEFA8837D8D80"/>
          </w:pPr>
          <w:r>
            <w:t>Abstract</w:t>
          </w:r>
        </w:p>
      </w:docPartBody>
    </w:docPart>
    <w:docPart>
      <w:docPartPr>
        <w:name w:val="3F9D92C7D836453ABE1DCDB7C6D18726"/>
        <w:category>
          <w:name w:val="General"/>
          <w:gallery w:val="placeholder"/>
        </w:category>
        <w:types>
          <w:type w:val="bbPlcHdr"/>
        </w:types>
        <w:behaviors>
          <w:behavior w:val="content"/>
        </w:behaviors>
        <w:guid w:val="{9498C045-0396-44C2-858C-C13AA47D9543}"/>
      </w:docPartPr>
      <w:docPartBody>
        <w:p w:rsidR="00D3360C" w:rsidRDefault="007E3EBA">
          <w:pPr>
            <w:pStyle w:val="3F9D92C7D836453ABE1DCDB7C6D18726"/>
          </w:pPr>
          <w:r>
            <w:t>[Title Here, up to 12 Words, on One to Two Lines]</w:t>
          </w:r>
        </w:p>
      </w:docPartBody>
    </w:docPart>
    <w:docPart>
      <w:docPartPr>
        <w:name w:val="BAC0871ECB254A05A250F3CF62DF19D1"/>
        <w:category>
          <w:name w:val="General"/>
          <w:gallery w:val="placeholder"/>
        </w:category>
        <w:types>
          <w:type w:val="bbPlcHdr"/>
        </w:types>
        <w:behaviors>
          <w:behavior w:val="content"/>
        </w:behaviors>
        <w:guid w:val="{96ABA55C-CA12-4103-81F1-F23E2F0080E4}"/>
      </w:docPartPr>
      <w:docPartBody>
        <w:p w:rsidR="00D3360C" w:rsidRDefault="007E3EBA">
          <w:pPr>
            <w:pStyle w:val="BAC0871ECB254A05A250F3CF62DF19D1"/>
          </w:pPr>
          <w:r w:rsidRPr="005D3A03">
            <w:t>Figures title:</w:t>
          </w:r>
        </w:p>
      </w:docPartBody>
    </w:docPart>
    <w:docPart>
      <w:docPartPr>
        <w:name w:val="3EA36729C82A41D7B448FCE3DF7D6745"/>
        <w:category>
          <w:name w:val="General"/>
          <w:gallery w:val="placeholder"/>
        </w:category>
        <w:types>
          <w:type w:val="bbPlcHdr"/>
        </w:types>
        <w:behaviors>
          <w:behavior w:val="content"/>
        </w:behaviors>
        <w:guid w:val="{35310F7F-714B-4811-8D70-5FFA262CD715}"/>
      </w:docPartPr>
      <w:docPartBody>
        <w:p w:rsidR="00D3360C" w:rsidRDefault="007E3EBA">
          <w:pPr>
            <w:pStyle w:val="3EA36729C82A41D7B448FCE3DF7D674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BA"/>
    <w:rsid w:val="00423C52"/>
    <w:rsid w:val="006A7E54"/>
    <w:rsid w:val="00720717"/>
    <w:rsid w:val="007E3EBA"/>
    <w:rsid w:val="00930B6A"/>
    <w:rsid w:val="009C7C2D"/>
    <w:rsid w:val="00D3360C"/>
    <w:rsid w:val="00F61977"/>
    <w:rsid w:val="00F66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D897EA3B24337ABE8AAFB56F842EE">
    <w:name w:val="BABD897EA3B24337ABE8AAFB56F842EE"/>
  </w:style>
  <w:style w:type="paragraph" w:customStyle="1" w:styleId="9812EDC52F4A40DA836EEFA8837D8D80">
    <w:name w:val="9812EDC52F4A40DA836EEFA8837D8D80"/>
  </w:style>
  <w:style w:type="character" w:styleId="Emphasis">
    <w:name w:val="Emphasis"/>
    <w:basedOn w:val="DefaultParagraphFont"/>
    <w:uiPriority w:val="4"/>
    <w:unhideWhenUsed/>
    <w:qFormat/>
    <w:rPr>
      <w:i/>
      <w:iCs/>
    </w:rPr>
  </w:style>
  <w:style w:type="paragraph" w:customStyle="1" w:styleId="3F9D92C7D836453ABE1DCDB7C6D18726">
    <w:name w:val="3F9D92C7D836453ABE1DCDB7C6D18726"/>
  </w:style>
  <w:style w:type="paragraph" w:customStyle="1" w:styleId="BAC0871ECB254A05A250F3CF62DF19D1">
    <w:name w:val="BAC0871ECB254A05A250F3CF62DF19D1"/>
  </w:style>
  <w:style w:type="paragraph" w:customStyle="1" w:styleId="3EA36729C82A41D7B448FCE3DF7D6745">
    <w:name w:val="3EA36729C82A41D7B448FCE3DF7D67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D897EA3B24337ABE8AAFB56F842EE">
    <w:name w:val="BABD897EA3B24337ABE8AAFB56F842EE"/>
  </w:style>
  <w:style w:type="paragraph" w:customStyle="1" w:styleId="9812EDC52F4A40DA836EEFA8837D8D80">
    <w:name w:val="9812EDC52F4A40DA836EEFA8837D8D80"/>
  </w:style>
  <w:style w:type="character" w:styleId="Emphasis">
    <w:name w:val="Emphasis"/>
    <w:basedOn w:val="DefaultParagraphFont"/>
    <w:uiPriority w:val="4"/>
    <w:unhideWhenUsed/>
    <w:qFormat/>
    <w:rPr>
      <w:i/>
      <w:iCs/>
    </w:rPr>
  </w:style>
  <w:style w:type="paragraph" w:customStyle="1" w:styleId="3F9D92C7D836453ABE1DCDB7C6D18726">
    <w:name w:val="3F9D92C7D836453ABE1DCDB7C6D18726"/>
  </w:style>
  <w:style w:type="paragraph" w:customStyle="1" w:styleId="BAC0871ECB254A05A250F3CF62DF19D1">
    <w:name w:val="BAC0871ECB254A05A250F3CF62DF19D1"/>
  </w:style>
  <w:style w:type="paragraph" w:customStyle="1" w:styleId="3EA36729C82A41D7B448FCE3DF7D6745">
    <w:name w:val="3EA36729C82A41D7B448FCE3DF7D6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different is omicron?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38949-C492-488D-BECE-AFF044B5C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952</TotalTime>
  <Pages>9</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 comparison between COVID-19 variants (Delta and Omicron)</vt:lpstr>
    </vt:vector>
  </TitlesOfParts>
  <Company/>
  <LinksUpToDate>false</LinksUpToDate>
  <CharactersWithSpaces>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between COVID-19 variants (Delta and Omicron)</dc:title>
  <dc:creator>Youssef</dc:creator>
  <cp:lastModifiedBy>blur</cp:lastModifiedBy>
  <cp:revision>21</cp:revision>
  <cp:lastPrinted>2022-01-09T14:57:00Z</cp:lastPrinted>
  <dcterms:created xsi:type="dcterms:W3CDTF">2022-01-06T21:29:00Z</dcterms:created>
  <dcterms:modified xsi:type="dcterms:W3CDTF">2022-01-09T14:59:00Z</dcterms:modified>
</cp:coreProperties>
</file>