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Cambria" w:cs="Cambria" w:eastAsia="Cambria" w:hAnsi="Cambria"/>
          <w:b/>
          <w:bCs/>
          <w:sz w:val="36"/>
          <w:szCs w:val="36"/>
        </w:rPr>
        <w:t xml:space="preserve">NeuroLink V4: Methodology</w:t>
      </w:r>
    </w:p>
    <w:p>
      <w:pPr>
        <w:spacing w:after="80"/>
        <w:jc w:val="center"/>
      </w:pPr>
      <w:r>
        <w:rPr>
          <w:rFonts w:ascii="Cambria" w:cs="Cambria" w:eastAsia="Cambria" w:hAnsi="Cambria"/>
          <w:i/>
          <w:iCs/>
          <w:sz w:val="26"/>
          <w:szCs w:val="26"/>
        </w:rPr>
        <w:t xml:space="preserve">A Privacy-Preserving Multi-Stream Behavioral Baseline Engine for Typing Performance</w:t>
      </w:r>
    </w:p>
    <w:p>
      <w:pPr>
        <w:spacing w:after="400"/>
        <w:jc w:val="center"/>
      </w:pPr>
      <w:r>
        <w:rPr>
          <w:rFonts w:ascii="Cambria" w:cs="Cambria" w:eastAsia="Cambria" w:hAnsi="Cambria"/>
          <w:color w:val="555555"/>
          <w:sz w:val="22"/>
          <w:szCs w:val="22"/>
        </w:rPr>
        <w:t xml:space="preserve">Youssef Zuaiter · August 2026</w:t>
      </w:r>
    </w:p>
    <w:p>
      <w:pPr>
        <w:pStyle w:val="Heading1"/>
        <w:spacing w:after="120" w:before="360"/>
      </w:pPr>
      <w:r>
        <w:t xml:space="preserve">1. Overview</w:t>
      </w:r>
    </w:p>
    <w:p>
      <w:pPr>
        <w:spacing w:after="16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NeuroLink V4 is an 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N-of-1</w:t>
      </w:r>
      <w:r>
        <w:rPr>
          <w:rFonts w:ascii="Cambria" w:cs="Cambria" w:eastAsia="Cambria" w:hAnsi="Cambria"/>
          <w:sz w:val="24"/>
          <w:szCs w:val="24"/>
        </w:rPr>
        <w:t xml:space="preserve"> autoencoder-based anomaly detection system trained exclusively on a single user's typing history. The system learns a compact latent representation of the user's personal behavioral baseline and flags deviations from it across three independent streams: Speed, Accuracy, and Motor control. Differential Privacy (DP-SGD via Opacus) is applied during training to provide formal privacy guarantees, ensuring that no individual lesson disproportionately influences the learned model.</w:t>
      </w:r>
    </w:p>
    <w:p>
      <w:pPr>
        <w:spacing w:after="160"/>
        <w:jc w:val="both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Dataset: </w:t>
      </w:r>
      <w:r>
        <w:rPr>
          <w:rFonts w:ascii="Cambria" w:cs="Cambria" w:eastAsia="Cambria" w:hAnsi="Cambria"/>
          <w:sz w:val="24"/>
          <w:szCs w:val="24"/>
        </w:rPr>
        <w:t xml:space="preserve">50,321 lessons collected on keybr.com between December 2024 and July 2026 (492 days). All data is personal and locally held — no raw keystroke data was transmitted or shared.</w:t>
      </w:r>
    </w:p>
    <w:p>
      <w:pPr>
        <w:pStyle w:val="Heading1"/>
        <w:spacing w:after="120" w:before="360"/>
      </w:pPr>
      <w:r>
        <w:t xml:space="preserve">2. Feature Engineering</w:t>
      </w:r>
    </w:p>
    <w:p>
      <w:pPr>
        <w:spacing w:after="16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Fifteen session-level features are derived from raw typing logs and organized into three semantically coherent streams. Each feature is computed per lesson and stored as a time series.</w:t>
      </w:r>
    </w:p>
    <w:p>
      <w:pPr>
        <w:pStyle w:val="Heading2"/>
        <w:spacing w:after="80" w:before="240"/>
      </w:pPr>
      <w:r>
        <w:t xml:space="preserve">2.1 Speed Stream (5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2E4057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860"/>
            <w:shd w:fill="2E4057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EV (Expected Value)</w:t>
            </w:r>
          </w:p>
        </w:tc>
        <w:tc>
          <w:tcPr>
            <w:tcW w:type="dxa" w:w="58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Exponentially weighted WPM — down-weights early warm-up laps</w:t>
            </w:r>
          </w:p>
        </w:tc>
      </w:tr>
      <w:tr>
        <w:tc>
          <w:tcPr>
            <w:tcW w:type="dxa" w:w="3500"/>
            <w:shd w:fill="F5F5F5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RSV (Rolling Session Variance)</w:t>
            </w:r>
          </w:p>
        </w:tc>
        <w:tc>
          <w:tcPr>
            <w:tcW w:type="dxa" w:w="586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Variance of WPM across last 10 sessions — measures volatility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wpm_vs_50roll</w:t>
            </w:r>
          </w:p>
        </w:tc>
        <w:tc>
          <w:tcPr>
            <w:tcW w:type="dxa" w:w="58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Current WPM minus 50-session rolling mean — short-term deviation</w:t>
            </w:r>
          </w:p>
        </w:tc>
      </w:tr>
      <w:tr>
        <w:tc>
          <w:tcPr>
            <w:tcW w:type="dxa" w:w="3500"/>
            <w:shd w:fill="F5F5F5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improvement_rate</w:t>
            </w:r>
          </w:p>
        </w:tc>
        <w:tc>
          <w:tcPr>
            <w:tcW w:type="dxa" w:w="586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Slope of WPM over a 14-session linear regression window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warmup_effect</w:t>
            </w:r>
          </w:p>
        </w:tc>
        <w:tc>
          <w:tcPr>
            <w:tcW w:type="dxa" w:w="58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WPM gap between first and last lap of a session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2.2 Accuracy Stream (5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2E4057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860"/>
            <w:shd w:fill="2E4057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error_entropy</w:t>
            </w:r>
          </w:p>
        </w:tc>
        <w:tc>
          <w:tcPr>
            <w:tcW w:type="dxa" w:w="58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Shannon entropy of per-character error distribution — measures error concentration</w:t>
            </w:r>
          </w:p>
        </w:tc>
      </w:tr>
      <w:tr>
        <w:tc>
          <w:tcPr>
            <w:tcW w:type="dxa" w:w="3500"/>
            <w:shd w:fill="F5F5F5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speed_var_wl</w:t>
            </w:r>
          </w:p>
        </w:tc>
        <w:tc>
          <w:tcPr>
            <w:tcW w:type="dxa" w:w="586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Variance of WPM across word-length bins — flags word-length sensitivity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worst_char_improvement</w:t>
            </w:r>
          </w:p>
        </w:tc>
        <w:tc>
          <w:tcPr>
            <w:tcW w:type="dxa" w:w="58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Rate of improvement on the user's historically weakest characters</w:t>
            </w:r>
          </w:p>
        </w:tc>
      </w:tr>
      <w:tr>
        <w:tc>
          <w:tcPr>
            <w:tcW w:type="dxa" w:w="3500"/>
            <w:shd w:fill="F5F5F5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miss_ratio_top3</w:t>
            </w:r>
          </w:p>
        </w:tc>
        <w:tc>
          <w:tcPr>
            <w:tcW w:type="dxa" w:w="586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Error rate specifically on the 3 most-missed characters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error_rate_trend</w:t>
            </w:r>
          </w:p>
        </w:tc>
        <w:tc>
          <w:tcPr>
            <w:tcW w:type="dxa" w:w="58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Slope of error rate over a 14-session window — detects deterioration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2.3 Motor Stream (5 features)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shd w:fill="2E4057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5860"/>
            <w:shd w:fill="2E4057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CTA (Chronotype Adjustment)</w:t>
            </w:r>
          </w:p>
        </w:tc>
        <w:tc>
          <w:tcPr>
            <w:tcW w:type="dxa" w:w="58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Cosine-transformed time-of-day — captures circadian periodicity</w:t>
            </w:r>
          </w:p>
        </w:tc>
      </w:tr>
      <w:tr>
        <w:tc>
          <w:tcPr>
            <w:tcW w:type="dxa" w:w="3500"/>
            <w:shd w:fill="F5F5F5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CTA_cos</w:t>
            </w:r>
          </w:p>
        </w:tc>
        <w:tc>
          <w:tcPr>
            <w:tcW w:type="dxa" w:w="586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Sine component of time-of-day (orthogonal to CTA)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hand_asymmetry</w:t>
            </w:r>
          </w:p>
        </w:tc>
        <w:tc>
          <w:tcPr>
            <w:tcW w:type="dxa" w:w="58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Ratio of left-hand to right-hand key error rates</w:t>
            </w:r>
          </w:p>
        </w:tc>
      </w:tr>
      <w:tr>
        <w:tc>
          <w:tcPr>
            <w:tcW w:type="dxa" w:w="3500"/>
            <w:shd w:fill="F5F5F5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time_of_day</w:t>
            </w:r>
          </w:p>
        </w:tc>
        <w:tc>
          <w:tcPr>
            <w:tcW w:type="dxa" w:w="586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Raw hour of session (0–23), preserved for linear trend detection</w:t>
            </w:r>
          </w:p>
        </w:tc>
      </w:tr>
      <w:tr>
        <w:tc>
          <w:tcPr>
            <w:tcW w:type="dxa" w:w="35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speed_dispersion</w:t>
            </w:r>
          </w:p>
        </w:tc>
        <w:tc>
          <w:tcPr>
            <w:tcW w:type="dxa" w:w="58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IQR of per-character WPM — measures fine motor consistency within a session</w:t>
            </w:r>
          </w:p>
        </w:tc>
      </w:tr>
    </w:tbl>
    <w:p>
      <w:pPr>
        <w:spacing w:after="80"/>
      </w:pPr>
    </w:p>
    <w:p>
      <w:pPr>
        <w:spacing w:after="160"/>
        <w:jc w:val="both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Dropped features: </w:t>
      </w:r>
      <w:r>
        <w:rPr>
          <w:rFonts w:ascii="Cambria" w:cs="Cambria" w:eastAsia="Cambria" w:hAnsi="Cambria"/>
          <w:sz w:val="24"/>
          <w:szCs w:val="24"/>
        </w:rPr>
        <w:t xml:space="preserve">Three features were evaluated but excluded after per-feature R² analysis during ablation. Session Success Rate Flag (SSF, R²=0.39), day_of_week (R²=0.03), and Error-Speed Ratio Product (ESRP, R²=0.51) all produced reconstruction errors too large to contribute meaningfully to anomaly detection without generating excessive false positives. Dropping them improved the Motor stream R² from 0.666 to 0.980.</w:t>
      </w:r>
    </w:p>
    <w:p>
      <w:pPr>
        <w:pStyle w:val="Heading1"/>
        <w:spacing w:after="120" w:before="360"/>
      </w:pPr>
      <w:r>
        <w:t xml:space="preserve">3. Model Architecture</w:t>
      </w:r>
    </w:p>
    <w:p>
      <w:pPr>
        <w:spacing w:after="16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NeuroLink V4 uses a multi-head autoencoder. A shared encoder compresses the 15-feature input into a 10-dimensional latent space, which is then decoded by three stream-specific decoder heads. This forces the latent representation to capture cross-stream behavioral correlations while allowing each decoder to specialize in its stream's reconstruction objective.</w:t>
      </w:r>
    </w:p>
    <w:p>
      <w:pPr>
        <w:pStyle w:val="Heading2"/>
        <w:spacing w:after="80" w:before="240"/>
      </w:pPr>
      <w:r>
        <w:t xml:space="preserve">3.1 Shared Encoder</w:t>
      </w:r>
    </w:p>
    <w:p>
      <w:pPr>
        <w:spacing w:after="160"/>
      </w:pPr>
      <w:r>
        <w:rPr>
          <w:rFonts w:ascii="Courier New" w:cs="Courier New" w:eastAsia="Courier New" w:hAnsi="Courier New"/>
          <w:sz w:val="22"/>
          <w:szCs w:val="22"/>
        </w:rPr>
        <w:t xml:space="preserve">Input (15) → Linear(15→32) → Tanh → Linear(32→16) → Tanh → Linear(16→10) → Tanh</w:t>
      </w:r>
    </w:p>
    <w:p>
      <w:pPr>
        <w:spacing w:after="16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Tanh activations are used throughout the encoder (rather than ReLU) to preserve signed deviations in the latent space — critical for distinguishing above-baseline from below-baseline sessions.</w:t>
      </w:r>
    </w:p>
    <w:p>
      <w:pPr>
        <w:pStyle w:val="Heading2"/>
        <w:spacing w:after="80" w:before="240"/>
      </w:pPr>
      <w:r>
        <w:t xml:space="preserve">3.2 Decoder Heads</w:t>
      </w:r>
    </w:p>
    <w:p>
      <w:pPr>
        <w:spacing w:after="160"/>
      </w:pPr>
      <w:r>
        <w:rPr>
          <w:rFonts w:ascii="Courier New" w:cs="Courier New" w:eastAsia="Courier New" w:hAnsi="Courier New"/>
          <w:sz w:val="22"/>
          <w:szCs w:val="22"/>
        </w:rPr>
        <w:t xml:space="preserve">Speed Head:    z(10) → Linear(10→16) → Tanh → Linear(16→5)  → Speed reconstruction
Accuracy Head: z(10) → Linear(10→16) → Tanh → Linear(16→5)  → Accuracy reconstruction
Motor Head:    z(10) → Linear(10→16) → Tanh → Linear(16→5)  → Motor reconstruction</w:t>
      </w:r>
    </w:p>
    <w:p>
      <w:pPr>
        <w:spacing w:after="16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All three heads share the same latent vector z. Their outputs are compared against the original feature values to compute stream-specific reconstruction losses.</w:t>
      </w:r>
    </w:p>
    <w:p>
      <w:pPr>
        <w:pStyle w:val="Heading1"/>
        <w:spacing w:after="120" w:before="360"/>
      </w:pPr>
      <w:r>
        <w:t xml:space="preserve">4. Training Procedure</w:t>
      </w:r>
    </w:p>
    <w:p>
      <w:pPr>
        <w:pStyle w:val="Heading2"/>
        <w:spacing w:after="80" w:before="240"/>
      </w:pPr>
      <w:r>
        <w:t xml:space="preserve">4.1 Loss Function</w:t>
      </w:r>
    </w:p>
    <w:p>
      <w:pPr>
        <w:spacing w:after="16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The training loss is a Huber loss normalized by the number of features in each head, weighted by per-feature importance:</w:t>
      </w:r>
    </w:p>
    <w:p>
      <w:pPr>
        <w:spacing w:after="160"/>
      </w:pPr>
      <w:r>
        <w:rPr>
          <w:rFonts w:ascii="Courier New" w:cs="Courier New" w:eastAsia="Courier New" w:hAnsi="Courier New"/>
          <w:sz w:val="22"/>
          <w:szCs w:val="22"/>
        </w:rPr>
        <w:t xml:space="preserve">stream_loss(pred, target, weights, n_feats) =
    mean(huber(pred - target) * weights) / n_feats
Total loss = stream_loss(Speed) + stream_loss(Accuracy) + stream_loss(Motor)</w:t>
      </w:r>
    </w:p>
    <w:p>
      <w:pPr>
        <w:spacing w:after="160"/>
        <w:jc w:val="both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Huber loss </w:t>
      </w:r>
      <w:r>
        <w:rPr>
          <w:rFonts w:ascii="Cambria" w:cs="Cambria" w:eastAsia="Cambria" w:hAnsi="Cambria"/>
          <w:sz w:val="24"/>
          <w:szCs w:val="24"/>
        </w:rPr>
        <w:t xml:space="preserve">(δ=1.0) is used in place of MSE to reduce sensitivity to outlier sessions — particularly important for a small N-of-1 dataset where a single extreme session can dominate gradients. Normalization by head size (n_feats=5 for all heads) ensures the three loss terms are on equal scales before summation.</w:t>
      </w:r>
    </w:p>
    <w:p>
      <w:pPr>
        <w:pStyle w:val="Heading2"/>
        <w:spacing w:after="80" w:before="240"/>
      </w:pPr>
      <w:r>
        <w:t xml:space="preserve">4.2 Per-feature Weights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shd w:fill="2E4057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Stream</w:t>
            </w:r>
          </w:p>
        </w:tc>
        <w:tc>
          <w:tcPr>
            <w:tcW w:type="dxa" w:w="6860"/>
            <w:shd w:fill="2E4057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Feature weights (ordered)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Speed</w:t>
            </w:r>
          </w:p>
        </w:tc>
        <w:tc>
          <w:tcPr>
            <w:tcW w:type="dxa" w:w="68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[1.0, 1.0, 1.0, 2.0, 2.0]  — higher weight on improvement_rate and warmup_effect</w:t>
            </w:r>
          </w:p>
        </w:tc>
      </w:tr>
      <w:tr>
        <w:tc>
          <w:tcPr>
            <w:tcW w:type="dxa" w:w="2500"/>
            <w:shd w:fill="F5F5F5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Accuracy</w:t>
            </w:r>
          </w:p>
        </w:tc>
        <w:tc>
          <w:tcPr>
            <w:tcW w:type="dxa" w:w="686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[2.0, 1.5, 1.5, 2.0, 1.5]  — higher weight on error_entropy and miss_ratio_top3</w:t>
            </w:r>
          </w:p>
        </w:tc>
      </w:tr>
      <w:tr>
        <w:tc>
          <w:tcPr>
            <w:tcW w:type="dxa" w:w="25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Motor</w:t>
            </w:r>
          </w:p>
        </w:tc>
        <w:tc>
          <w:tcPr>
            <w:tcW w:type="dxa" w:w="68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[1.0, 1.0, 2.0, 1.0, 1.5]  — higher weight on hand_asymmetry and speed_dispersion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4.3 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shd w:fill="2E4057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5360"/>
            <w:shd w:fill="2E4057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Epochs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120</w:t>
            </w:r>
          </w:p>
        </w:tc>
      </w:tr>
      <w:tr>
        <w:tc>
          <w:tcPr>
            <w:tcW w:type="dxa" w:w="4000"/>
            <w:shd w:fill="F5F5F5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Batch size</w:t>
            </w:r>
          </w:p>
        </w:tc>
        <w:tc>
          <w:tcPr>
            <w:tcW w:type="dxa" w:w="536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64</w:t>
            </w:r>
          </w:p>
        </w:tc>
      </w:tr>
      <w:tr>
        <w:tc>
          <w:tcPr>
            <w:tcW w:type="dxa" w:w="4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Peak learning rate (cosine schedule)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2×10⁻³</w:t>
            </w:r>
          </w:p>
        </w:tc>
      </w:tr>
      <w:tr>
        <w:tc>
          <w:tcPr>
            <w:tcW w:type="dxa" w:w="4000"/>
            <w:shd w:fill="F5F5F5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Early stopping patience</w:t>
            </w:r>
          </w:p>
        </w:tc>
        <w:tc>
          <w:tcPr>
            <w:tcW w:type="dxa" w:w="536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20 epochs</w:t>
            </w:r>
          </w:p>
        </w:tc>
      </w:tr>
      <w:tr>
        <w:tc>
          <w:tcPr>
            <w:tcW w:type="dxa" w:w="4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Gradient clipping (MAX_GRAD_NORM)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4000"/>
            <w:shd w:fill="F5F5F5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Optimizer</w:t>
            </w:r>
          </w:p>
        </w:tc>
        <w:tc>
          <w:tcPr>
            <w:tcW w:type="dxa" w:w="536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DP-Adam (Opacus)</w:t>
            </w:r>
          </w:p>
        </w:tc>
      </w:tr>
    </w:tbl>
    <w:p>
      <w:pPr>
        <w:spacing w:after="80"/>
      </w:pPr>
    </w:p>
    <w:p>
      <w:pPr>
        <w:pStyle w:val="Heading2"/>
        <w:spacing w:after="80" w:before="240"/>
      </w:pPr>
      <w:r>
        <w:t xml:space="preserve">4.4 Differential Privacy (DP-SGD)</w:t>
      </w:r>
    </w:p>
    <w:p>
      <w:pPr>
        <w:spacing w:after="16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Training is performed under DP-SGD via the Opacus library. Per-sample gradients are clipped at MAX_GRAD_NORM=1.0 before noise addition. The privacy budget is tracked using the RDP (Rényi Differential Privacy) accountant, which provides tighter bounds than the classical moments accountant.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shd w:fill="2E4057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Privacy parameter</w:t>
            </w:r>
          </w:p>
        </w:tc>
        <w:tc>
          <w:tcPr>
            <w:tcW w:type="dxa" w:w="5360"/>
            <w:shd w:fill="2E4057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Target ε (epsilon)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10.0</w:t>
            </w:r>
          </w:p>
        </w:tc>
      </w:tr>
      <w:tr>
        <w:tc>
          <w:tcPr>
            <w:tcW w:type="dxa" w:w="4000"/>
            <w:shd w:fill="F5F5F5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δ (delta)</w:t>
            </w:r>
          </w:p>
        </w:tc>
        <w:tc>
          <w:tcPr>
            <w:tcW w:type="dxa" w:w="536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1×10⁻⁵</w:t>
            </w:r>
          </w:p>
        </w:tc>
      </w:tr>
      <w:tr>
        <w:tc>
          <w:tcPr>
            <w:tcW w:type="dxa" w:w="4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Achieved ε (after 120 epochs)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9.997</w:t>
            </w:r>
          </w:p>
        </w:tc>
      </w:tr>
      <w:tr>
        <w:tc>
          <w:tcPr>
            <w:tcW w:type="dxa" w:w="4000"/>
            <w:shd w:fill="F5F5F5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Accountant</w:t>
            </w:r>
          </w:p>
        </w:tc>
        <w:tc>
          <w:tcPr>
            <w:tcW w:type="dxa" w:w="536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RDP</w:t>
            </w:r>
          </w:p>
        </w:tc>
      </w:tr>
      <w:tr>
        <w:tc>
          <w:tcPr>
            <w:tcW w:type="dxa" w:w="4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MAX_GRAD_NORM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1.0</w:t>
            </w:r>
          </w:p>
        </w:tc>
      </w:tr>
    </w:tbl>
    <w:p>
      <w:pPr>
        <w:spacing w:after="80"/>
      </w:pPr>
    </w:p>
    <w:p>
      <w:pPr>
        <w:spacing w:after="16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The achieved ε=9.997 confirms the model was trained within the specified privacy budget. The privacy cost in reconstruction quality is ΔR²=+0.0478 relative to an identically-architected non-DP autoencoder (Non-DP R²=0.9776 vs NeuroLink V4 R²=0.9299 on the test set).</w:t>
      </w:r>
    </w:p>
    <w:p>
      <w:pPr>
        <w:pStyle w:val="Heading2"/>
        <w:spacing w:after="80" w:before="240"/>
      </w:pPr>
      <w:r>
        <w:t xml:space="preserve">4.5 Train/Test Split</w:t>
      </w:r>
    </w:p>
    <w:p>
      <w:pPr>
        <w:spacing w:after="16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Data is split chronologically — the first 75% of days form the training set and the remaining 25% form the test set. This preserves temporal ordering and prevents data leakage from future sessions into the training distribution. The model is trained exclusively on training-set sessions; all evaluation metrics are computed on the held-out test set.</w:t>
      </w:r>
    </w:p>
    <w:p>
      <w:pPr>
        <w:pStyle w:val="Heading1"/>
        <w:spacing w:after="120" w:before="360"/>
      </w:pPr>
      <w:r>
        <w:t xml:space="preserve">5. Anomaly Detection — Longitudinal Drift Index (LDI)</w:t>
      </w:r>
    </w:p>
    <w:p>
      <w:pPr>
        <w:spacing w:after="16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After training, the autoencoder is applied to all sessions in inference mode. For each session, the reconstruction error per stream is computed. The Longitudinal Drift Index (LDI) is a normalized drift score computed separately for each of the three streams using a multi-scale approach.</w:t>
      </w:r>
    </w:p>
    <w:p>
      <w:pPr>
        <w:pStyle w:val="Heading2"/>
        <w:spacing w:after="80" w:before="240"/>
      </w:pPr>
      <w:r>
        <w:t xml:space="preserve">5.1 Multi-Scale LDI</w:t>
      </w:r>
    </w:p>
    <w:p>
      <w:pPr>
        <w:spacing w:after="16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Three temporal scales are used per stream: short (7-day), medium (30-day), and long (90-day) rolling windows. The LDI at each scale is computed as the z-score of the current session's reconstruction error relative to the rolling distribution at that window. The three scale scores are averaged to produce a single LDI per stream per day.</w:t>
      </w:r>
    </w:p>
    <w:p>
      <w:pPr>
        <w:pStyle w:val="Heading2"/>
        <w:spacing w:after="80" w:before="240"/>
      </w:pPr>
      <w:r>
        <w:t xml:space="preserve">5.2 Anomaly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shd w:fill="2E4057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Tier</w:t>
            </w:r>
          </w:p>
        </w:tc>
        <w:tc>
          <w:tcPr>
            <w:tcW w:type="dxa" w:w="3000"/>
            <w:shd w:fill="2E4057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Threshold</w:t>
            </w:r>
          </w:p>
        </w:tc>
        <w:tc>
          <w:tcPr>
            <w:tcW w:type="dxa" w:w="4360"/>
            <w:shd w:fill="2E4057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Interpretation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HIGH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LDI &gt; 2.0 (any stream)</w:t>
            </w:r>
          </w:p>
        </w:tc>
        <w:tc>
          <w:tcPr>
            <w:tcW w:type="dxa" w:w="43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Significant drift — notable deviation from personal baseline</w:t>
            </w:r>
          </w:p>
        </w:tc>
      </w:tr>
      <w:tr>
        <w:tc>
          <w:tcPr>
            <w:tcW w:type="dxa" w:w="2000"/>
            <w:shd w:fill="F5F5F5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ELEVATED</w:t>
            </w:r>
          </w:p>
        </w:tc>
        <w:tc>
          <w:tcPr>
            <w:tcW w:type="dxa" w:w="300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LDI &gt; 1.0 (any stream)</w:t>
            </w:r>
          </w:p>
        </w:tc>
        <w:tc>
          <w:tcPr>
            <w:tcW w:type="dxa" w:w="436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Moderate drift — worth monitoring</w:t>
            </w:r>
          </w:p>
        </w:tc>
      </w:tr>
      <w:tr>
        <w:tc>
          <w:tcPr>
            <w:tcW w:type="dxa" w:w="2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NORMAL</w:t>
            </w:r>
          </w:p>
        </w:tc>
        <w:tc>
          <w:tcPr>
            <w:tcW w:type="dxa" w:w="30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All streams LDI ≤ 1.0</w:t>
            </w:r>
          </w:p>
        </w:tc>
        <w:tc>
          <w:tcPr>
            <w:tcW w:type="dxa" w:w="43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Within expected behavioral range</w:t>
            </w:r>
          </w:p>
        </w:tc>
      </w:tr>
    </w:tbl>
    <w:p>
      <w:pPr>
        <w:spacing w:after="80"/>
      </w:pPr>
    </w:p>
    <w:p>
      <w:pPr>
        <w:spacing w:after="16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Bootstrap confidence intervals (95%, B=500 resamples) are computed for each LDI threshold to quantify uncertainty in anomaly classifications, particularly for sessions near the boundary.</w:t>
      </w:r>
    </w:p>
    <w:p>
      <w:pPr>
        <w:pStyle w:val="Heading2"/>
        <w:spacing w:after="80" w:before="240"/>
      </w:pPr>
      <w:r>
        <w:t xml:space="preserve">5.3 Results on Full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shd w:fill="2E4057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5360"/>
            <w:shd w:fill="2E4057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Validation R²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0.9751 (PASS)</w:t>
            </w:r>
          </w:p>
        </w:tc>
      </w:tr>
      <w:tr>
        <w:tc>
          <w:tcPr>
            <w:tcW w:type="dxa" w:w="4000"/>
            <w:shd w:fill="F5F5F5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Test R²</w:t>
            </w:r>
          </w:p>
        </w:tc>
        <w:tc>
          <w:tcPr>
            <w:tcW w:type="dxa" w:w="536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0.8922</w:t>
            </w:r>
          </w:p>
        </w:tc>
      </w:tr>
      <w:tr>
        <w:tc>
          <w:tcPr>
            <w:tcW w:type="dxa" w:w="4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HIGH anomaly days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18.5%</w:t>
            </w:r>
          </w:p>
        </w:tc>
      </w:tr>
      <w:tr>
        <w:tc>
          <w:tcPr>
            <w:tcW w:type="dxa" w:w="4000"/>
            <w:shd w:fill="F5F5F5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NORMAL days</w:t>
            </w:r>
          </w:p>
        </w:tc>
        <w:tc>
          <w:tcPr>
            <w:tcW w:type="dxa" w:w="536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63.2%</w:t>
            </w:r>
          </w:p>
        </w:tc>
      </w:tr>
      <w:tr>
        <w:tc>
          <w:tcPr>
            <w:tcW w:type="dxa" w:w="4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Best epoch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112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t xml:space="preserve">6. Baseline Comparison</w:t>
      </w:r>
    </w:p>
    <w:p>
      <w:pPr>
        <w:spacing w:after="16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NeuroLink V4 is evaluated against four alternative anomaly detection methods on the same dataset and chronological split: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mbria" w:cs="Cambria" w:eastAsia="Cambria" w:hAnsi="Cambria"/>
          <w:sz w:val="24"/>
          <w:szCs w:val="24"/>
        </w:rPr>
        <w:t xml:space="preserve">SPC (Statistical Process Control): rolling mean ± 2σ flagging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mbria" w:cs="Cambria" w:eastAsia="Cambria" w:hAnsi="Cambria"/>
          <w:sz w:val="24"/>
          <w:szCs w:val="24"/>
        </w:rPr>
        <w:t xml:space="preserve">Isolation Forest: contamination=0.10, sklearn default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mbria" w:cs="Cambria" w:eastAsia="Cambria" w:hAnsi="Cambria"/>
          <w:sz w:val="24"/>
          <w:szCs w:val="24"/>
        </w:rPr>
        <w:t xml:space="preserve">One-Class SVM: nu=0.10, RBF kernel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mbria" w:cs="Cambria" w:eastAsia="Cambria" w:hAnsi="Cambria"/>
          <w:sz w:val="24"/>
          <w:szCs w:val="24"/>
        </w:rPr>
        <w:t xml:space="preserve">Non-DP Autoencoder: identical architecture to NeuroLink V4, trained without Opacus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6.1 Evaluation Metrics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mbria" w:cs="Cambria" w:eastAsia="Cambria" w:hAnsi="Cambria"/>
          <w:sz w:val="24"/>
          <w:szCs w:val="24"/>
        </w:rPr>
        <w:t xml:space="preserve">Anomaly rate (% days flagged): measures selectivity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mbria" w:cs="Cambria" w:eastAsia="Cambria" w:hAnsi="Cambria"/>
          <w:sz w:val="24"/>
          <w:szCs w:val="24"/>
        </w:rPr>
        <w:t xml:space="preserve">WPM gap (flagged vs normal days, Welch t-test): measures whether flagged days are genuinely worse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mbria" w:cs="Cambria" w:eastAsia="Cambria" w:hAnsi="Cambria"/>
          <w:sz w:val="24"/>
          <w:szCs w:val="24"/>
        </w:rPr>
        <w:t xml:space="preserve">Dec 2024 detection rate: known ground-truth anomaly period (WPM dropped to ~60); measures sensitivity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mbria" w:cs="Cambria" w:eastAsia="Cambria" w:hAnsi="Cambria"/>
          <w:sz w:val="24"/>
          <w:szCs w:val="24"/>
        </w:rPr>
        <w:t xml:space="preserve">Jaccard agreement matrix: pairwise overlap between methods' flagged day sets</w:t>
      </w:r>
    </w:p>
    <w:p>
      <w:pPr>
        <w:spacing w:after="80"/>
      </w:pPr>
    </w:p>
    <w:p>
      <w:pPr>
        <w:pStyle w:val="Heading2"/>
        <w:spacing w:after="80" w:before="240"/>
      </w:pPr>
      <w:r>
        <w:t xml:space="preserve">6.2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800"/>
        <w:gridCol w:w="1960"/>
      </w:tblGrid>
      <w:tr>
        <w:tc>
          <w:tcPr>
            <w:tcW w:type="dxa" w:w="2800"/>
            <w:shd w:fill="2E4057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1400"/>
            <w:shd w:fill="2E4057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Anomaly %</w:t>
            </w:r>
          </w:p>
        </w:tc>
        <w:tc>
          <w:tcPr>
            <w:tcW w:type="dxa" w:w="1400"/>
            <w:shd w:fill="2E4057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WPM Gap</w:t>
            </w:r>
          </w:p>
        </w:tc>
        <w:tc>
          <w:tcPr>
            <w:tcW w:type="dxa" w:w="1800"/>
            <w:shd w:fill="2E4057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Dec 2024 %</w:t>
            </w:r>
          </w:p>
        </w:tc>
        <w:tc>
          <w:tcPr>
            <w:tcW w:type="dxa" w:w="1960"/>
            <w:shd w:fill="2E4057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p-value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SPC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0.2%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+0.0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0%</w:t>
            </w:r>
          </w:p>
        </w:tc>
        <w:tc>
          <w:tcPr>
            <w:tcW w:type="dxa" w:w="19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1.000 ns</w:t>
            </w:r>
          </w:p>
        </w:tc>
      </w:tr>
      <w:tr>
        <w:tc>
          <w:tcPr>
            <w:tcW w:type="dxa" w:w="2800"/>
            <w:shd w:fill="F5F5F5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Isolation Forest</w:t>
            </w:r>
          </w:p>
        </w:tc>
        <w:tc>
          <w:tcPr>
            <w:tcW w:type="dxa" w:w="140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9.6%</w:t>
            </w:r>
          </w:p>
        </w:tc>
        <w:tc>
          <w:tcPr>
            <w:tcW w:type="dxa" w:w="140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+39.8</w:t>
            </w:r>
          </w:p>
        </w:tc>
        <w:tc>
          <w:tcPr>
            <w:tcW w:type="dxa" w:w="180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67%</w:t>
            </w:r>
          </w:p>
        </w:tc>
        <w:tc>
          <w:tcPr>
            <w:tcW w:type="dxa" w:w="196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&lt;0.001 ***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One-Class SVM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7.9%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+51.0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78%</w:t>
            </w:r>
          </w:p>
        </w:tc>
        <w:tc>
          <w:tcPr>
            <w:tcW w:type="dxa" w:w="19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&lt;0.001 ***</w:t>
            </w:r>
          </w:p>
        </w:tc>
      </w:tr>
      <w:tr>
        <w:tc>
          <w:tcPr>
            <w:tcW w:type="dxa" w:w="2800"/>
            <w:shd w:fill="F5F5F5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Non-DP AE</w:t>
            </w:r>
          </w:p>
        </w:tc>
        <w:tc>
          <w:tcPr>
            <w:tcW w:type="dxa" w:w="140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8.5%</w:t>
            </w:r>
          </w:p>
        </w:tc>
        <w:tc>
          <w:tcPr>
            <w:tcW w:type="dxa" w:w="140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+46.6</w:t>
            </w:r>
          </w:p>
        </w:tc>
        <w:tc>
          <w:tcPr>
            <w:tcW w:type="dxa" w:w="180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100%</w:t>
            </w:r>
          </w:p>
        </w:tc>
        <w:tc>
          <w:tcPr>
            <w:tcW w:type="dxa" w:w="196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&lt;0.001 ***</w:t>
            </w:r>
          </w:p>
        </w:tc>
      </w:tr>
      <w:tr>
        <w:tc>
          <w:tcPr>
            <w:tcW w:type="dxa" w:w="28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NeuroLink V4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8.5%</w:t>
            </w:r>
          </w:p>
        </w:tc>
        <w:tc>
          <w:tcPr>
            <w:tcW w:type="dxa" w:w="14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+45.9</w:t>
            </w:r>
          </w:p>
        </w:tc>
        <w:tc>
          <w:tcPr>
            <w:tcW w:type="dxa" w:w="180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89%</w:t>
            </w:r>
          </w:p>
        </w:tc>
        <w:tc>
          <w:tcPr>
            <w:tcW w:type="dxa" w:w="19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&lt;0.001 ***</w:t>
            </w:r>
          </w:p>
        </w:tc>
      </w:tr>
    </w:tbl>
    <w:p>
      <w:pPr>
        <w:spacing w:after="80"/>
      </w:pPr>
    </w:p>
    <w:p>
      <w:pPr>
        <w:spacing w:after="16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NeuroLink V4 matches Non-DP AE on anomaly rate and WPM gap while providing formal differential privacy guarantees. The 11% gap in Dec 2024 detection (89% vs 100%) represents the measurable privacy cost in sensitivity — a known trade-off in DP-SGD training.</w:t>
      </w:r>
    </w:p>
    <w:p>
      <w:pPr>
        <w:pStyle w:val="Heading1"/>
        <w:spacing w:after="120" w:before="360"/>
      </w:pPr>
      <w:r>
        <w:t xml:space="preserve">7. 90-Day WPM Forecast</w:t>
      </w:r>
    </w:p>
    <w:p>
      <w:pPr>
        <w:spacing w:after="16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A log-growth curve is fitted to the full WPM time series to model the expected trajectory of skill acquisition. The curve takes the form:</w:t>
      </w:r>
    </w:p>
    <w:p>
      <w:pPr>
        <w:spacing w:after="160"/>
      </w:pPr>
      <w:r>
        <w:rPr>
          <w:rFonts w:ascii="Courier New" w:cs="Courier New" w:eastAsia="Courier New" w:hAnsi="Courier New"/>
          <w:sz w:val="22"/>
          <w:szCs w:val="22"/>
        </w:rPr>
        <w:t xml:space="preserve">WPM(t) = a × log(t + 1) + b</w:t>
      </w:r>
    </w:p>
    <w:p>
      <w:pPr>
        <w:spacing w:after="16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The LDI scores are used to adjust the projection: sessions classified as HIGH anomaly are down-weighted in the curve fitting to produce an LDI-adjusted forecast that reflects the user's true trajectory excluding behavioral outliers.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shd w:fill="2E4057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5360"/>
            <w:shd w:fill="2E4057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000"/>
            <w:shd w:fill="FFFFFF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Current WPM (7-day avg)</w:t>
            </w:r>
          </w:p>
        </w:tc>
        <w:tc>
          <w:tcPr>
            <w:tcW w:type="dxa" w:w="5360"/>
            <w:shd w:fill="FFFFFF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112.7</w:t>
            </w:r>
          </w:p>
        </w:tc>
      </w:tr>
      <w:tr>
        <w:tc>
          <w:tcPr>
            <w:tcW w:type="dxa" w:w="4000"/>
            <w:shd w:fill="F5F5F5" w:val="clear"/>
          </w:tcPr>
          <w:p>
            <w:pPr>
              <w:spacing w:after="60" w:before="60"/>
              <w:jc w:val="left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LDI-adjusted 90-day projection</w:t>
            </w:r>
          </w:p>
        </w:tc>
        <w:tc>
          <w:tcPr>
            <w:tcW w:type="dxa" w:w="5360"/>
            <w:shd w:fill="F5F5F5" w:val="clear"/>
          </w:tcPr>
          <w:p>
            <w:pPr>
              <w:spacing w:after="60" w:before="60"/>
              <w:jc w:val="center"/>
            </w:pPr>
            <w:r>
              <w:rPr>
                <w:rFonts w:ascii="Cambria" w:cs="Cambria" w:eastAsia="Cambria" w:hAnsi="Cambria"/>
                <w:b w:val="false"/>
                <w:bCs w:val="false"/>
                <w:color w:val="000000"/>
                <w:sz w:val="22"/>
                <w:szCs w:val="22"/>
              </w:rPr>
              <w:t xml:space="preserve">122.9 WPM</w:t>
            </w:r>
          </w:p>
        </w:tc>
      </w:tr>
    </w:tbl>
    <w:p>
      <w:pPr>
        <w:spacing w:after="80"/>
      </w:pPr>
    </w:p>
    <w:p>
      <w:pPr>
        <w:pStyle w:val="Heading1"/>
        <w:spacing w:after="120" w:before="360"/>
      </w:pPr>
      <w:r>
        <w:t xml:space="preserve">8. Limitations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mbria" w:cs="Cambria" w:eastAsia="Cambria" w:hAnsi="Cambria"/>
          <w:sz w:val="24"/>
          <w:szCs w:val="24"/>
        </w:rPr>
        <w:t xml:space="preserve">N-of-1 design: all results are specific to one user. Generalizability across users is untested.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mbria" w:cs="Cambria" w:eastAsia="Cambria" w:hAnsi="Cambria"/>
          <w:sz w:val="24"/>
          <w:szCs w:val="24"/>
        </w:rPr>
        <w:t xml:space="preserve">Ground truth: no clinical labels are available. Dec 2024 is used as a proxy anomaly period based on observed WPM drop, not a medically confirmed event.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mbria" w:cs="Cambria" w:eastAsia="Cambria" w:hAnsi="Cambria"/>
          <w:sz w:val="24"/>
          <w:szCs w:val="24"/>
        </w:rPr>
        <w:t xml:space="preserve">Privacy budget ε=10 is a moderate guarantee — stronger privacy (lower ε) would require larger data volumes or architectural changes.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Cambria" w:cs="Cambria" w:eastAsia="Cambria" w:hAnsi="Cambria"/>
          <w:sz w:val="24"/>
          <w:szCs w:val="24"/>
        </w:rPr>
        <w:t xml:space="preserve">The 90-day forecast assumes continued log-growth; plateau effects at high WPM are not modeled.</w:t>
      </w:r>
    </w:p>
    <w:p>
      <w:pPr>
        <w:spacing w:after="80"/>
      </w:pPr>
    </w:p>
    <w:p>
      <w:pPr>
        <w:spacing w:after="200" w:before="400"/>
        <w:jc w:val="center"/>
      </w:pPr>
      <w:r>
        <w:rPr>
          <w:rFonts w:ascii="Cambria" w:cs="Cambria" w:eastAsia="Cambria" w:hAnsi="Cambria"/>
          <w:color w:val="999999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mbria" w:cs="Cambria" w:eastAsia="Cambria" w:hAnsi="Cambria"/>
          <w:i/>
          <w:iCs/>
          <w:color w:val="777777"/>
          <w:sz w:val="20"/>
          <w:szCs w:val="20"/>
        </w:rPr>
        <w:t xml:space="preserve">This document describes the methodology of NeuroLink V4 as of August 2026. Nothing in this system constitutes medical advice.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2026-08-10T16:19:33.525Z</dcterms:created>
  <dcterms:modified xsi:type="dcterms:W3CDTF">2026-08-10T16:19:33.531Z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